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3493"/>
      <w:bookmarkStart w:id="2" w:name="_Toc15365"/>
      <w:bookmarkStart w:id="3" w:name="_Toc16091"/>
      <w:bookmarkStart w:id="4" w:name="_Toc15189"/>
      <w:bookmarkStart w:id="5" w:name="_Toc14315"/>
      <w:bookmarkStart w:id="6" w:name="_Toc15553"/>
      <w:bookmarkStart w:id="7" w:name="_Toc17040"/>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50ED1A6F">
      <w:pPr>
        <w:pStyle w:val="16"/>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0A2CF07D">
      <w:pPr>
        <w:pStyle w:val="2"/>
        <w:jc w:val="center"/>
        <w:rPr>
          <w:rFonts w:hint="eastAsia" w:ascii="微软雅黑" w:hAnsi="微软雅黑" w:eastAsia="微软雅黑" w:cs="微软雅黑"/>
          <w:b/>
          <w:bCs/>
          <w:sz w:val="72"/>
          <w:szCs w:val="72"/>
        </w:rPr>
      </w:pPr>
      <w:r>
        <w:rPr>
          <w:rFonts w:hint="eastAsia" w:ascii="黑体" w:hAnsi="黑体" w:eastAsia="黑体" w:cs="黑体"/>
          <w:b/>
          <w:bCs w:val="0"/>
          <w:color w:val="auto"/>
          <w:kern w:val="0"/>
          <w:sz w:val="44"/>
          <w:szCs w:val="44"/>
          <w:lang w:val="en-US" w:eastAsia="zh-CN"/>
        </w:rPr>
        <w:t>公务车辆定点加油服务项目（第二次）</w:t>
      </w:r>
    </w:p>
    <w:p w14:paraId="720C3F77">
      <w:pPr>
        <w:pStyle w:val="16"/>
        <w:rPr>
          <w:rFonts w:hint="eastAsia"/>
        </w:rPr>
      </w:pPr>
    </w:p>
    <w:p w14:paraId="30B0BBC0">
      <w:pPr>
        <w:pStyle w:val="16"/>
        <w:rPr>
          <w:rFonts w:hint="eastAsia"/>
        </w:rPr>
      </w:pPr>
    </w:p>
    <w:p w14:paraId="44FD36BD">
      <w:pPr>
        <w:pStyle w:val="16"/>
        <w:rPr>
          <w:rFonts w:hint="eastAsia"/>
        </w:rPr>
      </w:pPr>
    </w:p>
    <w:p w14:paraId="6A6B28A3">
      <w:pPr>
        <w:pStyle w:val="16"/>
        <w:rPr>
          <w:rFonts w:hint="eastAsia"/>
        </w:rPr>
      </w:pPr>
    </w:p>
    <w:p w14:paraId="56375FC5">
      <w:pPr>
        <w:pStyle w:val="16"/>
        <w:rPr>
          <w:rFonts w:hint="eastAsia"/>
        </w:rPr>
      </w:pPr>
    </w:p>
    <w:p w14:paraId="6359C389">
      <w:pPr>
        <w:pStyle w:val="16"/>
        <w:rPr>
          <w:rFonts w:hint="eastAsia"/>
        </w:rPr>
      </w:pPr>
    </w:p>
    <w:p w14:paraId="72A5B3FB">
      <w:pPr>
        <w:pStyle w:val="16"/>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ZCB-2025080</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7"/>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7</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谈判</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5"/>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341A546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3.邮件主题：包号+车辆定点加油（第二次）-某某公司</w:t>
      </w:r>
    </w:p>
    <w:p w14:paraId="3C0CD1D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2025年7月</w:t>
      </w:r>
      <w:r>
        <w:rPr>
          <w:rFonts w:hint="eastAsia" w:ascii="仿宋" w:hAnsi="仿宋" w:eastAsia="仿宋" w:cs="仿宋"/>
          <w:i w:val="0"/>
          <w:iCs w:val="0"/>
          <w:caps w:val="0"/>
          <w:color w:val="000000"/>
          <w:spacing w:val="0"/>
          <w:sz w:val="24"/>
          <w:szCs w:val="24"/>
          <w:highlight w:val="none"/>
          <w:u w:val="none"/>
          <w:vertAlign w:val="baseline"/>
          <w:lang w:val="en-US" w:eastAsia="zh-CN"/>
        </w:rPr>
        <w:t>30</w:t>
      </w:r>
      <w:r>
        <w:rPr>
          <w:rFonts w:hint="eastAsia" w:ascii="仿宋" w:hAnsi="仿宋" w:eastAsia="仿宋" w:cs="仿宋"/>
          <w:i w:val="0"/>
          <w:iCs w:val="0"/>
          <w:caps w:val="0"/>
          <w:color w:val="000000"/>
          <w:spacing w:val="0"/>
          <w:sz w:val="24"/>
          <w:szCs w:val="24"/>
          <w:highlight w:val="none"/>
          <w:u w:val="none"/>
          <w:vertAlign w:val="baseline"/>
        </w:rPr>
        <w:t>日下午17:00</w:t>
      </w:r>
      <w:r>
        <w:rPr>
          <w:rFonts w:hint="eastAsia" w:ascii="仿宋" w:hAnsi="仿宋" w:eastAsia="仿宋" w:cs="仿宋"/>
          <w:kern w:val="0"/>
          <w:sz w:val="24"/>
          <w:lang w:val="en-US" w:eastAsia="zh-CN"/>
        </w:rPr>
        <w:t>，以邮件接收时间为准，超时视为无效报名。</w:t>
      </w:r>
    </w:p>
    <w:p w14:paraId="4136EF16">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694DEF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7.供应商的报名邮箱视为我院采购过程中谈判文件、成交通知书及相关答疑回复的电子送达地址；电子文书成功发送至供应商提供的电子送达地址时，视为已送达。</w:t>
      </w:r>
    </w:p>
    <w:p w14:paraId="6603711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440FB6F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谈判</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5733B75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谈判</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谈判</w:t>
      </w:r>
      <w:r>
        <w:rPr>
          <w:rFonts w:hint="eastAsia" w:ascii="仿宋" w:hAnsi="仿宋" w:eastAsia="仿宋" w:cs="仿宋"/>
          <w:b/>
          <w:bCs/>
          <w:sz w:val="24"/>
          <w:highlight w:val="none"/>
          <w:lang w:eastAsia="zh-CN"/>
        </w:rPr>
        <w:t>环节。</w:t>
      </w:r>
      <w:bookmarkStart w:id="134" w:name="_GoBack"/>
      <w:bookmarkEnd w:id="134"/>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55E9BFD2">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E44DCB4">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6EEC4DF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（7）供应商须具备有效的《成品油批发经营批准证书》或《成品油零售经营批准证书》、《危险化学品经营许可证》。</w:t>
      </w:r>
    </w:p>
    <w:p w14:paraId="121FF309">
      <w:pPr>
        <w:pStyle w:val="7"/>
        <w:adjustRightInd w:val="0"/>
        <w:snapToGrid w:val="0"/>
        <w:spacing w:line="360" w:lineRule="auto"/>
        <w:rPr>
          <w:rFonts w:ascii="Times New Roman" w:hAnsi="Times New Roman" w:cs="Times New Roman"/>
          <w:sz w:val="24"/>
          <w:szCs w:val="24"/>
        </w:rPr>
      </w:pPr>
      <w:r>
        <w:rPr>
          <w:rFonts w:hint="eastAsia" w:ascii="仿宋" w:hAnsi="仿宋" w:eastAsia="仿宋" w:cs="仿宋"/>
          <w:sz w:val="24"/>
          <w:szCs w:val="24"/>
          <w:lang w:val="en-US" w:eastAsia="zh-CN"/>
        </w:rPr>
        <w:t>（8）供应商在参加本次采购活动前3年内没有发生严重违约行为以及发生重大质量安全事故。</w:t>
      </w:r>
    </w:p>
    <w:p w14:paraId="3B3F68BB">
      <w:pPr>
        <w:pStyle w:val="7"/>
        <w:adjustRightInd w:val="0"/>
        <w:snapToGrid w:val="0"/>
        <w:rPr>
          <w:rFonts w:ascii="Times New Roman" w:hAnsi="Times New Roman" w:cs="Times New Roman"/>
          <w:sz w:val="24"/>
          <w:szCs w:val="24"/>
        </w:rPr>
      </w:pPr>
    </w:p>
    <w:p w14:paraId="46BA66C7">
      <w:pPr>
        <w:pStyle w:val="7"/>
        <w:adjustRightInd w:val="0"/>
        <w:snapToGrid w:val="0"/>
        <w:rPr>
          <w:rFonts w:ascii="Times New Roman" w:hAnsi="Times New Roman" w:cs="Times New Roman"/>
          <w:sz w:val="24"/>
          <w:szCs w:val="24"/>
        </w:rPr>
      </w:pPr>
    </w:p>
    <w:p w14:paraId="45280BE3">
      <w:pPr>
        <w:pStyle w:val="7"/>
        <w:adjustRightInd w:val="0"/>
        <w:snapToGrid w:val="0"/>
        <w:rPr>
          <w:rFonts w:ascii="Times New Roman" w:hAnsi="Times New Roman" w:cs="Times New Roman"/>
          <w:sz w:val="24"/>
          <w:szCs w:val="24"/>
        </w:rPr>
      </w:pPr>
    </w:p>
    <w:p w14:paraId="31D3D24A">
      <w:pPr>
        <w:pStyle w:val="7"/>
        <w:adjustRightInd w:val="0"/>
        <w:snapToGrid w:val="0"/>
        <w:rPr>
          <w:rFonts w:ascii="Times New Roman" w:hAnsi="Times New Roman" w:cs="Times New Roman"/>
          <w:sz w:val="24"/>
          <w:szCs w:val="24"/>
        </w:rPr>
      </w:pPr>
    </w:p>
    <w:p w14:paraId="745677E7">
      <w:pPr>
        <w:pStyle w:val="7"/>
        <w:adjustRightInd w:val="0"/>
        <w:snapToGrid w:val="0"/>
        <w:rPr>
          <w:rFonts w:ascii="Times New Roman" w:hAnsi="Times New Roman" w:cs="Times New Roman"/>
          <w:sz w:val="24"/>
          <w:szCs w:val="24"/>
        </w:rPr>
      </w:pPr>
    </w:p>
    <w:p w14:paraId="4F304736">
      <w:pPr>
        <w:pStyle w:val="7"/>
        <w:adjustRightInd w:val="0"/>
        <w:snapToGrid w:val="0"/>
        <w:rPr>
          <w:rFonts w:ascii="Times New Roman" w:hAnsi="Times New Roman" w:cs="Times New Roman"/>
          <w:sz w:val="24"/>
          <w:szCs w:val="24"/>
        </w:rPr>
      </w:pPr>
    </w:p>
    <w:p w14:paraId="32A14100">
      <w:pPr>
        <w:pStyle w:val="7"/>
        <w:adjustRightInd w:val="0"/>
        <w:snapToGrid w:val="0"/>
        <w:rPr>
          <w:rFonts w:ascii="Times New Roman" w:hAnsi="Times New Roman" w:cs="Times New Roman"/>
          <w:sz w:val="24"/>
          <w:szCs w:val="24"/>
        </w:rPr>
      </w:pPr>
    </w:p>
    <w:p w14:paraId="5462AF0A">
      <w:pPr>
        <w:pStyle w:val="7"/>
        <w:adjustRightInd w:val="0"/>
        <w:snapToGrid w:val="0"/>
        <w:rPr>
          <w:rFonts w:ascii="Times New Roman" w:hAnsi="Times New Roman" w:cs="Times New Roman"/>
          <w:sz w:val="24"/>
          <w:szCs w:val="24"/>
        </w:rPr>
      </w:pPr>
    </w:p>
    <w:p w14:paraId="254521FC">
      <w:pPr>
        <w:pStyle w:val="7"/>
        <w:adjustRightInd w:val="0"/>
        <w:snapToGrid w:val="0"/>
        <w:rPr>
          <w:rFonts w:ascii="Times New Roman" w:hAnsi="Times New Roman" w:cs="Times New Roman"/>
          <w:sz w:val="24"/>
          <w:szCs w:val="24"/>
        </w:rPr>
      </w:pPr>
    </w:p>
    <w:p w14:paraId="2D808310">
      <w:pPr>
        <w:pStyle w:val="7"/>
        <w:adjustRightInd w:val="0"/>
        <w:snapToGrid w:val="0"/>
        <w:rPr>
          <w:rFonts w:ascii="Times New Roman" w:hAnsi="Times New Roman" w:cs="Times New Roman"/>
          <w:sz w:val="24"/>
          <w:szCs w:val="24"/>
        </w:rPr>
      </w:pPr>
    </w:p>
    <w:p w14:paraId="2DC6D4D0">
      <w:pPr>
        <w:pStyle w:val="7"/>
        <w:adjustRightInd w:val="0"/>
        <w:snapToGrid w:val="0"/>
        <w:rPr>
          <w:rFonts w:ascii="Times New Roman" w:hAnsi="Times New Roman" w:cs="Times New Roman"/>
          <w:sz w:val="24"/>
          <w:szCs w:val="24"/>
        </w:rPr>
      </w:pPr>
    </w:p>
    <w:p w14:paraId="76FED9B4">
      <w:pPr>
        <w:pStyle w:val="7"/>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4"/>
        <w:jc w:val="center"/>
      </w:pPr>
    </w:p>
    <w:p w14:paraId="4B0CF681">
      <w:pPr>
        <w:pStyle w:val="4"/>
        <w:jc w:val="both"/>
        <w:rPr>
          <w:rFonts w:hint="eastAsia"/>
        </w:rPr>
      </w:pPr>
    </w:p>
    <w:p w14:paraId="25D26CB9">
      <w:pPr>
        <w:rPr>
          <w:rFonts w:hint="eastAsia"/>
        </w:rPr>
      </w:pPr>
    </w:p>
    <w:p w14:paraId="3DF03D55">
      <w:pPr>
        <w:pStyle w:val="2"/>
        <w:rPr>
          <w:rFonts w:hint="eastAsia"/>
        </w:rPr>
      </w:pPr>
    </w:p>
    <w:p w14:paraId="28400412">
      <w:pPr>
        <w:pStyle w:val="16"/>
        <w:rPr>
          <w:rFonts w:hint="eastAsia"/>
        </w:rPr>
      </w:pPr>
    </w:p>
    <w:p w14:paraId="78176F9C">
      <w:pPr>
        <w:pStyle w:val="16"/>
        <w:rPr>
          <w:rFonts w:hint="eastAsia"/>
        </w:rPr>
      </w:pPr>
    </w:p>
    <w:p w14:paraId="11AFDF55">
      <w:pPr>
        <w:pStyle w:val="16"/>
        <w:rPr>
          <w:rFonts w:hint="eastAsia"/>
        </w:rPr>
      </w:pPr>
    </w:p>
    <w:p w14:paraId="74A185C9">
      <w:pPr>
        <w:pStyle w:val="16"/>
        <w:rPr>
          <w:rFonts w:hint="eastAsia"/>
        </w:rPr>
      </w:pPr>
    </w:p>
    <w:p w14:paraId="2F7355C7">
      <w:pPr>
        <w:pStyle w:val="4"/>
        <w:jc w:val="center"/>
        <w:rPr>
          <w:rFonts w:hint="eastAsia"/>
        </w:rPr>
      </w:pPr>
    </w:p>
    <w:p w14:paraId="2AA38C9B">
      <w:pPr>
        <w:pStyle w:val="4"/>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31740"/>
      <w:bookmarkStart w:id="13" w:name="_Toc17375"/>
      <w:bookmarkStart w:id="14" w:name="_Toc6151"/>
      <w:bookmarkStart w:id="15" w:name="_Toc14488"/>
      <w:bookmarkStart w:id="16" w:name="_Toc25869"/>
      <w:bookmarkStart w:id="17" w:name="_Toc24"/>
      <w:bookmarkStart w:id="18" w:name="_Toc31053"/>
      <w:bookmarkStart w:id="19" w:name="_Toc28528"/>
      <w:bookmarkStart w:id="20" w:name="_Toc6408"/>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31F174E0">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采购项目（第二次）</w:t>
      </w:r>
    </w:p>
    <w:p w14:paraId="6DBC632D">
      <w:pPr>
        <w:pStyle w:val="3"/>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1994"/>
      <w:bookmarkStart w:id="22" w:name="_Toc8364"/>
      <w:bookmarkStart w:id="23" w:name="_Toc7291"/>
      <w:bookmarkStart w:id="24" w:name="_Toc40776111"/>
      <w:bookmarkStart w:id="25" w:name="_Toc12520"/>
      <w:bookmarkStart w:id="26" w:name="_Toc11305"/>
      <w:bookmarkStart w:id="27" w:name="_Toc435"/>
      <w:bookmarkStart w:id="28" w:name="_Toc3471"/>
      <w:bookmarkStart w:id="29" w:name="_Toc26267"/>
      <w:bookmarkStart w:id="30" w:name="_Toc29113"/>
      <w:bookmarkStart w:id="31" w:name="_Toc40346375"/>
      <w:bookmarkStart w:id="32" w:name="_Toc11075"/>
      <w:bookmarkStart w:id="33" w:name="_Toc40346216"/>
      <w:bookmarkStart w:id="34" w:name="_Toc6547"/>
      <w:bookmarkStart w:id="35" w:name="_Toc15870"/>
      <w:bookmarkStart w:id="36" w:name="_Toc28703"/>
      <w:bookmarkStart w:id="37" w:name="_Toc21249"/>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43"/>
      <w:bookmarkStart w:id="39" w:name="_Toc40776112"/>
      <w:bookmarkStart w:id="40" w:name="_Toc2916"/>
      <w:bookmarkStart w:id="41" w:name="_Toc17709"/>
      <w:bookmarkStart w:id="42" w:name="_Toc40346217"/>
      <w:bookmarkStart w:id="43" w:name="_Toc27997"/>
      <w:bookmarkStart w:id="44" w:name="_Toc20884"/>
      <w:bookmarkStart w:id="45" w:name="_Toc40346376"/>
    </w:p>
    <w:p w14:paraId="2CDD7047">
      <w:pPr>
        <w:widowControl/>
        <w:spacing w:line="360" w:lineRule="auto"/>
        <w:ind w:firstLine="600"/>
        <w:outlineLvl w:val="0"/>
        <w:rPr>
          <w:rFonts w:hint="eastAsia" w:ascii="仿宋" w:hAnsi="仿宋" w:eastAsia="仿宋" w:cs="仿宋"/>
          <w:kern w:val="0"/>
          <w:sz w:val="30"/>
          <w:szCs w:val="30"/>
        </w:rPr>
      </w:pPr>
      <w:bookmarkStart w:id="46" w:name="_Toc2029"/>
      <w:bookmarkStart w:id="47" w:name="_Toc5238"/>
      <w:bookmarkStart w:id="48" w:name="_Toc11485"/>
      <w:bookmarkStart w:id="49" w:name="_Toc23097"/>
      <w:bookmarkStart w:id="50" w:name="_Toc30979"/>
      <w:bookmarkStart w:id="51" w:name="_Toc2012"/>
      <w:bookmarkStart w:id="52" w:name="_Toc31538"/>
      <w:bookmarkStart w:id="53" w:name="_Toc29102"/>
      <w:bookmarkStart w:id="54" w:name="_Toc1969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11558"/>
      <w:bookmarkStart w:id="56" w:name="_Toc4013"/>
      <w:bookmarkStart w:id="57" w:name="_Toc40346218"/>
      <w:bookmarkStart w:id="58" w:name="_Toc7052"/>
      <w:bookmarkStart w:id="59" w:name="_Toc40346377"/>
      <w:bookmarkStart w:id="60" w:name="_Toc11141"/>
      <w:bookmarkStart w:id="61" w:name="_Toc27867"/>
      <w:bookmarkStart w:id="62" w:name="_Toc12645"/>
      <w:bookmarkStart w:id="63" w:name="_Toc16794"/>
      <w:bookmarkStart w:id="64" w:name="_Toc24763"/>
      <w:bookmarkStart w:id="65" w:name="_Toc21483"/>
      <w:bookmarkStart w:id="66" w:name="_Toc31993"/>
      <w:bookmarkStart w:id="67" w:name="_Toc40776113"/>
      <w:bookmarkStart w:id="68" w:name="_Toc28064"/>
      <w:bookmarkStart w:id="69" w:name="_Toc29767"/>
      <w:bookmarkStart w:id="70" w:name="_Toc14824"/>
      <w:bookmarkStart w:id="71" w:name="_Toc17930"/>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4563"/>
      <w:bookmarkStart w:id="73" w:name="_Toc40346378"/>
      <w:bookmarkStart w:id="74" w:name="_Toc27771"/>
      <w:bookmarkStart w:id="75" w:name="_Toc24651"/>
      <w:bookmarkStart w:id="76" w:name="_Toc9883"/>
      <w:bookmarkStart w:id="77" w:name="_Toc31197"/>
      <w:bookmarkStart w:id="78" w:name="_Toc17537"/>
      <w:bookmarkStart w:id="79" w:name="_Toc6438"/>
      <w:bookmarkStart w:id="80" w:name="_Toc14287"/>
      <w:bookmarkStart w:id="81" w:name="_Toc16813"/>
      <w:bookmarkStart w:id="82" w:name="_Toc32709"/>
      <w:bookmarkStart w:id="83" w:name="_Toc11334"/>
      <w:bookmarkStart w:id="84" w:name="_Toc26029"/>
      <w:bookmarkStart w:id="85" w:name="_Toc40776114"/>
      <w:bookmarkStart w:id="86" w:name="_Toc1324"/>
      <w:bookmarkStart w:id="87" w:name="_Toc40346219"/>
      <w:bookmarkStart w:id="88" w:name="_Toc19831"/>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5634"/>
      <w:bookmarkStart w:id="90" w:name="_Toc27206"/>
      <w:bookmarkStart w:id="91" w:name="_Toc5189"/>
      <w:bookmarkStart w:id="92" w:name="_Toc20994"/>
      <w:bookmarkStart w:id="93" w:name="_Toc3895"/>
      <w:bookmarkStart w:id="94" w:name="_Toc17483"/>
      <w:bookmarkStart w:id="95" w:name="_Toc12650"/>
      <w:bookmarkStart w:id="96" w:name="_Toc18353"/>
      <w:bookmarkStart w:id="97" w:name="_Toc40346220"/>
      <w:bookmarkStart w:id="98" w:name="_Toc40776115"/>
      <w:bookmarkStart w:id="99" w:name="_Toc13222"/>
      <w:bookmarkStart w:id="100" w:name="_Toc21686"/>
      <w:bookmarkStart w:id="101" w:name="_Toc21940"/>
      <w:bookmarkStart w:id="102" w:name="_Toc30336"/>
      <w:bookmarkStart w:id="103" w:name="_Toc40346379"/>
      <w:bookmarkStart w:id="104" w:name="_Toc14586"/>
      <w:bookmarkStart w:id="105" w:name="_Toc27868"/>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3498"/>
      <w:bookmarkStart w:id="107" w:name="_Toc10454"/>
      <w:bookmarkStart w:id="108" w:name="_Toc14462"/>
      <w:bookmarkStart w:id="109" w:name="_Toc11547"/>
      <w:bookmarkStart w:id="110" w:name="_Toc9282"/>
      <w:bookmarkStart w:id="111" w:name="_Toc8526"/>
      <w:bookmarkStart w:id="112" w:name="_Toc40346221"/>
      <w:bookmarkStart w:id="113" w:name="_Toc21449"/>
      <w:bookmarkStart w:id="114" w:name="_Toc32371"/>
      <w:bookmarkStart w:id="115" w:name="_Toc5220"/>
      <w:bookmarkStart w:id="116" w:name="_Toc27009"/>
      <w:bookmarkStart w:id="117" w:name="_Toc40346380"/>
      <w:bookmarkStart w:id="118" w:name="_Toc12127"/>
      <w:bookmarkStart w:id="119" w:name="_Toc30904"/>
      <w:bookmarkStart w:id="120" w:name="_Toc30856"/>
      <w:bookmarkStart w:id="121" w:name="_Toc40776116"/>
      <w:bookmarkStart w:id="122" w:name="_Toc2764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16728"/>
      <w:bookmarkStart w:id="124" w:name="_Toc15539"/>
      <w:bookmarkStart w:id="125" w:name="_Toc10399"/>
      <w:bookmarkStart w:id="126" w:name="_Toc31077"/>
      <w:bookmarkStart w:id="127" w:name="_Toc16608"/>
      <w:bookmarkStart w:id="128" w:name="_Toc8637"/>
      <w:bookmarkStart w:id="129" w:name="_Toc13184"/>
      <w:bookmarkStart w:id="130" w:name="_Toc28747"/>
      <w:bookmarkStart w:id="131" w:name="_Toc9697"/>
      <w:bookmarkStart w:id="132" w:name="_Toc6691"/>
      <w:bookmarkStart w:id="133" w:name="_Toc21213"/>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0E2BB4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42875BC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highlight w:val="none"/>
          <w:lang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15E5F50">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本项目谈判文件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F7F3763">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31C7A40C">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40B9037">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37C8F234">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76134428">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2C069334">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2D1C547">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5AAB6173">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本公司（企业）承诺</w:t>
      </w:r>
      <w:r>
        <w:rPr>
          <w:rFonts w:hint="eastAsia" w:ascii="仿宋" w:hAnsi="仿宋" w:eastAsia="仿宋" w:cs="仿宋"/>
          <w:color w:val="auto"/>
          <w:sz w:val="24"/>
          <w:szCs w:val="24"/>
          <w:highlight w:val="none"/>
        </w:rPr>
        <w:t>参加本次采购活动前3年内没有发生严重违约行为以及发生重大质量安全事故。</w:t>
      </w:r>
    </w:p>
    <w:p w14:paraId="6DDA1B4C">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07369AD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16"/>
        <w:rPr>
          <w:rFonts w:ascii="宋体" w:hAnsi="宋体"/>
          <w:sz w:val="24"/>
        </w:rPr>
      </w:pPr>
    </w:p>
    <w:p w14:paraId="40D77880">
      <w:pPr>
        <w:pStyle w:val="16"/>
        <w:rPr>
          <w:rFonts w:ascii="宋体" w:hAnsi="宋体"/>
          <w:sz w:val="24"/>
        </w:rPr>
      </w:pPr>
    </w:p>
    <w:p w14:paraId="078405E9">
      <w:pPr>
        <w:pStyle w:val="16"/>
        <w:rPr>
          <w:rFonts w:ascii="宋体" w:hAnsi="宋体"/>
          <w:sz w:val="24"/>
        </w:rPr>
      </w:pPr>
    </w:p>
    <w:p w14:paraId="3D2C49EF">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三、《成品油批发经营批准证书》或《成品油零售经营批准证书》</w:t>
      </w:r>
    </w:p>
    <w:p w14:paraId="71529940">
      <w:pPr>
        <w:pStyle w:val="31"/>
        <w:jc w:val="center"/>
        <w:rPr>
          <w:rFonts w:hint="eastAsia" w:ascii="仿宋" w:hAnsi="仿宋" w:eastAsia="仿宋" w:cs="仿宋"/>
          <w:color w:val="0070C0"/>
          <w:highlight w:val="none"/>
        </w:rPr>
      </w:pPr>
      <w:r>
        <w:rPr>
          <w:rFonts w:hint="eastAsia" w:ascii="仿宋" w:hAnsi="仿宋" w:eastAsia="仿宋" w:cs="仿宋"/>
          <w:color w:val="0070C0"/>
          <w:kern w:val="0"/>
          <w:sz w:val="24"/>
          <w:szCs w:val="24"/>
          <w:highlight w:val="none"/>
          <w:lang w:val="en-US" w:eastAsia="zh-CN"/>
        </w:rPr>
        <w:t>（提供证件复印件,加盖公章）</w:t>
      </w:r>
    </w:p>
    <w:p w14:paraId="4DEF56B9">
      <w:pPr>
        <w:pStyle w:val="31"/>
        <w:rPr>
          <w:rFonts w:hint="eastAsia" w:ascii="仿宋" w:hAnsi="仿宋" w:eastAsia="仿宋" w:cs="仿宋"/>
          <w:color w:val="000000" w:themeColor="text1"/>
          <w:highlight w:val="none"/>
          <w14:textFill>
            <w14:solidFill>
              <w14:schemeClr w14:val="tx1"/>
            </w14:solidFill>
          </w14:textFill>
        </w:rPr>
      </w:pPr>
    </w:p>
    <w:p w14:paraId="45376AFD">
      <w:pPr>
        <w:pStyle w:val="31"/>
        <w:rPr>
          <w:rFonts w:hint="eastAsia" w:ascii="仿宋" w:hAnsi="仿宋" w:eastAsia="仿宋" w:cs="仿宋"/>
          <w:color w:val="000000" w:themeColor="text1"/>
          <w:highlight w:val="none"/>
          <w14:textFill>
            <w14:solidFill>
              <w14:schemeClr w14:val="tx1"/>
            </w14:solidFill>
          </w14:textFill>
        </w:rPr>
      </w:pPr>
    </w:p>
    <w:p w14:paraId="11D74F05">
      <w:pPr>
        <w:pStyle w:val="31"/>
        <w:rPr>
          <w:rFonts w:hint="eastAsia" w:ascii="仿宋" w:hAnsi="仿宋" w:eastAsia="仿宋" w:cs="仿宋"/>
          <w:color w:val="000000" w:themeColor="text1"/>
          <w:highlight w:val="none"/>
          <w14:textFill>
            <w14:solidFill>
              <w14:schemeClr w14:val="tx1"/>
            </w14:solidFill>
          </w14:textFill>
        </w:rPr>
      </w:pPr>
    </w:p>
    <w:p w14:paraId="0C163699">
      <w:pPr>
        <w:pStyle w:val="31"/>
        <w:rPr>
          <w:rFonts w:hint="eastAsia" w:ascii="仿宋" w:hAnsi="仿宋" w:eastAsia="仿宋" w:cs="仿宋"/>
          <w:color w:val="000000" w:themeColor="text1"/>
          <w:highlight w:val="none"/>
          <w14:textFill>
            <w14:solidFill>
              <w14:schemeClr w14:val="tx1"/>
            </w14:solidFill>
          </w14:textFill>
        </w:rPr>
      </w:pPr>
    </w:p>
    <w:p w14:paraId="489A433D">
      <w:pPr>
        <w:pStyle w:val="31"/>
        <w:rPr>
          <w:rFonts w:hint="eastAsia" w:ascii="仿宋" w:hAnsi="仿宋" w:eastAsia="仿宋" w:cs="仿宋"/>
          <w:color w:val="000000" w:themeColor="text1"/>
          <w:highlight w:val="none"/>
          <w14:textFill>
            <w14:solidFill>
              <w14:schemeClr w14:val="tx1"/>
            </w14:solidFill>
          </w14:textFill>
        </w:rPr>
      </w:pPr>
    </w:p>
    <w:p w14:paraId="4B5B1CD0">
      <w:pPr>
        <w:pStyle w:val="31"/>
        <w:rPr>
          <w:rFonts w:hint="eastAsia" w:ascii="仿宋" w:hAnsi="仿宋" w:eastAsia="仿宋" w:cs="仿宋"/>
          <w:color w:val="000000" w:themeColor="text1"/>
          <w:highlight w:val="none"/>
          <w14:textFill>
            <w14:solidFill>
              <w14:schemeClr w14:val="tx1"/>
            </w14:solidFill>
          </w14:textFill>
        </w:rPr>
      </w:pPr>
    </w:p>
    <w:p w14:paraId="39D79BA5">
      <w:pPr>
        <w:pStyle w:val="31"/>
        <w:rPr>
          <w:rFonts w:hint="eastAsia" w:ascii="仿宋" w:hAnsi="仿宋" w:eastAsia="仿宋" w:cs="仿宋"/>
          <w:color w:val="000000" w:themeColor="text1"/>
          <w:highlight w:val="none"/>
          <w14:textFill>
            <w14:solidFill>
              <w14:schemeClr w14:val="tx1"/>
            </w14:solidFill>
          </w14:textFill>
        </w:rPr>
      </w:pPr>
    </w:p>
    <w:p w14:paraId="4C577A21">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四、《危险化学品经营许可证》</w:t>
      </w:r>
    </w:p>
    <w:p w14:paraId="357C199C">
      <w:pPr>
        <w:pStyle w:val="31"/>
        <w:jc w:val="center"/>
        <w:rPr>
          <w:rFonts w:hint="eastAsia" w:ascii="仿宋" w:hAnsi="仿宋" w:eastAsia="仿宋" w:cs="仿宋"/>
          <w:color w:val="0070C0"/>
          <w:highlight w:val="none"/>
        </w:rPr>
      </w:pPr>
      <w:r>
        <w:rPr>
          <w:rFonts w:hint="eastAsia" w:ascii="仿宋" w:hAnsi="仿宋" w:eastAsia="仿宋" w:cs="仿宋"/>
          <w:color w:val="0070C0"/>
          <w:kern w:val="0"/>
          <w:sz w:val="24"/>
          <w:szCs w:val="24"/>
          <w:highlight w:val="none"/>
          <w:lang w:val="en-US" w:eastAsia="zh-CN"/>
        </w:rPr>
        <w:t>（提供证件复印件,加盖公章）</w:t>
      </w:r>
    </w:p>
    <w:p w14:paraId="5C091DBB">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16"/>
        <w:rPr>
          <w:rFonts w:ascii="宋体" w:hAnsi="宋体"/>
          <w:sz w:val="24"/>
        </w:rPr>
      </w:pPr>
    </w:p>
    <w:p w14:paraId="450445A8">
      <w:pPr>
        <w:pStyle w:val="16"/>
        <w:rPr>
          <w:rFonts w:ascii="宋体" w:hAnsi="宋体"/>
          <w:sz w:val="24"/>
        </w:rPr>
      </w:pPr>
    </w:p>
    <w:p w14:paraId="4B1ADC8C">
      <w:pPr>
        <w:pStyle w:val="16"/>
        <w:rPr>
          <w:rFonts w:ascii="宋体" w:hAnsi="宋体"/>
          <w:sz w:val="24"/>
        </w:rPr>
      </w:pPr>
    </w:p>
    <w:p w14:paraId="716D8190">
      <w:pPr>
        <w:pStyle w:val="16"/>
        <w:rPr>
          <w:rFonts w:ascii="宋体" w:hAnsi="宋体"/>
          <w:sz w:val="24"/>
        </w:rPr>
      </w:pPr>
    </w:p>
    <w:p w14:paraId="4432DFFD">
      <w:pPr>
        <w:pStyle w:val="16"/>
        <w:rPr>
          <w:rFonts w:ascii="宋体" w:hAnsi="宋体"/>
          <w:sz w:val="24"/>
        </w:rPr>
      </w:pPr>
    </w:p>
    <w:p w14:paraId="29E67D13">
      <w:pPr>
        <w:pStyle w:val="16"/>
        <w:rPr>
          <w:rFonts w:ascii="宋体" w:hAnsi="宋体"/>
          <w:sz w:val="24"/>
        </w:rPr>
      </w:pPr>
    </w:p>
    <w:p w14:paraId="09A45915">
      <w:pPr>
        <w:pStyle w:val="16"/>
        <w:spacing w:line="360" w:lineRule="auto"/>
        <w:rPr>
          <w:rFonts w:hint="eastAsia" w:ascii="仿宋" w:hAnsi="仿宋" w:eastAsia="仿宋" w:cs="仿宋"/>
          <w:sz w:val="24"/>
          <w:lang w:val="en-US" w:eastAsia="zh-CN"/>
        </w:rPr>
      </w:pPr>
    </w:p>
    <w:p w14:paraId="3550244A">
      <w:pPr>
        <w:pStyle w:val="16"/>
        <w:spacing w:line="360" w:lineRule="auto"/>
        <w:rPr>
          <w:rFonts w:hint="eastAsia" w:ascii="仿宋" w:hAnsi="仿宋" w:eastAsia="仿宋" w:cs="仿宋"/>
          <w:sz w:val="24"/>
          <w:lang w:val="en-US" w:eastAsia="zh-CN"/>
        </w:rPr>
      </w:pPr>
    </w:p>
    <w:p w14:paraId="1065F86E">
      <w:pPr>
        <w:pStyle w:val="16"/>
        <w:spacing w:line="360" w:lineRule="auto"/>
        <w:rPr>
          <w:rFonts w:hint="eastAsia" w:ascii="仿宋" w:hAnsi="仿宋" w:eastAsia="仿宋" w:cs="仿宋"/>
          <w:sz w:val="24"/>
          <w:lang w:val="en-US" w:eastAsia="zh-CN"/>
        </w:rPr>
      </w:pPr>
    </w:p>
    <w:p w14:paraId="6E6F5212">
      <w:pPr>
        <w:pStyle w:val="16"/>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3797FB-A489-47EC-A511-FAC44CC746E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B0C4F76-D06B-4C13-9B10-5FE2419957DD}"/>
  </w:font>
  <w:font w:name="微软雅黑">
    <w:panose1 w:val="020B0503020204020204"/>
    <w:charset w:val="86"/>
    <w:family w:val="auto"/>
    <w:pitch w:val="default"/>
    <w:sig w:usb0="80000287" w:usb1="2ACF3C50" w:usb2="00000016" w:usb3="00000000" w:csb0="0004001F" w:csb1="00000000"/>
    <w:embedRegular r:id="rId3" w:fontKey="{A362C39D-6AC3-4354-9D9B-ECF170708671}"/>
  </w:font>
  <w:font w:name="方正小标宋简体">
    <w:panose1 w:val="02000000000000000000"/>
    <w:charset w:val="86"/>
    <w:family w:val="script"/>
    <w:pitch w:val="default"/>
    <w:sig w:usb0="00000001" w:usb1="08000000" w:usb2="00000000" w:usb3="00000000" w:csb0="00040000" w:csb1="00000000"/>
    <w:embedRegular r:id="rId4" w:fontKey="{2DC1CD9C-4B8A-415C-BABD-52B73B9E0114}"/>
  </w:font>
  <w:font w:name="仿宋">
    <w:panose1 w:val="02010609060101010101"/>
    <w:charset w:val="86"/>
    <w:family w:val="auto"/>
    <w:pitch w:val="default"/>
    <w:sig w:usb0="800002BF" w:usb1="38CF7CFA" w:usb2="00000016" w:usb3="00000000" w:csb0="00040001" w:csb1="00000000"/>
    <w:embedRegular r:id="rId5" w:fontKey="{DF6BDFF5-3173-45DA-A294-69A401601C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9"/>
      <w:framePr w:wrap="around" w:vAnchor="text" w:hAnchor="margin" w:xAlign="center" w:y="1"/>
      <w:rPr>
        <w:rStyle w:val="14"/>
      </w:rPr>
    </w:pPr>
    <w:r>
      <w:fldChar w:fldCharType="begin"/>
    </w:r>
    <w:r>
      <w:rPr>
        <w:rStyle w:val="14"/>
      </w:rPr>
      <w:instrText xml:space="preserve">PAGE  </w:instrText>
    </w:r>
    <w:r>
      <w:fldChar w:fldCharType="end"/>
    </w:r>
  </w:p>
  <w:p w14:paraId="490A18AE">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9"/>
      <w:framePr w:wrap="around" w:vAnchor="text" w:hAnchor="margin" w:xAlign="center" w:y="1"/>
      <w:rPr>
        <w:rStyle w:val="14"/>
      </w:rPr>
    </w:pPr>
    <w:r>
      <w:fldChar w:fldCharType="begin"/>
    </w:r>
    <w:r>
      <w:rPr>
        <w:rStyle w:val="14"/>
      </w:rPr>
      <w:instrText xml:space="preserve">PAGE  </w:instrText>
    </w:r>
    <w:r>
      <w:fldChar w:fldCharType="end"/>
    </w:r>
  </w:p>
  <w:p w14:paraId="0644E3E6">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260770A"/>
    <w:rsid w:val="03A441BF"/>
    <w:rsid w:val="04A7319E"/>
    <w:rsid w:val="060855A8"/>
    <w:rsid w:val="0BF238BE"/>
    <w:rsid w:val="0FB24AB4"/>
    <w:rsid w:val="10AC236A"/>
    <w:rsid w:val="17263B81"/>
    <w:rsid w:val="1E865036"/>
    <w:rsid w:val="1F9D0438"/>
    <w:rsid w:val="20573B57"/>
    <w:rsid w:val="231E5CE9"/>
    <w:rsid w:val="2587134A"/>
    <w:rsid w:val="27CC1EEA"/>
    <w:rsid w:val="2A5016CC"/>
    <w:rsid w:val="2BBE1950"/>
    <w:rsid w:val="2DFD0CB5"/>
    <w:rsid w:val="31644CA2"/>
    <w:rsid w:val="333756F5"/>
    <w:rsid w:val="3543527A"/>
    <w:rsid w:val="36BE775A"/>
    <w:rsid w:val="36C51B37"/>
    <w:rsid w:val="37324EBF"/>
    <w:rsid w:val="3BD10967"/>
    <w:rsid w:val="3C883582"/>
    <w:rsid w:val="3E501A87"/>
    <w:rsid w:val="3EA6712C"/>
    <w:rsid w:val="411E1BF1"/>
    <w:rsid w:val="45B5724A"/>
    <w:rsid w:val="46600D10"/>
    <w:rsid w:val="46D10A76"/>
    <w:rsid w:val="476028F5"/>
    <w:rsid w:val="486A3C02"/>
    <w:rsid w:val="4A467007"/>
    <w:rsid w:val="4F930C92"/>
    <w:rsid w:val="50946DB0"/>
    <w:rsid w:val="52896924"/>
    <w:rsid w:val="5411136C"/>
    <w:rsid w:val="654B3EB8"/>
    <w:rsid w:val="676B5FBF"/>
    <w:rsid w:val="68844983"/>
    <w:rsid w:val="6CEC175A"/>
    <w:rsid w:val="6E0E433F"/>
    <w:rsid w:val="6EFE6F3E"/>
    <w:rsid w:val="6FB42192"/>
    <w:rsid w:val="77770230"/>
    <w:rsid w:val="77AA6566"/>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2"/>
    <w:qFormat/>
    <w:uiPriority w:val="0"/>
    <w:pPr>
      <w:ind w:firstLine="420"/>
    </w:pPr>
  </w:style>
  <w:style w:type="paragraph" w:styleId="6">
    <w:name w:val="List Bullet 2"/>
    <w:basedOn w:val="1"/>
    <w:qFormat/>
    <w:uiPriority w:val="99"/>
    <w:pPr>
      <w:numPr>
        <w:ilvl w:val="0"/>
        <w:numId w:val="1"/>
      </w:numPr>
    </w:pPr>
  </w:style>
  <w:style w:type="paragraph" w:styleId="7">
    <w:name w:val="Plain Text"/>
    <w:basedOn w:val="1"/>
    <w:link w:val="23"/>
    <w:qFormat/>
    <w:uiPriority w:val="0"/>
    <w:rPr>
      <w:rFonts w:ascii="宋体" w:hAnsi="Courier New" w:cs="Courier New"/>
      <w:szCs w:val="21"/>
    </w:rPr>
  </w:style>
  <w:style w:type="paragraph" w:styleId="8">
    <w:name w:val="Balloon Text"/>
    <w:basedOn w:val="1"/>
    <w:link w:val="27"/>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qFormat/>
    <w:uiPriority w:val="99"/>
    <w:rPr>
      <w:color w:val="0000FF"/>
      <w:u w:val="single"/>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3"/>
    <w:link w:val="10"/>
    <w:qFormat/>
    <w:uiPriority w:val="99"/>
    <w:rPr>
      <w:sz w:val="18"/>
      <w:szCs w:val="18"/>
    </w:rPr>
  </w:style>
  <w:style w:type="character" w:customStyle="1" w:styleId="20">
    <w:name w:val="页脚 Char"/>
    <w:basedOn w:val="13"/>
    <w:link w:val="9"/>
    <w:qFormat/>
    <w:uiPriority w:val="99"/>
    <w:rPr>
      <w:sz w:val="18"/>
      <w:szCs w:val="18"/>
    </w:rPr>
  </w:style>
  <w:style w:type="character" w:customStyle="1" w:styleId="21">
    <w:name w:val="标题 2 Char"/>
    <w:basedOn w:val="13"/>
    <w:link w:val="4"/>
    <w:qFormat/>
    <w:uiPriority w:val="0"/>
    <w:rPr>
      <w:rFonts w:ascii="Arial" w:hAnsi="Arial" w:eastAsia="黑体" w:cs="Times New Roman"/>
      <w:b/>
      <w:bCs/>
      <w:sz w:val="32"/>
      <w:szCs w:val="32"/>
    </w:rPr>
  </w:style>
  <w:style w:type="character" w:customStyle="1" w:styleId="22">
    <w:name w:val="正文缩进 Char"/>
    <w:link w:val="5"/>
    <w:qFormat/>
    <w:uiPriority w:val="0"/>
    <w:rPr>
      <w:rFonts w:ascii="Times New Roman" w:hAnsi="Times New Roman" w:eastAsia="宋体" w:cs="Times New Roman"/>
      <w:szCs w:val="24"/>
    </w:rPr>
  </w:style>
  <w:style w:type="character" w:customStyle="1" w:styleId="23">
    <w:name w:val="纯文本 Char"/>
    <w:basedOn w:val="13"/>
    <w:link w:val="7"/>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3"/>
    <w:link w:val="8"/>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30"/>
    <w:next w:val="16"/>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1">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740</Words>
  <Characters>798</Characters>
  <Paragraphs>196</Paragraphs>
  <TotalTime>2</TotalTime>
  <ScaleCrop>false</ScaleCrop>
  <LinksUpToDate>false</LinksUpToDate>
  <CharactersWithSpaces>810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2025-07-24T00:22:35Z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