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553"/>
      <w:bookmarkStart w:id="2" w:name="_Toc3493"/>
      <w:bookmarkStart w:id="3" w:name="_Toc17040"/>
      <w:bookmarkStart w:id="4" w:name="_Toc15365"/>
      <w:bookmarkStart w:id="5" w:name="_Toc16091"/>
      <w:bookmarkStart w:id="6" w:name="_Toc15189"/>
      <w:bookmarkStart w:id="7" w:name="_Toc14315"/>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212B9A3A">
      <w:pPr>
        <w:pStyle w:val="18"/>
        <w:ind w:firstLine="883" w:firstLineChars="200"/>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中山大学孙逸仙纪念医院放射源采购项目</w:t>
      </w: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076</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7</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yellow"/>
          <w:lang w:val="en-US" w:eastAsia="zh-CN"/>
        </w:rPr>
        <w:t>11</w:t>
      </w:r>
      <w:r>
        <w:rPr>
          <w:rFonts w:hint="eastAsia" w:ascii="仿宋" w:hAnsi="仿宋" w:eastAsia="仿宋" w:cs="仿宋"/>
          <w:b/>
          <w:bCs/>
          <w:sz w:val="32"/>
          <w:szCs w:val="32"/>
          <w:highlight w:val="none"/>
          <w:lang w:val="en-US" w:eastAsia="zh-CN"/>
        </w:rPr>
        <w:t>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30"/>
        <w:tabs>
          <w:tab w:val="right" w:leader="dot" w:pos="9070"/>
        </w:tabs>
        <w:rPr>
          <w:rFonts w:hint="eastAsia" w:ascii="仿宋" w:hAnsi="仿宋" w:eastAsia="仿宋" w:cs="仿宋"/>
          <w:b/>
          <w:bCs/>
          <w:sz w:val="28"/>
          <w:szCs w:val="28"/>
        </w:rPr>
      </w:pPr>
    </w:p>
    <w:p w14:paraId="65A5A7C8">
      <w:pPr>
        <w:pStyle w:val="20"/>
        <w:rPr>
          <w:rFonts w:ascii="宋体" w:hAnsi="宋体"/>
          <w:bCs/>
          <w:szCs w:val="28"/>
        </w:rPr>
      </w:pPr>
      <w:r>
        <w:rPr>
          <w:rFonts w:hint="eastAsia" w:ascii="仿宋" w:hAnsi="仿宋" w:eastAsia="仿宋" w:cs="仿宋"/>
          <w:b/>
          <w:bCs/>
          <w:sz w:val="28"/>
          <w:szCs w:val="28"/>
        </w:rPr>
        <w:fldChar w:fldCharType="end"/>
      </w:r>
    </w:p>
    <w:p w14:paraId="7B99D4CD">
      <w:pPr>
        <w:pStyle w:val="20"/>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034BCEDF">
      <w:pPr>
        <w:pStyle w:val="13"/>
        <w:widowControl/>
        <w:wordWrap w:val="0"/>
        <w:spacing w:beforeAutospacing="0" w:afterAutospacing="0" w:line="400" w:lineRule="atLeast"/>
        <w:ind w:firstLine="422"/>
        <w:jc w:val="both"/>
        <w:textAlignment w:val="baseline"/>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Cs/>
          <w:color w:val="000000"/>
          <w:sz w:val="24"/>
          <w:highlight w:val="yellow"/>
          <w:lang w:val="en-US" w:eastAsia="zh-CN"/>
        </w:rPr>
        <w:t>放射源采购项目（包1/包2）</w:t>
      </w:r>
      <w:r>
        <w:rPr>
          <w:rFonts w:hint="eastAsia" w:ascii="仿宋" w:hAnsi="仿宋" w:eastAsia="仿宋" w:cs="仿宋"/>
          <w:color w:val="000000"/>
          <w:highlight w:val="yellow"/>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2025年7月17日下午17:00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0"/>
      </w:pPr>
    </w:p>
    <w:p w14:paraId="784F4B26">
      <w:pPr>
        <w:pStyle w:val="2"/>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0221A029">
      <w:pPr>
        <w:pStyle w:val="7"/>
        <w:adjustRightInd w:val="0"/>
        <w:snapToGrid w:val="0"/>
        <w:rPr>
          <w:rFonts w:hint="eastAsia" w:ascii="仿宋" w:hAnsi="仿宋" w:eastAsia="仿宋" w:cs="仿宋"/>
          <w:sz w:val="24"/>
          <w:highlight w:val="none"/>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响应人必须是合法正规的服务机构，须合法开展本次服务，具备开展本次服务的所有相关证明材料，包括但不限于：</w:t>
      </w:r>
    </w:p>
    <w:p w14:paraId="12A6A9DD">
      <w:pPr>
        <w:pStyle w:val="7"/>
        <w:adjustRightInd w:val="0"/>
        <w:snapToGrid w:val="0"/>
        <w:rPr>
          <w:rFonts w:hint="eastAsia" w:ascii="仿宋" w:hAnsi="仿宋" w:eastAsia="仿宋" w:cs="仿宋"/>
          <w:sz w:val="24"/>
          <w:highlight w:val="none"/>
        </w:rPr>
      </w:pPr>
      <w:r>
        <w:rPr>
          <w:rFonts w:hint="eastAsia" w:ascii="仿宋" w:hAnsi="仿宋" w:eastAsia="仿宋" w:cs="仿宋"/>
          <w:sz w:val="24"/>
          <w:highlight w:val="none"/>
        </w:rPr>
        <w:t>具有有效的辐射安全许可证，且许可证经营范围包括所响应产品（提供有效的许可证书复印件或扫描件并加盖供应商公章，原件备查）；</w:t>
      </w:r>
    </w:p>
    <w:p w14:paraId="1B40B13F">
      <w:pPr>
        <w:pStyle w:val="7"/>
        <w:adjustRightInd w:val="0"/>
        <w:snapToGrid w:val="0"/>
        <w:rPr>
          <w:rFonts w:hint="eastAsia" w:ascii="仿宋" w:hAnsi="仿宋" w:eastAsia="仿宋" w:cs="仿宋"/>
          <w:sz w:val="24"/>
          <w:highlight w:val="none"/>
        </w:rPr>
      </w:pPr>
      <w:r>
        <w:rPr>
          <w:rFonts w:hint="eastAsia" w:ascii="仿宋" w:hAnsi="仿宋" w:eastAsia="仿宋" w:cs="仿宋"/>
          <w:sz w:val="24"/>
          <w:highlight w:val="none"/>
        </w:rPr>
        <w:t>道路运输经营许可证；且许可范围包括所响应产品（提供有效的许可证书复印件或扫描件并加盖供应商公章，原件备查）(可以提供与第三方的委托协议及委托方的资质)。</w:t>
      </w:r>
    </w:p>
    <w:p w14:paraId="1D3F8795">
      <w:pPr>
        <w:pStyle w:val="7"/>
        <w:adjustRightInd w:val="0"/>
        <w:snapToGrid w:val="0"/>
        <w:rPr>
          <w:rFonts w:hint="eastAsia" w:ascii="仿宋" w:hAnsi="仿宋" w:eastAsia="仿宋" w:cs="仿宋"/>
          <w:sz w:val="24"/>
          <w:szCs w:val="24"/>
          <w:highlight w:val="none"/>
        </w:rPr>
      </w:pPr>
      <w:r>
        <w:rPr>
          <w:rFonts w:hint="eastAsia" w:ascii="仿宋" w:hAnsi="仿宋" w:eastAsia="仿宋" w:cs="仿宋"/>
          <w:sz w:val="24"/>
          <w:highlight w:val="none"/>
        </w:rPr>
        <w:t>（上述材料，如国家另有规定，则适用其规定）上述材料，除特别声明外，其余需为响应人实际持有，不支持通过挂靠、转让、合作等形式获得或共享相应材料与资质。（提供有效期内的证明资料，加盖公章）</w:t>
      </w:r>
    </w:p>
    <w:p w14:paraId="257354D5">
      <w:pPr>
        <w:pStyle w:val="7"/>
        <w:adjustRightInd w:val="0"/>
        <w:snapToGrid w:val="0"/>
        <w:rPr>
          <w:rFonts w:ascii="Times New Roman" w:hAnsi="Times New Roman" w:cs="Times New Roman"/>
          <w:sz w:val="24"/>
          <w:szCs w:val="24"/>
        </w:rPr>
      </w:pPr>
      <w:bookmarkStart w:id="134" w:name="_GoBack"/>
      <w:bookmarkEnd w:id="134"/>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20"/>
      </w:pPr>
    </w:p>
    <w:p w14:paraId="28FE0FA3">
      <w:pPr>
        <w:pStyle w:val="20"/>
      </w:pPr>
    </w:p>
    <w:p w14:paraId="3239E2DB">
      <w:pPr>
        <w:pStyle w:val="20"/>
      </w:pPr>
    </w:p>
    <w:p w14:paraId="442F656E">
      <w:pPr>
        <w:pStyle w:val="20"/>
      </w:pPr>
    </w:p>
    <w:p w14:paraId="677A07BB">
      <w:pPr>
        <w:pStyle w:val="20"/>
      </w:pPr>
    </w:p>
    <w:p w14:paraId="36BD4684">
      <w:pPr>
        <w:pStyle w:val="20"/>
      </w:pPr>
    </w:p>
    <w:p w14:paraId="270854DA">
      <w:pPr>
        <w:pStyle w:val="20"/>
      </w:pPr>
    </w:p>
    <w:p w14:paraId="1BD53396">
      <w:pPr>
        <w:pStyle w:val="20"/>
      </w:pPr>
    </w:p>
    <w:p w14:paraId="591494E8">
      <w:pPr>
        <w:pStyle w:val="20"/>
      </w:pPr>
    </w:p>
    <w:p w14:paraId="5D00C6A5">
      <w:pPr>
        <w:pStyle w:val="20"/>
      </w:pPr>
    </w:p>
    <w:p w14:paraId="165FDEE2">
      <w:pPr>
        <w:pStyle w:val="20"/>
      </w:pPr>
    </w:p>
    <w:p w14:paraId="22475001">
      <w:pPr>
        <w:pStyle w:val="20"/>
      </w:pPr>
    </w:p>
    <w:p w14:paraId="69908648">
      <w:pPr>
        <w:pStyle w:val="20"/>
      </w:pPr>
    </w:p>
    <w:p w14:paraId="45E1BF46">
      <w:pPr>
        <w:pStyle w:val="20"/>
      </w:pPr>
    </w:p>
    <w:p w14:paraId="0069CD8A">
      <w:pPr>
        <w:pStyle w:val="20"/>
      </w:pPr>
    </w:p>
    <w:p w14:paraId="6B7E7494">
      <w:pPr>
        <w:pStyle w:val="20"/>
      </w:pPr>
    </w:p>
    <w:p w14:paraId="0178C82F">
      <w:pPr>
        <w:pStyle w:val="20"/>
      </w:pPr>
    </w:p>
    <w:p w14:paraId="6E8CAE5C">
      <w:pPr>
        <w:widowControl/>
        <w:spacing w:line="360" w:lineRule="auto"/>
        <w:jc w:val="center"/>
        <w:outlineLvl w:val="0"/>
        <w:rPr>
          <w:rFonts w:ascii="宋体" w:hAnsi="宋体" w:cs="宋体"/>
          <w:b/>
          <w:kern w:val="0"/>
          <w:sz w:val="40"/>
          <w:szCs w:val="27"/>
        </w:rPr>
      </w:pPr>
      <w:bookmarkStart w:id="12" w:name="_Toc24"/>
      <w:bookmarkStart w:id="13" w:name="_Toc28528"/>
      <w:bookmarkStart w:id="14" w:name="_Toc31740"/>
      <w:bookmarkStart w:id="15" w:name="_Toc25869"/>
      <w:bookmarkStart w:id="16" w:name="_Toc6408"/>
      <w:bookmarkStart w:id="17" w:name="_Toc17375"/>
      <w:bookmarkStart w:id="18" w:name="_Toc6151"/>
      <w:bookmarkStart w:id="19" w:name="_Toc31053"/>
      <w:bookmarkStart w:id="20" w:name="_Toc14488"/>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2AAE92BB">
      <w:pPr>
        <w:jc w:val="center"/>
        <w:rPr>
          <w:rFonts w:hint="eastAsia" w:ascii="宋体" w:hAnsi="宋体" w:cs="宋体"/>
          <w:b/>
          <w:kern w:val="0"/>
          <w:sz w:val="52"/>
          <w:szCs w:val="52"/>
          <w:lang w:val="en-US" w:eastAsia="zh-CN"/>
        </w:rPr>
      </w:pPr>
    </w:p>
    <w:p w14:paraId="19AD6ECF">
      <w:pPr>
        <w:pStyle w:val="3"/>
        <w:jc w:val="center"/>
        <w:rPr>
          <w:rFonts w:hint="default"/>
          <w:lang w:val="en-US"/>
        </w:rPr>
      </w:pPr>
      <w:r>
        <w:rPr>
          <w:rFonts w:hint="eastAsia" w:ascii="仿宋" w:hAnsi="仿宋" w:eastAsia="仿宋" w:cs="仿宋"/>
          <w:b/>
          <w:kern w:val="0"/>
          <w:sz w:val="52"/>
          <w:szCs w:val="52"/>
          <w:lang w:val="en-US" w:eastAsia="zh-CN"/>
        </w:rPr>
        <w:t>中山大学孙逸仙纪念医院放射源采购项目（</w:t>
      </w:r>
      <w:r>
        <w:rPr>
          <w:rFonts w:hint="eastAsia" w:ascii="仿宋" w:hAnsi="仿宋" w:eastAsia="仿宋" w:cs="仿宋"/>
          <w:b/>
          <w:kern w:val="0"/>
          <w:sz w:val="52"/>
          <w:szCs w:val="52"/>
          <w:highlight w:val="yellow"/>
          <w:lang w:val="en-US" w:eastAsia="zh-CN"/>
        </w:rPr>
        <w:t>包x</w:t>
      </w:r>
      <w:r>
        <w:rPr>
          <w:rFonts w:hint="eastAsia" w:ascii="仿宋" w:hAnsi="仿宋" w:eastAsia="仿宋" w:cs="仿宋"/>
          <w:b/>
          <w:kern w:val="0"/>
          <w:sz w:val="52"/>
          <w:szCs w:val="52"/>
          <w:lang w:val="en-US" w:eastAsia="zh-CN"/>
        </w:rPr>
        <w:t>）</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15870"/>
      <w:bookmarkStart w:id="22" w:name="_Toc26267"/>
      <w:bookmarkStart w:id="23" w:name="_Toc40346375"/>
      <w:bookmarkStart w:id="24" w:name="_Toc6547"/>
      <w:bookmarkStart w:id="25" w:name="_Toc3471"/>
      <w:bookmarkStart w:id="26" w:name="_Toc11075"/>
      <w:bookmarkStart w:id="27" w:name="_Toc29113"/>
      <w:bookmarkStart w:id="28" w:name="_Toc40346216"/>
      <w:bookmarkStart w:id="29" w:name="_Toc40776111"/>
      <w:bookmarkStart w:id="30" w:name="_Toc435"/>
      <w:bookmarkStart w:id="31" w:name="_Toc12520"/>
      <w:bookmarkStart w:id="32" w:name="_Toc8364"/>
      <w:bookmarkStart w:id="33" w:name="_Toc28703"/>
      <w:bookmarkStart w:id="34" w:name="_Toc11305"/>
      <w:bookmarkStart w:id="35" w:name="_Toc21249"/>
      <w:bookmarkStart w:id="36" w:name="_Toc7291"/>
      <w:bookmarkStart w:id="37" w:name="_Toc1994"/>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17709"/>
      <w:bookmarkStart w:id="40" w:name="_Toc20884"/>
      <w:bookmarkStart w:id="41" w:name="_Toc40776112"/>
      <w:bookmarkStart w:id="42" w:name="_Toc40346376"/>
      <w:bookmarkStart w:id="43" w:name="_Toc1743"/>
      <w:bookmarkStart w:id="44" w:name="_Toc2916"/>
      <w:bookmarkStart w:id="45" w:name="_Toc40346217"/>
    </w:p>
    <w:p w14:paraId="50811D44">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11485"/>
      <w:bookmarkStart w:id="48" w:name="_Toc30979"/>
      <w:bookmarkStart w:id="49" w:name="_Toc5238"/>
      <w:bookmarkStart w:id="50" w:name="_Toc23097"/>
      <w:bookmarkStart w:id="51" w:name="_Toc2012"/>
      <w:bookmarkStart w:id="52" w:name="_Toc31538"/>
      <w:bookmarkStart w:id="53" w:name="_Toc2029"/>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28064"/>
      <w:bookmarkStart w:id="56" w:name="_Toc11141"/>
      <w:bookmarkStart w:id="57" w:name="_Toc27867"/>
      <w:bookmarkStart w:id="58" w:name="_Toc12645"/>
      <w:bookmarkStart w:id="59" w:name="_Toc7052"/>
      <w:bookmarkStart w:id="60" w:name="_Toc40346377"/>
      <w:bookmarkStart w:id="61" w:name="_Toc29767"/>
      <w:bookmarkStart w:id="62" w:name="_Toc40776113"/>
      <w:bookmarkStart w:id="63" w:name="_Toc14824"/>
      <w:bookmarkStart w:id="64" w:name="_Toc16794"/>
      <w:bookmarkStart w:id="65" w:name="_Toc17930"/>
      <w:bookmarkStart w:id="66" w:name="_Toc11558"/>
      <w:bookmarkStart w:id="67" w:name="_Toc40346218"/>
      <w:bookmarkStart w:id="68" w:name="_Toc21483"/>
      <w:bookmarkStart w:id="69" w:name="_Toc31993"/>
      <w:bookmarkStart w:id="70" w:name="_Toc24763"/>
      <w:bookmarkStart w:id="71" w:name="_Toc40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4563"/>
      <w:bookmarkStart w:id="73" w:name="_Toc6438"/>
      <w:bookmarkStart w:id="74" w:name="_Toc31197"/>
      <w:bookmarkStart w:id="75" w:name="_Toc40346219"/>
      <w:bookmarkStart w:id="76" w:name="_Toc24651"/>
      <w:bookmarkStart w:id="77" w:name="_Toc9883"/>
      <w:bookmarkStart w:id="78" w:name="_Toc40346378"/>
      <w:bookmarkStart w:id="79" w:name="_Toc32709"/>
      <w:bookmarkStart w:id="80" w:name="_Toc19831"/>
      <w:bookmarkStart w:id="81" w:name="_Toc26029"/>
      <w:bookmarkStart w:id="82" w:name="_Toc40776114"/>
      <w:bookmarkStart w:id="83" w:name="_Toc17537"/>
      <w:bookmarkStart w:id="84" w:name="_Toc1324"/>
      <w:bookmarkStart w:id="85" w:name="_Toc16813"/>
      <w:bookmarkStart w:id="86" w:name="_Toc14287"/>
      <w:bookmarkStart w:id="87" w:name="_Toc27771"/>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17483"/>
      <w:bookmarkStart w:id="90" w:name="_Toc21940"/>
      <w:bookmarkStart w:id="91" w:name="_Toc21686"/>
      <w:bookmarkStart w:id="92" w:name="_Toc12650"/>
      <w:bookmarkStart w:id="93" w:name="_Toc40346379"/>
      <w:bookmarkStart w:id="94" w:name="_Toc3895"/>
      <w:bookmarkStart w:id="95" w:name="_Toc40776115"/>
      <w:bookmarkStart w:id="96" w:name="_Toc14586"/>
      <w:bookmarkStart w:id="97" w:name="_Toc30336"/>
      <w:bookmarkStart w:id="98" w:name="_Toc13222"/>
      <w:bookmarkStart w:id="99" w:name="_Toc5634"/>
      <w:bookmarkStart w:id="100" w:name="_Toc27206"/>
      <w:bookmarkStart w:id="101" w:name="_Toc18353"/>
      <w:bookmarkStart w:id="102" w:name="_Toc20994"/>
      <w:bookmarkStart w:id="103" w:name="_Toc27868"/>
      <w:bookmarkStart w:id="104" w:name="_Toc40346220"/>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40776116"/>
      <w:bookmarkStart w:id="107" w:name="_Toc27009"/>
      <w:bookmarkStart w:id="108" w:name="_Toc8526"/>
      <w:bookmarkStart w:id="109" w:name="_Toc10454"/>
      <w:bookmarkStart w:id="110" w:name="_Toc14462"/>
      <w:bookmarkStart w:id="111" w:name="_Toc30904"/>
      <w:bookmarkStart w:id="112" w:name="_Toc40346380"/>
      <w:bookmarkStart w:id="113" w:name="_Toc30856"/>
      <w:bookmarkStart w:id="114" w:name="_Toc9282"/>
      <w:bookmarkStart w:id="115" w:name="_Toc32371"/>
      <w:bookmarkStart w:id="116" w:name="_Toc27646"/>
      <w:bookmarkStart w:id="117" w:name="_Toc21449"/>
      <w:bookmarkStart w:id="118" w:name="_Toc5220"/>
      <w:bookmarkStart w:id="119" w:name="_Toc40346221"/>
      <w:bookmarkStart w:id="120" w:name="_Toc3498"/>
      <w:bookmarkStart w:id="121" w:name="_Toc12127"/>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23B33D23">
      <w:pPr>
        <w:rPr>
          <w:rFonts w:hint="eastAsia" w:ascii="仿宋" w:hAnsi="仿宋" w:eastAsia="仿宋" w:cs="仿宋"/>
          <w:kern w:val="0"/>
          <w:sz w:val="30"/>
          <w:szCs w:val="30"/>
        </w:rPr>
      </w:pPr>
    </w:p>
    <w:p w14:paraId="4473FCC0">
      <w:pPr>
        <w:pStyle w:val="2"/>
        <w:rPr>
          <w:rFonts w:hint="eastAsia" w:ascii="仿宋" w:hAnsi="仿宋" w:eastAsia="仿宋" w:cs="仿宋"/>
          <w:kern w:val="0"/>
          <w:sz w:val="30"/>
          <w:szCs w:val="30"/>
        </w:rPr>
      </w:pPr>
    </w:p>
    <w:p w14:paraId="49734533">
      <w:pPr>
        <w:rPr>
          <w:rFonts w:hint="eastAsia" w:ascii="仿宋" w:hAnsi="仿宋" w:eastAsia="仿宋" w:cs="仿宋"/>
          <w:kern w:val="0"/>
          <w:sz w:val="30"/>
          <w:szCs w:val="30"/>
        </w:rPr>
      </w:pPr>
    </w:p>
    <w:p w14:paraId="3636CF4E">
      <w:pPr>
        <w:pStyle w:val="2"/>
        <w:rPr>
          <w:rFonts w:hint="eastAsia"/>
        </w:rPr>
      </w:pPr>
    </w:p>
    <w:p w14:paraId="45B71CC0">
      <w:pPr>
        <w:pStyle w:val="20"/>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9697"/>
      <w:bookmarkStart w:id="124" w:name="_Toc16608"/>
      <w:bookmarkStart w:id="125" w:name="_Toc15539"/>
      <w:bookmarkStart w:id="126" w:name="_Toc28747"/>
      <w:bookmarkStart w:id="127" w:name="_Toc10399"/>
      <w:bookmarkStart w:id="128" w:name="_Toc16728"/>
      <w:bookmarkStart w:id="129" w:name="_Toc31077"/>
      <w:bookmarkStart w:id="130" w:name="_Toc13184"/>
      <w:bookmarkStart w:id="131" w:name="_Toc21213"/>
      <w:bookmarkStart w:id="132" w:name="_Toc6691"/>
      <w:bookmarkStart w:id="133" w:name="_Toc8637"/>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中山大学孙逸仙纪念医院放射源采购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1"/>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8"/>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资质证明</w:t>
      </w:r>
    </w:p>
    <w:p w14:paraId="456C532C">
      <w:pPr>
        <w:pStyle w:val="27"/>
        <w:tabs>
          <w:tab w:val="left" w:pos="1050"/>
          <w:tab w:val="center" w:pos="4535"/>
        </w:tabs>
        <w:spacing w:line="360" w:lineRule="auto"/>
        <w:jc w:val="center"/>
        <w:outlineLvl w:val="0"/>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具有有效的辐射安全许可证，且许可证经营范围包括所响应产品（提供有效的许可证书复印件或扫描件并加盖供应商公章，原件备查）；</w:t>
      </w:r>
    </w:p>
    <w:p w14:paraId="74511671">
      <w:pPr>
        <w:pStyle w:val="27"/>
        <w:tabs>
          <w:tab w:val="left" w:pos="1050"/>
          <w:tab w:val="center" w:pos="4535"/>
        </w:tabs>
        <w:spacing w:line="360" w:lineRule="auto"/>
        <w:jc w:val="center"/>
        <w:outlineLvl w:val="0"/>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道路运输经营许可证；且许可范围包括所响应产品（提供有效的许可证书复印件或扫描件并加盖供应商公章，原件备查）(可以提供与第三方的委托协议及委托方的资质)。</w:t>
      </w:r>
    </w:p>
    <w:p w14:paraId="57AA069E">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kern w:val="0"/>
          <w:sz w:val="24"/>
          <w:szCs w:val="24"/>
          <w:lang w:val="en-US" w:eastAsia="zh-CN" w:bidi="ar-SA"/>
        </w:rPr>
        <w:t>（上述材料，如国家另有规定，则适用其规定）上述材料，除特别声明外，其余需为响应人实际持有，不支持通过挂靠、转让、合作等形式获得或共享相应材料与资质。（提供有效期内的证明资料，加盖公章）</w:t>
      </w: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6"/>
      </w:rPr>
    </w:pPr>
    <w:r>
      <w:fldChar w:fldCharType="begin"/>
    </w:r>
    <w:r>
      <w:rPr>
        <w:rStyle w:val="16"/>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6"/>
      </w:rPr>
    </w:pPr>
    <w:r>
      <w:fldChar w:fldCharType="begin"/>
    </w:r>
    <w:r>
      <w:rPr>
        <w:rStyle w:val="16"/>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3867993"/>
    <w:rsid w:val="2587134A"/>
    <w:rsid w:val="27CC1EEA"/>
    <w:rsid w:val="2B8929FD"/>
    <w:rsid w:val="2DBC51FF"/>
    <w:rsid w:val="333756F5"/>
    <w:rsid w:val="3BD10967"/>
    <w:rsid w:val="3DCC158A"/>
    <w:rsid w:val="3EA6712C"/>
    <w:rsid w:val="45B5724A"/>
    <w:rsid w:val="4A467007"/>
    <w:rsid w:val="5411136C"/>
    <w:rsid w:val="57F97319"/>
    <w:rsid w:val="5AA42262"/>
    <w:rsid w:val="68844983"/>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paragraph" w:styleId="13">
    <w:name w:val="Normal (Web)"/>
    <w:basedOn w:val="1"/>
    <w:qFormat/>
    <w:uiPriority w:val="0"/>
    <w:pPr>
      <w:spacing w:beforeAutospacing="1" w:afterAutospacing="1"/>
      <w:jc w:val="left"/>
    </w:pPr>
    <w:rPr>
      <w:kern w:val="0"/>
      <w:sz w:val="24"/>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标题 2 Char"/>
    <w:basedOn w:val="15"/>
    <w:link w:val="2"/>
    <w:qFormat/>
    <w:uiPriority w:val="0"/>
    <w:rPr>
      <w:rFonts w:ascii="Arial" w:hAnsi="Arial" w:eastAsia="黑体" w:cs="Times New Roman"/>
      <w:b/>
      <w:bCs/>
      <w:sz w:val="32"/>
      <w:szCs w:val="32"/>
    </w:rPr>
  </w:style>
  <w:style w:type="character" w:customStyle="1" w:styleId="24">
    <w:name w:val="正文缩进 Char"/>
    <w:link w:val="4"/>
    <w:qFormat/>
    <w:uiPriority w:val="0"/>
    <w:rPr>
      <w:rFonts w:ascii="Times New Roman" w:hAnsi="Times New Roman" w:eastAsia="宋体" w:cs="Times New Roman"/>
      <w:szCs w:val="24"/>
    </w:rPr>
  </w:style>
  <w:style w:type="character" w:customStyle="1" w:styleId="25">
    <w:name w:val="纯文本 Char"/>
    <w:basedOn w:val="15"/>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5"/>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684</Words>
  <Characters>742</Characters>
  <Paragraphs>196</Paragraphs>
  <TotalTime>5</TotalTime>
  <ScaleCrop>false</ScaleCrop>
  <LinksUpToDate>false</LinksUpToDate>
  <CharactersWithSpaces>755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2025-07-11T04:49:12Z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0323C372901849CABA841F9E55B5E8BE_13</vt:lpwstr>
  </property>
  <property fmtid="{D5CDD505-2E9C-101B-9397-08002B2CF9AE}" pid="4" name="KSOTemplateDocerSaveRecord">
    <vt:lpwstr>eyJoZGlkIjoiZjdiZTYzYTJhNGE0OGIwYjEwNTE2YmNlZDVmNzIwZTkiLCJ1c2VySWQiOiI2ODYyMDA2NDcifQ==</vt:lpwstr>
  </property>
</Properties>
</file>