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3493"/>
      <w:bookmarkStart w:id="2" w:name="_Toc15365"/>
      <w:bookmarkStart w:id="3" w:name="_Toc14315"/>
      <w:bookmarkStart w:id="4" w:name="_Toc15189"/>
      <w:bookmarkStart w:id="5" w:name="_Toc16091"/>
      <w:bookmarkStart w:id="6" w:name="_Toc17040"/>
      <w:bookmarkStart w:id="7" w:name="_Toc15553"/>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1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A2CF07D">
      <w:pPr>
        <w:pStyle w:val="2"/>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公务车辆定点加油服务项目</w:t>
      </w:r>
    </w:p>
    <w:p w14:paraId="720C3F77">
      <w:pPr>
        <w:pStyle w:val="16"/>
        <w:rPr>
          <w:rFonts w:hint="eastAsia"/>
        </w:rPr>
      </w:pPr>
    </w:p>
    <w:p w14:paraId="30B0BBC0">
      <w:pPr>
        <w:pStyle w:val="16"/>
        <w:rPr>
          <w:rFonts w:hint="eastAsia"/>
        </w:rPr>
      </w:pPr>
    </w:p>
    <w:p w14:paraId="44FD36BD">
      <w:pPr>
        <w:pStyle w:val="16"/>
        <w:rPr>
          <w:rFonts w:hint="eastAsia"/>
        </w:rPr>
      </w:pPr>
    </w:p>
    <w:p w14:paraId="6A6B28A3">
      <w:pPr>
        <w:pStyle w:val="16"/>
        <w:rPr>
          <w:rFonts w:hint="eastAsia"/>
        </w:rPr>
      </w:pPr>
    </w:p>
    <w:p w14:paraId="56375FC5">
      <w:pPr>
        <w:pStyle w:val="16"/>
        <w:rPr>
          <w:rFonts w:hint="eastAsia"/>
        </w:rPr>
      </w:pPr>
    </w:p>
    <w:p w14:paraId="6359C389">
      <w:pPr>
        <w:pStyle w:val="16"/>
        <w:rPr>
          <w:rFonts w:hint="eastAsia"/>
        </w:rPr>
      </w:pPr>
    </w:p>
    <w:p w14:paraId="72A5B3FB">
      <w:pPr>
        <w:pStyle w:val="1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ZCB-2025080</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谈判</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3.邮件主题：包号+车辆定点加油-某某公司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2025年7月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4136EF1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694DEF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7.供应商的报名邮箱视为我院采购过程中谈判文件、成交通知书及相关答疑回复的电子送达地址；电子文书成功发送至供应商提供的电子送达地址时，视为已送达。</w:t>
      </w:r>
    </w:p>
    <w:p w14:paraId="6603711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40FB6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谈判</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5733B7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E44DCB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6EEC4DF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（7）供应商须具备有效的《成品油批发经营批准证书》或《成品油零售经营批准证书》、《危险化学品经营许可证》。</w:t>
      </w:r>
    </w:p>
    <w:p w14:paraId="121FF309">
      <w:pPr>
        <w:pStyle w:val="7"/>
        <w:adjustRightInd w:val="0"/>
        <w:snapToGrid w:val="0"/>
        <w:spacing w:line="360" w:lineRule="auto"/>
        <w:rPr>
          <w:rFonts w:ascii="Times New Roman" w:hAnsi="Times New Roman" w:cs="Times New Roman"/>
          <w:sz w:val="24"/>
          <w:szCs w:val="24"/>
        </w:rPr>
      </w:pPr>
      <w:r>
        <w:rPr>
          <w:rFonts w:hint="eastAsia" w:ascii="仿宋" w:hAnsi="仿宋" w:eastAsia="仿宋" w:cs="仿宋"/>
          <w:sz w:val="24"/>
          <w:szCs w:val="24"/>
          <w:lang w:val="en-US" w:eastAsia="zh-CN"/>
        </w:rPr>
        <w:t>（8）供应商在参加本次采购活动前3年内没有发生严重违约行为以及发生重大质量安全事故。</w:t>
      </w:r>
    </w:p>
    <w:p w14:paraId="3B3F68BB">
      <w:pPr>
        <w:pStyle w:val="7"/>
        <w:adjustRightInd w:val="0"/>
        <w:snapToGrid w:val="0"/>
        <w:rPr>
          <w:rFonts w:ascii="Times New Roman" w:hAnsi="Times New Roman" w:cs="Times New Roman"/>
          <w:sz w:val="24"/>
          <w:szCs w:val="24"/>
        </w:rPr>
      </w:pPr>
    </w:p>
    <w:p w14:paraId="46BA66C7">
      <w:pPr>
        <w:pStyle w:val="7"/>
        <w:adjustRightInd w:val="0"/>
        <w:snapToGrid w:val="0"/>
        <w:rPr>
          <w:rFonts w:ascii="Times New Roman" w:hAnsi="Times New Roman" w:cs="Times New Roman"/>
          <w:sz w:val="24"/>
          <w:szCs w:val="24"/>
        </w:rPr>
      </w:pPr>
    </w:p>
    <w:p w14:paraId="45280BE3">
      <w:pPr>
        <w:pStyle w:val="7"/>
        <w:adjustRightInd w:val="0"/>
        <w:snapToGrid w:val="0"/>
        <w:rPr>
          <w:rFonts w:ascii="Times New Roman" w:hAnsi="Times New Roman" w:cs="Times New Roman"/>
          <w:sz w:val="24"/>
          <w:szCs w:val="24"/>
        </w:rPr>
      </w:pPr>
    </w:p>
    <w:p w14:paraId="31D3D24A">
      <w:pPr>
        <w:pStyle w:val="7"/>
        <w:adjustRightInd w:val="0"/>
        <w:snapToGrid w:val="0"/>
        <w:rPr>
          <w:rFonts w:ascii="Times New Roman" w:hAnsi="Times New Roman" w:cs="Times New Roman"/>
          <w:sz w:val="24"/>
          <w:szCs w:val="24"/>
        </w:rPr>
      </w:pPr>
    </w:p>
    <w:p w14:paraId="745677E7">
      <w:pPr>
        <w:pStyle w:val="7"/>
        <w:adjustRightInd w:val="0"/>
        <w:snapToGrid w:val="0"/>
        <w:rPr>
          <w:rFonts w:ascii="Times New Roman" w:hAnsi="Times New Roman" w:cs="Times New Roman"/>
          <w:sz w:val="24"/>
          <w:szCs w:val="24"/>
        </w:rPr>
      </w:pPr>
    </w:p>
    <w:p w14:paraId="4F304736">
      <w:pPr>
        <w:pStyle w:val="7"/>
        <w:adjustRightInd w:val="0"/>
        <w:snapToGrid w:val="0"/>
        <w:rPr>
          <w:rFonts w:ascii="Times New Roman" w:hAnsi="Times New Roman" w:cs="Times New Roman"/>
          <w:sz w:val="24"/>
          <w:szCs w:val="24"/>
        </w:rPr>
      </w:pPr>
    </w:p>
    <w:p w14:paraId="32A14100">
      <w:pPr>
        <w:pStyle w:val="7"/>
        <w:adjustRightInd w:val="0"/>
        <w:snapToGrid w:val="0"/>
        <w:rPr>
          <w:rFonts w:ascii="Times New Roman" w:hAnsi="Times New Roman" w:cs="Times New Roman"/>
          <w:sz w:val="24"/>
          <w:szCs w:val="24"/>
        </w:rPr>
      </w:pPr>
    </w:p>
    <w:p w14:paraId="5462AF0A">
      <w:pPr>
        <w:pStyle w:val="7"/>
        <w:adjustRightInd w:val="0"/>
        <w:snapToGrid w:val="0"/>
        <w:rPr>
          <w:rFonts w:ascii="Times New Roman" w:hAnsi="Times New Roman" w:cs="Times New Roman"/>
          <w:sz w:val="24"/>
          <w:szCs w:val="24"/>
        </w:rPr>
      </w:pPr>
    </w:p>
    <w:p w14:paraId="254521FC">
      <w:pPr>
        <w:pStyle w:val="7"/>
        <w:adjustRightInd w:val="0"/>
        <w:snapToGrid w:val="0"/>
        <w:rPr>
          <w:rFonts w:ascii="Times New Roman" w:hAnsi="Times New Roman" w:cs="Times New Roman"/>
          <w:sz w:val="24"/>
          <w:szCs w:val="24"/>
        </w:rPr>
      </w:pPr>
    </w:p>
    <w:p w14:paraId="2D808310">
      <w:pPr>
        <w:pStyle w:val="7"/>
        <w:adjustRightInd w:val="0"/>
        <w:snapToGrid w:val="0"/>
        <w:rPr>
          <w:rFonts w:ascii="Times New Roman" w:hAnsi="Times New Roman" w:cs="Times New Roman"/>
          <w:sz w:val="24"/>
          <w:szCs w:val="24"/>
        </w:rPr>
      </w:pPr>
    </w:p>
    <w:p w14:paraId="2DC6D4D0">
      <w:pPr>
        <w:pStyle w:val="7"/>
        <w:adjustRightInd w:val="0"/>
        <w:snapToGrid w:val="0"/>
        <w:rPr>
          <w:rFonts w:ascii="Times New Roman" w:hAnsi="Times New Roman" w:cs="Times New Roman"/>
          <w:sz w:val="24"/>
          <w:szCs w:val="24"/>
        </w:rPr>
      </w:pPr>
    </w:p>
    <w:p w14:paraId="76FED9B4">
      <w:pPr>
        <w:pStyle w:val="7"/>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4"/>
        <w:jc w:val="center"/>
      </w:pPr>
    </w:p>
    <w:p w14:paraId="4B0CF681">
      <w:pPr>
        <w:pStyle w:val="4"/>
        <w:jc w:val="both"/>
        <w:rPr>
          <w:rFonts w:hint="eastAsia"/>
        </w:rPr>
      </w:pPr>
    </w:p>
    <w:p w14:paraId="25D26CB9">
      <w:pPr>
        <w:rPr>
          <w:rFonts w:hint="eastAsia"/>
        </w:rPr>
      </w:pPr>
    </w:p>
    <w:p w14:paraId="3DF03D55">
      <w:pPr>
        <w:pStyle w:val="2"/>
        <w:rPr>
          <w:rFonts w:hint="eastAsia"/>
        </w:rPr>
      </w:pPr>
    </w:p>
    <w:p w14:paraId="28400412">
      <w:pPr>
        <w:pStyle w:val="16"/>
        <w:rPr>
          <w:rFonts w:hint="eastAsia"/>
        </w:rPr>
      </w:pPr>
    </w:p>
    <w:p w14:paraId="78176F9C">
      <w:pPr>
        <w:pStyle w:val="16"/>
        <w:rPr>
          <w:rFonts w:hint="eastAsia"/>
        </w:rPr>
      </w:pPr>
    </w:p>
    <w:p w14:paraId="11AFDF55">
      <w:pPr>
        <w:pStyle w:val="16"/>
        <w:rPr>
          <w:rFonts w:hint="eastAsia"/>
        </w:rPr>
      </w:pPr>
    </w:p>
    <w:p w14:paraId="74A185C9">
      <w:pPr>
        <w:pStyle w:val="16"/>
        <w:rPr>
          <w:rFonts w:hint="eastAsia"/>
        </w:rPr>
      </w:pPr>
    </w:p>
    <w:p w14:paraId="2F7355C7">
      <w:pPr>
        <w:pStyle w:val="4"/>
        <w:jc w:val="center"/>
        <w:rPr>
          <w:rFonts w:hint="eastAsia"/>
        </w:rPr>
      </w:pPr>
    </w:p>
    <w:p w14:paraId="2AA38C9B">
      <w:pPr>
        <w:pStyle w:val="4"/>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4"/>
      <w:bookmarkStart w:id="13" w:name="_Toc28528"/>
      <w:bookmarkStart w:id="14" w:name="_Toc14488"/>
      <w:bookmarkStart w:id="15" w:name="_Toc25869"/>
      <w:bookmarkStart w:id="16" w:name="_Toc31053"/>
      <w:bookmarkStart w:id="17" w:name="_Toc31740"/>
      <w:bookmarkStart w:id="18" w:name="_Toc17375"/>
      <w:bookmarkStart w:id="19" w:name="_Toc6151"/>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3"/>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1305"/>
      <w:bookmarkStart w:id="22" w:name="_Toc1994"/>
      <w:bookmarkStart w:id="23" w:name="_Toc21249"/>
      <w:bookmarkStart w:id="24" w:name="_Toc15870"/>
      <w:bookmarkStart w:id="25" w:name="_Toc40346216"/>
      <w:bookmarkStart w:id="26" w:name="_Toc8364"/>
      <w:bookmarkStart w:id="27" w:name="_Toc11075"/>
      <w:bookmarkStart w:id="28" w:name="_Toc7291"/>
      <w:bookmarkStart w:id="29" w:name="_Toc6547"/>
      <w:bookmarkStart w:id="30" w:name="_Toc40776111"/>
      <w:bookmarkStart w:id="31" w:name="_Toc26267"/>
      <w:bookmarkStart w:id="32" w:name="_Toc435"/>
      <w:bookmarkStart w:id="33" w:name="_Toc40346375"/>
      <w:bookmarkStart w:id="34" w:name="_Toc12520"/>
      <w:bookmarkStart w:id="35" w:name="_Toc28703"/>
      <w:bookmarkStart w:id="36" w:name="_Toc3471"/>
      <w:bookmarkStart w:id="37" w:name="_Toc29113"/>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916"/>
      <w:bookmarkStart w:id="40" w:name="_Toc40346376"/>
      <w:bookmarkStart w:id="41" w:name="_Toc40776112"/>
      <w:bookmarkStart w:id="42" w:name="_Toc17709"/>
      <w:bookmarkStart w:id="43" w:name="_Toc40346217"/>
      <w:bookmarkStart w:id="44" w:name="_Toc1743"/>
      <w:bookmarkStart w:id="45" w:name="_Toc27997"/>
    </w:p>
    <w:p w14:paraId="2CDD7047">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2029"/>
      <w:bookmarkStart w:id="48" w:name="_Toc5238"/>
      <w:bookmarkStart w:id="49" w:name="_Toc11485"/>
      <w:bookmarkStart w:id="50" w:name="_Toc2012"/>
      <w:bookmarkStart w:id="51" w:name="_Toc30979"/>
      <w:bookmarkStart w:id="52" w:name="_Toc19699"/>
      <w:bookmarkStart w:id="53" w:name="_Toc29102"/>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4013"/>
      <w:bookmarkStart w:id="56" w:name="_Toc40346218"/>
      <w:bookmarkStart w:id="57" w:name="_Toc7052"/>
      <w:bookmarkStart w:id="58" w:name="_Toc40346377"/>
      <w:bookmarkStart w:id="59" w:name="_Toc11558"/>
      <w:bookmarkStart w:id="60" w:name="_Toc11141"/>
      <w:bookmarkStart w:id="61" w:name="_Toc27867"/>
      <w:bookmarkStart w:id="62" w:name="_Toc12645"/>
      <w:bookmarkStart w:id="63" w:name="_Toc16794"/>
      <w:bookmarkStart w:id="64" w:name="_Toc24763"/>
      <w:bookmarkStart w:id="65" w:name="_Toc21483"/>
      <w:bookmarkStart w:id="66" w:name="_Toc40776113"/>
      <w:bookmarkStart w:id="67" w:name="_Toc31993"/>
      <w:bookmarkStart w:id="68" w:name="_Toc28064"/>
      <w:bookmarkStart w:id="69" w:name="_Toc29767"/>
      <w:bookmarkStart w:id="70" w:name="_Toc14824"/>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4563"/>
      <w:bookmarkStart w:id="73" w:name="_Toc40346378"/>
      <w:bookmarkStart w:id="74" w:name="_Toc27771"/>
      <w:bookmarkStart w:id="75" w:name="_Toc9883"/>
      <w:bookmarkStart w:id="76" w:name="_Toc31197"/>
      <w:bookmarkStart w:id="77" w:name="_Toc17537"/>
      <w:bookmarkStart w:id="78" w:name="_Toc24651"/>
      <w:bookmarkStart w:id="79" w:name="_Toc16813"/>
      <w:bookmarkStart w:id="80" w:name="_Toc14287"/>
      <w:bookmarkStart w:id="81" w:name="_Toc26029"/>
      <w:bookmarkStart w:id="82" w:name="_Toc11334"/>
      <w:bookmarkStart w:id="83" w:name="_Toc6438"/>
      <w:bookmarkStart w:id="84" w:name="_Toc40776114"/>
      <w:bookmarkStart w:id="85" w:name="_Toc1324"/>
      <w:bookmarkStart w:id="86" w:name="_Toc32709"/>
      <w:bookmarkStart w:id="87" w:name="_Toc40346219"/>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346220"/>
      <w:bookmarkStart w:id="90" w:name="_Toc3895"/>
      <w:bookmarkStart w:id="91" w:name="_Toc20994"/>
      <w:bookmarkStart w:id="92" w:name="_Toc12650"/>
      <w:bookmarkStart w:id="93" w:name="_Toc18353"/>
      <w:bookmarkStart w:id="94" w:name="_Toc5634"/>
      <w:bookmarkStart w:id="95" w:name="_Toc27206"/>
      <w:bookmarkStart w:id="96" w:name="_Toc5189"/>
      <w:bookmarkStart w:id="97" w:name="_Toc17483"/>
      <w:bookmarkStart w:id="98" w:name="_Toc40776115"/>
      <w:bookmarkStart w:id="99" w:name="_Toc40346379"/>
      <w:bookmarkStart w:id="100" w:name="_Toc14586"/>
      <w:bookmarkStart w:id="101" w:name="_Toc21940"/>
      <w:bookmarkStart w:id="102" w:name="_Toc27868"/>
      <w:bookmarkStart w:id="103" w:name="_Toc13222"/>
      <w:bookmarkStart w:id="104" w:name="_Toc21686"/>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3498"/>
      <w:bookmarkStart w:id="108" w:name="_Toc9282"/>
      <w:bookmarkStart w:id="109" w:name="_Toc10454"/>
      <w:bookmarkStart w:id="110" w:name="_Toc14462"/>
      <w:bookmarkStart w:id="111" w:name="_Toc32371"/>
      <w:bookmarkStart w:id="112" w:name="_Toc21449"/>
      <w:bookmarkStart w:id="113" w:name="_Toc5220"/>
      <w:bookmarkStart w:id="114" w:name="_Toc8526"/>
      <w:bookmarkStart w:id="115" w:name="_Toc40346221"/>
      <w:bookmarkStart w:id="116" w:name="_Toc30904"/>
      <w:bookmarkStart w:id="117" w:name="_Toc30856"/>
      <w:bookmarkStart w:id="118" w:name="_Toc40776116"/>
      <w:bookmarkStart w:id="119" w:name="_Toc12127"/>
      <w:bookmarkStart w:id="120" w:name="_Toc27009"/>
      <w:bookmarkStart w:id="121" w:name="_Toc40346380"/>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0399"/>
      <w:bookmarkStart w:id="124" w:name="_Toc9697"/>
      <w:bookmarkStart w:id="125" w:name="_Toc16728"/>
      <w:bookmarkStart w:id="126" w:name="_Toc15539"/>
      <w:bookmarkStart w:id="127" w:name="_Toc31077"/>
      <w:bookmarkStart w:id="128" w:name="_Toc16608"/>
      <w:bookmarkStart w:id="129" w:name="_Toc8637"/>
      <w:bookmarkStart w:id="130" w:name="_Toc13184"/>
      <w:bookmarkStart w:id="131" w:name="_Toc28747"/>
      <w:bookmarkStart w:id="132" w:name="_Toc6691"/>
      <w:bookmarkStart w:id="133" w:name="_Toc21213"/>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0E2BB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2875BC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15E5F50">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F7F3763">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31C7A40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40B903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7C8F2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6134428">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C0693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2D1C54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AAB6173">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本公司（企业）承诺</w:t>
      </w:r>
      <w:r>
        <w:rPr>
          <w:rFonts w:hint="eastAsia" w:ascii="仿宋" w:hAnsi="仿宋" w:eastAsia="仿宋" w:cs="仿宋"/>
          <w:color w:val="auto"/>
          <w:sz w:val="24"/>
          <w:szCs w:val="24"/>
          <w:highlight w:val="none"/>
        </w:rPr>
        <w:t>参加本次采购活动前3年内没有发生严重违约行为以及发生重大质量安全事故。</w:t>
      </w:r>
    </w:p>
    <w:p w14:paraId="6DDA1B4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7369AD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16"/>
        <w:rPr>
          <w:rFonts w:ascii="宋体" w:hAnsi="宋体"/>
          <w:sz w:val="24"/>
        </w:rPr>
      </w:pPr>
    </w:p>
    <w:p w14:paraId="40D77880">
      <w:pPr>
        <w:pStyle w:val="16"/>
        <w:rPr>
          <w:rFonts w:ascii="宋体" w:hAnsi="宋体"/>
          <w:sz w:val="24"/>
        </w:rPr>
      </w:pPr>
    </w:p>
    <w:p w14:paraId="078405E9">
      <w:pPr>
        <w:pStyle w:val="16"/>
        <w:rPr>
          <w:rFonts w:ascii="宋体" w:hAnsi="宋体"/>
          <w:sz w:val="24"/>
        </w:rPr>
      </w:pPr>
    </w:p>
    <w:p w14:paraId="3D2C49EF">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三、《成品油批发经营批准证书》或《成品油零售经营批准证书》</w:t>
      </w:r>
    </w:p>
    <w:p w14:paraId="71529940">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14:paraId="4DEF56B9">
      <w:pPr>
        <w:pStyle w:val="31"/>
        <w:rPr>
          <w:rFonts w:hint="eastAsia" w:ascii="仿宋" w:hAnsi="仿宋" w:eastAsia="仿宋" w:cs="仿宋"/>
          <w:color w:val="000000" w:themeColor="text1"/>
          <w:highlight w:val="none"/>
          <w14:textFill>
            <w14:solidFill>
              <w14:schemeClr w14:val="tx1"/>
            </w14:solidFill>
          </w14:textFill>
        </w:rPr>
      </w:pPr>
    </w:p>
    <w:p w14:paraId="45376AFD">
      <w:pPr>
        <w:pStyle w:val="31"/>
        <w:rPr>
          <w:rFonts w:hint="eastAsia" w:ascii="仿宋" w:hAnsi="仿宋" w:eastAsia="仿宋" w:cs="仿宋"/>
          <w:color w:val="000000" w:themeColor="text1"/>
          <w:highlight w:val="none"/>
          <w14:textFill>
            <w14:solidFill>
              <w14:schemeClr w14:val="tx1"/>
            </w14:solidFill>
          </w14:textFill>
        </w:rPr>
      </w:pPr>
    </w:p>
    <w:p w14:paraId="11D74F05">
      <w:pPr>
        <w:pStyle w:val="31"/>
        <w:rPr>
          <w:rFonts w:hint="eastAsia" w:ascii="仿宋" w:hAnsi="仿宋" w:eastAsia="仿宋" w:cs="仿宋"/>
          <w:color w:val="000000" w:themeColor="text1"/>
          <w:highlight w:val="none"/>
          <w14:textFill>
            <w14:solidFill>
              <w14:schemeClr w14:val="tx1"/>
            </w14:solidFill>
          </w14:textFill>
        </w:rPr>
      </w:pPr>
    </w:p>
    <w:p w14:paraId="0C163699">
      <w:pPr>
        <w:pStyle w:val="31"/>
        <w:rPr>
          <w:rFonts w:hint="eastAsia" w:ascii="仿宋" w:hAnsi="仿宋" w:eastAsia="仿宋" w:cs="仿宋"/>
          <w:color w:val="000000" w:themeColor="text1"/>
          <w:highlight w:val="none"/>
          <w14:textFill>
            <w14:solidFill>
              <w14:schemeClr w14:val="tx1"/>
            </w14:solidFill>
          </w14:textFill>
        </w:rPr>
      </w:pPr>
    </w:p>
    <w:p w14:paraId="489A433D">
      <w:pPr>
        <w:pStyle w:val="31"/>
        <w:rPr>
          <w:rFonts w:hint="eastAsia" w:ascii="仿宋" w:hAnsi="仿宋" w:eastAsia="仿宋" w:cs="仿宋"/>
          <w:color w:val="000000" w:themeColor="text1"/>
          <w:highlight w:val="none"/>
          <w14:textFill>
            <w14:solidFill>
              <w14:schemeClr w14:val="tx1"/>
            </w14:solidFill>
          </w14:textFill>
        </w:rPr>
      </w:pPr>
    </w:p>
    <w:p w14:paraId="4B5B1CD0">
      <w:pPr>
        <w:pStyle w:val="31"/>
        <w:rPr>
          <w:rFonts w:hint="eastAsia" w:ascii="仿宋" w:hAnsi="仿宋" w:eastAsia="仿宋" w:cs="仿宋"/>
          <w:color w:val="000000" w:themeColor="text1"/>
          <w:highlight w:val="none"/>
          <w14:textFill>
            <w14:solidFill>
              <w14:schemeClr w14:val="tx1"/>
            </w14:solidFill>
          </w14:textFill>
        </w:rPr>
      </w:pPr>
    </w:p>
    <w:p w14:paraId="39D79BA5">
      <w:pPr>
        <w:pStyle w:val="31"/>
        <w:rPr>
          <w:rFonts w:hint="eastAsia" w:ascii="仿宋" w:hAnsi="仿宋" w:eastAsia="仿宋" w:cs="仿宋"/>
          <w:color w:val="000000" w:themeColor="text1"/>
          <w:highlight w:val="none"/>
          <w14:textFill>
            <w14:solidFill>
              <w14:schemeClr w14:val="tx1"/>
            </w14:solidFill>
          </w14:textFill>
        </w:rPr>
      </w:pPr>
    </w:p>
    <w:p w14:paraId="4C577A21">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四、《危险化学品经营许可证》</w:t>
      </w:r>
    </w:p>
    <w:p w14:paraId="357C199C">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14:paraId="5C091DBB">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16"/>
        <w:rPr>
          <w:rFonts w:ascii="宋体" w:hAnsi="宋体"/>
          <w:sz w:val="24"/>
        </w:rPr>
      </w:pPr>
    </w:p>
    <w:p w14:paraId="450445A8">
      <w:pPr>
        <w:pStyle w:val="16"/>
        <w:rPr>
          <w:rFonts w:ascii="宋体" w:hAnsi="宋体"/>
          <w:sz w:val="24"/>
        </w:rPr>
      </w:pPr>
    </w:p>
    <w:p w14:paraId="4B1ADC8C">
      <w:pPr>
        <w:pStyle w:val="16"/>
        <w:rPr>
          <w:rFonts w:ascii="宋体" w:hAnsi="宋体"/>
          <w:sz w:val="24"/>
        </w:rPr>
      </w:pPr>
    </w:p>
    <w:p w14:paraId="716D8190">
      <w:pPr>
        <w:pStyle w:val="16"/>
        <w:rPr>
          <w:rFonts w:ascii="宋体" w:hAnsi="宋体"/>
          <w:sz w:val="24"/>
        </w:rPr>
      </w:pPr>
    </w:p>
    <w:p w14:paraId="4432DFFD">
      <w:pPr>
        <w:pStyle w:val="16"/>
        <w:rPr>
          <w:rFonts w:ascii="宋体" w:hAnsi="宋体"/>
          <w:sz w:val="24"/>
        </w:rPr>
      </w:pPr>
    </w:p>
    <w:p w14:paraId="29E67D13">
      <w:pPr>
        <w:pStyle w:val="16"/>
        <w:rPr>
          <w:rFonts w:ascii="宋体" w:hAnsi="宋体"/>
          <w:sz w:val="24"/>
        </w:rPr>
      </w:pPr>
    </w:p>
    <w:p w14:paraId="09A45915">
      <w:pPr>
        <w:pStyle w:val="16"/>
        <w:spacing w:line="360" w:lineRule="auto"/>
        <w:rPr>
          <w:rFonts w:hint="eastAsia" w:ascii="仿宋" w:hAnsi="仿宋" w:eastAsia="仿宋" w:cs="仿宋"/>
          <w:sz w:val="24"/>
          <w:lang w:val="en-US" w:eastAsia="zh-CN"/>
        </w:rPr>
      </w:pPr>
    </w:p>
    <w:p w14:paraId="3550244A">
      <w:pPr>
        <w:pStyle w:val="16"/>
        <w:spacing w:line="360" w:lineRule="auto"/>
        <w:rPr>
          <w:rFonts w:hint="eastAsia" w:ascii="仿宋" w:hAnsi="仿宋" w:eastAsia="仿宋" w:cs="仿宋"/>
          <w:sz w:val="24"/>
          <w:lang w:val="en-US" w:eastAsia="zh-CN"/>
        </w:rPr>
      </w:pPr>
    </w:p>
    <w:p w14:paraId="1065F86E">
      <w:pPr>
        <w:pStyle w:val="16"/>
        <w:spacing w:line="360" w:lineRule="auto"/>
        <w:rPr>
          <w:rFonts w:hint="eastAsia" w:ascii="仿宋" w:hAnsi="仿宋" w:eastAsia="仿宋" w:cs="仿宋"/>
          <w:sz w:val="24"/>
          <w:lang w:val="en-US" w:eastAsia="zh-CN"/>
        </w:rPr>
      </w:pPr>
    </w:p>
    <w:p w14:paraId="6E6F5212">
      <w:pPr>
        <w:pStyle w:val="1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827269-22F1-4305-872A-C8C1BE470D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5446AB6-117E-4857-91BE-97D068591DC0}"/>
  </w:font>
  <w:font w:name="微软雅黑">
    <w:panose1 w:val="020B0503020204020204"/>
    <w:charset w:val="86"/>
    <w:family w:val="auto"/>
    <w:pitch w:val="default"/>
    <w:sig w:usb0="80000287" w:usb1="2ACF3C50" w:usb2="00000016" w:usb3="00000000" w:csb0="0004001F" w:csb1="00000000"/>
    <w:embedRegular r:id="rId3" w:fontKey="{1FBAC58D-E7CC-4508-9730-D4315F738096}"/>
  </w:font>
  <w:font w:name="方正小标宋简体">
    <w:panose1 w:val="02000000000000000000"/>
    <w:charset w:val="86"/>
    <w:family w:val="script"/>
    <w:pitch w:val="default"/>
    <w:sig w:usb0="00000001" w:usb1="08000000" w:usb2="00000000" w:usb3="00000000" w:csb0="00040000" w:csb1="00000000"/>
    <w:embedRegular r:id="rId4" w:fontKey="{6404F610-9A3D-4BB7-8A31-1E9EE7F9EAD0}"/>
  </w:font>
  <w:font w:name="仿宋">
    <w:panose1 w:val="02010609060101010101"/>
    <w:charset w:val="86"/>
    <w:family w:val="auto"/>
    <w:pitch w:val="default"/>
    <w:sig w:usb0="800002BF" w:usb1="38CF7CFA" w:usb2="00000016" w:usb3="00000000" w:csb0="00040001" w:csb1="00000000"/>
    <w:embedRegular r:id="rId5" w:fontKey="{3ADF7F70-7693-4D7A-85A2-614F8DA65D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9"/>
      <w:framePr w:wrap="around" w:vAnchor="text" w:hAnchor="margin" w:xAlign="center" w:y="1"/>
      <w:rPr>
        <w:rStyle w:val="14"/>
      </w:rPr>
    </w:pPr>
    <w:r>
      <w:fldChar w:fldCharType="begin"/>
    </w:r>
    <w:r>
      <w:rPr>
        <w:rStyle w:val="14"/>
      </w:rPr>
      <w:instrText xml:space="preserve">PAGE  </w:instrText>
    </w:r>
    <w:r>
      <w:fldChar w:fldCharType="end"/>
    </w:r>
  </w:p>
  <w:p w14:paraId="490A18A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9"/>
      <w:framePr w:wrap="around" w:vAnchor="text" w:hAnchor="margin" w:xAlign="center" w:y="1"/>
      <w:rPr>
        <w:rStyle w:val="14"/>
      </w:rPr>
    </w:pPr>
    <w:r>
      <w:fldChar w:fldCharType="begin"/>
    </w:r>
    <w:r>
      <w:rPr>
        <w:rStyle w:val="14"/>
      </w:rPr>
      <w:instrText xml:space="preserve">PAGE  </w:instrText>
    </w:r>
    <w:r>
      <w:fldChar w:fldCharType="end"/>
    </w:r>
  </w:p>
  <w:p w14:paraId="0644E3E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BBE1950"/>
    <w:rsid w:val="2DFD0CB5"/>
    <w:rsid w:val="31644CA2"/>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2896924"/>
    <w:rsid w:val="5411136C"/>
    <w:rsid w:val="654B3EB8"/>
    <w:rsid w:val="676B5FBF"/>
    <w:rsid w:val="68844983"/>
    <w:rsid w:val="6CEC175A"/>
    <w:rsid w:val="6E0E433F"/>
    <w:rsid w:val="6EFE6F3E"/>
    <w:rsid w:val="6FB42192"/>
    <w:rsid w:val="77770230"/>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16"/>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2129</Words>
  <Characters>2253</Characters>
  <Paragraphs>196</Paragraphs>
  <TotalTime>1</TotalTime>
  <ScaleCrop>false</ScaleCrop>
  <LinksUpToDate>false</LinksUpToDate>
  <CharactersWithSpaces>2376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2025-07-17T00:18:23Z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