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1"/>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5"/>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5104</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w:t>
      </w:r>
      <w:r>
        <w:rPr>
          <w:rFonts w:hint="eastAsia" w:ascii="方正仿宋简体" w:hAnsi="方正仿宋简体" w:eastAsia="方正仿宋简体" w:cs="方正仿宋简体"/>
          <w:b/>
          <w:bCs/>
          <w:sz w:val="28"/>
          <w:szCs w:val="28"/>
          <w:highlight w:val="none"/>
          <w:u w:val="single"/>
          <w:lang w:val="en-US" w:eastAsia="zh-CN"/>
        </w:rPr>
        <w:t>孙逸仙纪念</w:t>
      </w:r>
      <w:r>
        <w:rPr>
          <w:rFonts w:hint="eastAsia" w:ascii="方正仿宋简体" w:hAnsi="方正仿宋简体" w:eastAsia="方正仿宋简体" w:cs="方正仿宋简体"/>
          <w:b/>
          <w:bCs/>
          <w:sz w:val="28"/>
          <w:szCs w:val="28"/>
          <w:highlight w:val="none"/>
          <w:u w:val="single"/>
        </w:rPr>
        <w:t>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rPr>
        <w:t>危险废物处置服务</w:t>
      </w:r>
      <w:r>
        <w:rPr>
          <w:rFonts w:hint="eastAsia" w:ascii="方正仿宋简体" w:hAnsi="方正仿宋简体" w:eastAsia="方正仿宋简体" w:cs="方正仿宋简体"/>
          <w:b/>
          <w:bCs/>
          <w:color w:val="000000"/>
          <w:sz w:val="28"/>
          <w:szCs w:val="28"/>
          <w:highlight w:val="none"/>
          <w:u w:val="single"/>
          <w:lang w:val="en-US" w:eastAsia="zh-CN"/>
        </w:rPr>
        <w:t>采购项目（第二次）</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5"/>
        <w:rPr>
          <w:rFonts w:hint="eastAsia"/>
          <w:highlight w:val="none"/>
        </w:rPr>
      </w:pPr>
    </w:p>
    <w:p w14:paraId="2B5FD362">
      <w:pPr>
        <w:pStyle w:val="21"/>
        <w:rPr>
          <w:rFonts w:hint="eastAsia"/>
          <w:highlight w:val="none"/>
        </w:rPr>
      </w:pPr>
    </w:p>
    <w:p w14:paraId="63B49C8E">
      <w:pPr>
        <w:pStyle w:val="21"/>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5"/>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25日</w:t>
      </w:r>
    </w:p>
    <w:p w14:paraId="5301B718">
      <w:pPr>
        <w:pStyle w:val="24"/>
        <w:rPr>
          <w:rFonts w:hint="eastAsia" w:ascii="宋体" w:hAnsi="宋体" w:cs="宋体"/>
          <w:b/>
          <w:bCs/>
          <w:color w:val="000000"/>
          <w:sz w:val="28"/>
          <w:szCs w:val="28"/>
          <w:highlight w:val="none"/>
        </w:rPr>
      </w:pPr>
    </w:p>
    <w:p w14:paraId="409BA9EA">
      <w:pPr>
        <w:pStyle w:val="24"/>
        <w:rPr>
          <w:rFonts w:hint="eastAsia" w:ascii="宋体" w:hAnsi="宋体" w:cs="宋体"/>
          <w:b/>
          <w:bCs/>
          <w:color w:val="000000"/>
          <w:sz w:val="28"/>
          <w:szCs w:val="28"/>
          <w:highlight w:val="none"/>
        </w:rPr>
      </w:pPr>
    </w:p>
    <w:p w14:paraId="04E8F0C8">
      <w:pPr>
        <w:pStyle w:val="24"/>
        <w:rPr>
          <w:rFonts w:hint="eastAsia" w:ascii="宋体" w:hAnsi="宋体" w:cs="宋体"/>
          <w:b/>
          <w:bCs/>
          <w:color w:val="000000"/>
          <w:sz w:val="28"/>
          <w:szCs w:val="28"/>
          <w:highlight w:val="none"/>
        </w:rPr>
      </w:pPr>
    </w:p>
    <w:p w14:paraId="1B88A998">
      <w:pPr>
        <w:pStyle w:val="24"/>
        <w:rPr>
          <w:rFonts w:hint="eastAsia" w:ascii="宋体" w:hAnsi="宋体" w:cs="宋体"/>
          <w:b/>
          <w:bCs/>
          <w:color w:val="000000"/>
          <w:sz w:val="28"/>
          <w:szCs w:val="28"/>
          <w:highlight w:val="none"/>
        </w:rPr>
      </w:pPr>
    </w:p>
    <w:p w14:paraId="41A415CB">
      <w:pPr>
        <w:pStyle w:val="24"/>
        <w:rPr>
          <w:rFonts w:hint="eastAsia" w:ascii="宋体" w:hAnsi="宋体" w:cs="宋体"/>
          <w:b/>
          <w:bCs/>
          <w:color w:val="000000"/>
          <w:sz w:val="28"/>
          <w:szCs w:val="28"/>
          <w:highlight w:val="none"/>
        </w:rPr>
      </w:pPr>
    </w:p>
    <w:p w14:paraId="113C161D">
      <w:pPr>
        <w:pStyle w:val="24"/>
        <w:rPr>
          <w:rFonts w:hint="eastAsia" w:ascii="宋体" w:hAnsi="宋体" w:cs="宋体"/>
          <w:b/>
          <w:bCs/>
          <w:color w:val="000000"/>
          <w:sz w:val="28"/>
          <w:szCs w:val="28"/>
          <w:highlight w:val="none"/>
        </w:rPr>
      </w:pPr>
    </w:p>
    <w:p w14:paraId="0B7E2E4B">
      <w:pPr>
        <w:pStyle w:val="24"/>
        <w:rPr>
          <w:rFonts w:hint="eastAsia" w:ascii="宋体" w:hAnsi="宋体" w:cs="宋体"/>
          <w:b/>
          <w:bCs/>
          <w:color w:val="000000"/>
          <w:sz w:val="28"/>
          <w:szCs w:val="28"/>
          <w:highlight w:val="none"/>
        </w:rPr>
      </w:pPr>
    </w:p>
    <w:p w14:paraId="5421F945">
      <w:pPr>
        <w:pStyle w:val="24"/>
        <w:rPr>
          <w:rFonts w:hint="eastAsia" w:ascii="宋体" w:hAnsi="宋体" w:cs="宋体"/>
          <w:b/>
          <w:bCs/>
          <w:color w:val="000000"/>
          <w:sz w:val="28"/>
          <w:szCs w:val="28"/>
          <w:highlight w:val="none"/>
        </w:rPr>
      </w:pPr>
    </w:p>
    <w:p w14:paraId="56C65A7C">
      <w:pPr>
        <w:pStyle w:val="24"/>
        <w:rPr>
          <w:rFonts w:hint="eastAsia" w:ascii="宋体" w:hAnsi="宋体" w:cs="宋体"/>
          <w:b/>
          <w:bCs/>
          <w:color w:val="000000"/>
          <w:sz w:val="28"/>
          <w:szCs w:val="28"/>
          <w:highlight w:val="none"/>
        </w:rPr>
      </w:pPr>
    </w:p>
    <w:p w14:paraId="5CA44C55">
      <w:pPr>
        <w:pStyle w:val="24"/>
        <w:rPr>
          <w:rFonts w:hint="eastAsia" w:ascii="宋体" w:hAnsi="宋体" w:cs="宋体"/>
          <w:b/>
          <w:bCs/>
          <w:color w:val="000000"/>
          <w:sz w:val="28"/>
          <w:szCs w:val="28"/>
          <w:highlight w:val="none"/>
        </w:rPr>
      </w:pPr>
    </w:p>
    <w:p w14:paraId="6E2A97E8">
      <w:pPr>
        <w:pStyle w:val="24"/>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第一章</w:t>
      </w:r>
      <w:r>
        <w:rPr>
          <w:rStyle w:val="20"/>
          <w:rFonts w:hint="eastAsia" w:ascii="仿宋" w:hAnsi="仿宋" w:eastAsia="仿宋" w:cs="仿宋"/>
          <w:b/>
          <w:color w:val="000000"/>
          <w:sz w:val="32"/>
          <w:szCs w:val="32"/>
          <w:highlight w:val="none"/>
          <w:lang w:val="en-US" w:eastAsia="zh-CN"/>
        </w:rPr>
        <w:t xml:space="preserve"> 比选邀请</w:t>
      </w:r>
      <w:r>
        <w:rPr>
          <w:rStyle w:val="20"/>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第二章</w:t>
      </w:r>
      <w:r>
        <w:rPr>
          <w:rStyle w:val="20"/>
          <w:rFonts w:hint="eastAsia" w:ascii="仿宋" w:hAnsi="仿宋" w:eastAsia="仿宋" w:cs="仿宋"/>
          <w:b/>
          <w:color w:val="000000"/>
          <w:sz w:val="32"/>
          <w:szCs w:val="32"/>
          <w:highlight w:val="none"/>
          <w:lang w:val="en-US" w:eastAsia="zh-CN"/>
        </w:rPr>
        <w:t xml:space="preserve"> </w:t>
      </w:r>
      <w:r>
        <w:rPr>
          <w:rStyle w:val="20"/>
          <w:rFonts w:hint="eastAsia" w:ascii="仿宋" w:hAnsi="仿宋" w:eastAsia="仿宋" w:cs="仿宋"/>
          <w:b/>
          <w:color w:val="000000"/>
          <w:sz w:val="32"/>
          <w:szCs w:val="32"/>
          <w:highlight w:val="none"/>
          <w:lang w:eastAsia="zh-CN"/>
        </w:rPr>
        <w:t>用户</w:t>
      </w:r>
      <w:r>
        <w:rPr>
          <w:rStyle w:val="20"/>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第三章</w:t>
      </w:r>
      <w:r>
        <w:rPr>
          <w:rStyle w:val="20"/>
          <w:rFonts w:hint="eastAsia" w:ascii="仿宋" w:hAnsi="仿宋" w:eastAsia="仿宋" w:cs="仿宋"/>
          <w:b/>
          <w:color w:val="000000"/>
          <w:sz w:val="32"/>
          <w:szCs w:val="32"/>
          <w:highlight w:val="none"/>
          <w:lang w:val="en-US" w:eastAsia="zh-CN"/>
        </w:rPr>
        <w:t xml:space="preserve"> 响应</w:t>
      </w:r>
      <w:r>
        <w:rPr>
          <w:rStyle w:val="20"/>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1"/>
        <w:rPr>
          <w:rFonts w:hint="eastAsia"/>
          <w:highlight w:val="none"/>
        </w:rPr>
      </w:pPr>
    </w:p>
    <w:p w14:paraId="69D6D8DC">
      <w:pPr>
        <w:rPr>
          <w:color w:val="000000"/>
          <w:highlight w:val="none"/>
        </w:rPr>
      </w:pPr>
    </w:p>
    <w:p w14:paraId="0844E894">
      <w:pPr>
        <w:pStyle w:val="24"/>
        <w:rPr>
          <w:color w:val="000000"/>
          <w:highlight w:val="none"/>
        </w:rPr>
      </w:pPr>
    </w:p>
    <w:p w14:paraId="257E9C11">
      <w:pPr>
        <w:pStyle w:val="24"/>
        <w:rPr>
          <w:color w:val="000000"/>
          <w:highlight w:val="none"/>
        </w:rPr>
      </w:pPr>
    </w:p>
    <w:p w14:paraId="484185A9">
      <w:pPr>
        <w:pStyle w:val="24"/>
        <w:rPr>
          <w:color w:val="000000"/>
          <w:highlight w:val="none"/>
        </w:rPr>
      </w:pPr>
    </w:p>
    <w:p w14:paraId="25781AD5">
      <w:pPr>
        <w:pStyle w:val="24"/>
        <w:rPr>
          <w:color w:val="000000"/>
          <w:highlight w:val="none"/>
        </w:rPr>
      </w:pPr>
    </w:p>
    <w:p w14:paraId="5BDD560E">
      <w:pPr>
        <w:pStyle w:val="24"/>
        <w:rPr>
          <w:color w:val="000000"/>
          <w:highlight w:val="none"/>
        </w:rPr>
      </w:pPr>
    </w:p>
    <w:p w14:paraId="5DA17303">
      <w:pPr>
        <w:pStyle w:val="24"/>
        <w:rPr>
          <w:color w:val="000000"/>
          <w:highlight w:val="none"/>
        </w:rPr>
      </w:pPr>
    </w:p>
    <w:p w14:paraId="7FDF95DF">
      <w:pPr>
        <w:pStyle w:val="24"/>
        <w:rPr>
          <w:color w:val="000000"/>
          <w:highlight w:val="none"/>
        </w:rPr>
      </w:pPr>
    </w:p>
    <w:p w14:paraId="24726310">
      <w:pPr>
        <w:pStyle w:val="24"/>
        <w:rPr>
          <w:color w:val="000000"/>
          <w:highlight w:val="none"/>
        </w:rPr>
      </w:pPr>
    </w:p>
    <w:p w14:paraId="103E28CA">
      <w:pPr>
        <w:pStyle w:val="24"/>
        <w:rPr>
          <w:color w:val="000000"/>
          <w:highlight w:val="none"/>
        </w:rPr>
      </w:pPr>
    </w:p>
    <w:p w14:paraId="59889958">
      <w:pPr>
        <w:pStyle w:val="24"/>
        <w:rPr>
          <w:color w:val="000000"/>
          <w:highlight w:val="none"/>
        </w:rPr>
      </w:pPr>
    </w:p>
    <w:p w14:paraId="0BCB1126">
      <w:pPr>
        <w:pStyle w:val="24"/>
        <w:rPr>
          <w:color w:val="000000"/>
          <w:highlight w:val="none"/>
        </w:rPr>
      </w:pPr>
    </w:p>
    <w:p w14:paraId="4877ADD8">
      <w:pPr>
        <w:pStyle w:val="24"/>
        <w:rPr>
          <w:color w:val="000000"/>
          <w:highlight w:val="none"/>
        </w:rPr>
      </w:pPr>
    </w:p>
    <w:p w14:paraId="7B7E1FFA">
      <w:pPr>
        <w:pStyle w:val="24"/>
        <w:rPr>
          <w:color w:val="000000"/>
          <w:highlight w:val="none"/>
        </w:rPr>
      </w:pPr>
    </w:p>
    <w:p w14:paraId="23CD036E">
      <w:pPr>
        <w:pStyle w:val="24"/>
        <w:ind w:left="0" w:leftChars="0" w:firstLine="0" w:firstLineChars="0"/>
        <w:rPr>
          <w:color w:val="000000"/>
          <w:highlight w:val="none"/>
        </w:rPr>
      </w:pPr>
    </w:p>
    <w:p w14:paraId="696D0A22">
      <w:pPr>
        <w:pStyle w:val="24"/>
        <w:rPr>
          <w:color w:val="000000"/>
          <w:highlight w:val="none"/>
        </w:rPr>
      </w:pPr>
    </w:p>
    <w:p w14:paraId="2BF55A84">
      <w:pPr>
        <w:pStyle w:val="24"/>
        <w:rPr>
          <w:color w:val="000000"/>
          <w:highlight w:val="none"/>
        </w:rPr>
      </w:pPr>
    </w:p>
    <w:p w14:paraId="03B0C041">
      <w:pPr>
        <w:pStyle w:val="24"/>
        <w:rPr>
          <w:color w:val="000000"/>
          <w:highlight w:val="none"/>
        </w:rPr>
      </w:pPr>
    </w:p>
    <w:p w14:paraId="449508C9">
      <w:pPr>
        <w:pStyle w:val="24"/>
        <w:rPr>
          <w:color w:val="000000"/>
          <w:highlight w:val="none"/>
        </w:rPr>
      </w:pPr>
    </w:p>
    <w:p w14:paraId="7A1A06F1">
      <w:pPr>
        <w:pStyle w:val="24"/>
        <w:rPr>
          <w:color w:val="000000"/>
          <w:highlight w:val="none"/>
        </w:rPr>
      </w:pPr>
    </w:p>
    <w:p w14:paraId="28267644">
      <w:pPr>
        <w:pStyle w:val="24"/>
        <w:rPr>
          <w:color w:val="000000"/>
          <w:highlight w:val="none"/>
        </w:rPr>
      </w:pPr>
    </w:p>
    <w:p w14:paraId="4CB52CDD">
      <w:pPr>
        <w:pStyle w:val="24"/>
        <w:rPr>
          <w:color w:val="000000"/>
          <w:highlight w:val="none"/>
        </w:rPr>
      </w:pPr>
    </w:p>
    <w:p w14:paraId="085F5639">
      <w:pPr>
        <w:pStyle w:val="24"/>
        <w:rPr>
          <w:color w:val="000000"/>
          <w:highlight w:val="none"/>
        </w:rPr>
      </w:pPr>
    </w:p>
    <w:p w14:paraId="6CD57F8C">
      <w:pPr>
        <w:pStyle w:val="24"/>
        <w:rPr>
          <w:color w:val="000000"/>
          <w:highlight w:val="none"/>
        </w:rPr>
      </w:pPr>
    </w:p>
    <w:p w14:paraId="066664FF">
      <w:pPr>
        <w:pStyle w:val="24"/>
        <w:rPr>
          <w:color w:val="000000"/>
          <w:highlight w:val="none"/>
        </w:rPr>
      </w:pPr>
    </w:p>
    <w:p w14:paraId="6406EBA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50691018"/>
      <w:bookmarkStart w:id="2" w:name="_Toc50736465"/>
      <w:bookmarkStart w:id="3" w:name="_Toc50737285"/>
      <w:bookmarkStart w:id="4" w:name="_Toc385940868"/>
      <w:bookmarkStart w:id="5" w:name="_Toc385939527"/>
      <w:bookmarkStart w:id="6" w:name="_Toc76354913"/>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24"/>
        <w:rPr>
          <w:color w:val="000000"/>
          <w:highlight w:val="none"/>
        </w:rPr>
      </w:pPr>
    </w:p>
    <w:p w14:paraId="32E715E1">
      <w:pPr>
        <w:pStyle w:val="24"/>
        <w:rPr>
          <w:color w:val="000000"/>
          <w:highlight w:val="none"/>
        </w:rPr>
      </w:pPr>
    </w:p>
    <w:p w14:paraId="54448988">
      <w:pPr>
        <w:pStyle w:val="24"/>
        <w:rPr>
          <w:color w:val="000000"/>
          <w:highlight w:val="none"/>
        </w:rPr>
      </w:pPr>
    </w:p>
    <w:p w14:paraId="2AEA74C1">
      <w:pPr>
        <w:pStyle w:val="24"/>
        <w:rPr>
          <w:color w:val="000000"/>
          <w:highlight w:val="none"/>
        </w:rPr>
      </w:pPr>
    </w:p>
    <w:p w14:paraId="61BE7C16">
      <w:pPr>
        <w:pStyle w:val="24"/>
        <w:rPr>
          <w:color w:val="000000"/>
          <w:highlight w:val="none"/>
        </w:rPr>
      </w:pPr>
    </w:p>
    <w:p w14:paraId="60D06DB7">
      <w:pPr>
        <w:pStyle w:val="24"/>
        <w:rPr>
          <w:color w:val="000000"/>
          <w:highlight w:val="none"/>
        </w:rPr>
      </w:pPr>
    </w:p>
    <w:p w14:paraId="70B6352E">
      <w:pPr>
        <w:pStyle w:val="24"/>
        <w:rPr>
          <w:color w:val="000000"/>
          <w:highlight w:val="none"/>
        </w:rPr>
      </w:pPr>
    </w:p>
    <w:p w14:paraId="3E73432F">
      <w:pPr>
        <w:pStyle w:val="24"/>
        <w:rPr>
          <w:color w:val="000000"/>
          <w:highlight w:val="none"/>
        </w:rPr>
      </w:pPr>
    </w:p>
    <w:p w14:paraId="777CBB49">
      <w:pPr>
        <w:pStyle w:val="24"/>
        <w:rPr>
          <w:color w:val="000000"/>
          <w:highlight w:val="none"/>
        </w:rPr>
      </w:pPr>
    </w:p>
    <w:p w14:paraId="6BC2A4F5">
      <w:pPr>
        <w:pStyle w:val="24"/>
        <w:rPr>
          <w:color w:val="000000"/>
          <w:highlight w:val="none"/>
        </w:rPr>
      </w:pPr>
    </w:p>
    <w:p w14:paraId="746ED7EA">
      <w:pPr>
        <w:pStyle w:val="24"/>
        <w:rPr>
          <w:color w:val="000000"/>
          <w:highlight w:val="none"/>
        </w:rPr>
      </w:pPr>
    </w:p>
    <w:p w14:paraId="5A501B29">
      <w:pPr>
        <w:pStyle w:val="24"/>
        <w:rPr>
          <w:color w:val="000000"/>
          <w:highlight w:val="none"/>
        </w:rPr>
      </w:pPr>
    </w:p>
    <w:p w14:paraId="2A6FF7BF">
      <w:pPr>
        <w:pStyle w:val="24"/>
        <w:rPr>
          <w:color w:val="000000"/>
          <w:highlight w:val="none"/>
        </w:rPr>
      </w:pPr>
    </w:p>
    <w:p w14:paraId="07687E97">
      <w:pPr>
        <w:pStyle w:val="24"/>
        <w:rPr>
          <w:color w:val="000000"/>
          <w:highlight w:val="none"/>
        </w:rPr>
      </w:pPr>
    </w:p>
    <w:p w14:paraId="1001E486">
      <w:pPr>
        <w:pStyle w:val="24"/>
        <w:rPr>
          <w:color w:val="000000"/>
          <w:highlight w:val="none"/>
        </w:rPr>
      </w:pPr>
    </w:p>
    <w:p w14:paraId="02CD458A">
      <w:pPr>
        <w:pStyle w:val="24"/>
        <w:rPr>
          <w:color w:val="000000"/>
          <w:highlight w:val="none"/>
        </w:rPr>
      </w:pPr>
    </w:p>
    <w:p w14:paraId="630EA551">
      <w:pPr>
        <w:pStyle w:val="24"/>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9D664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现对中山大学孙逸仙纪念医院危险废物处置服务采购项目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ZCB-2025104</w:t>
      </w:r>
    </w:p>
    <w:p w14:paraId="6499695A">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：中山大学孙逸仙纪念医院危险废物处置服务采购项目（第二次）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bookmarkStart w:id="22" w:name="_GoBack"/>
      <w:bookmarkEnd w:id="22"/>
    </w:p>
    <w:tbl>
      <w:tblPr>
        <w:tblStyle w:val="16"/>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1273"/>
        <w:gridCol w:w="2549"/>
        <w:gridCol w:w="228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510"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技术规格、参数及要求</w:t>
            </w:r>
          </w:p>
        </w:tc>
        <w:tc>
          <w:tcPr>
            <w:tcW w:w="1354"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危险废物处置服务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24个月</w:t>
            </w:r>
          </w:p>
        </w:tc>
        <w:tc>
          <w:tcPr>
            <w:tcW w:w="1510"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354"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598600</w:t>
            </w:r>
            <w:r>
              <w:rPr>
                <w:rFonts w:hint="eastAsia" w:ascii="仿宋" w:hAnsi="仿宋" w:eastAsia="仿宋" w:cs="仿宋"/>
                <w:sz w:val="24"/>
                <w:szCs w:val="24"/>
                <w:highlight w:val="none"/>
              </w:rPr>
              <w:t>元</w:t>
            </w:r>
          </w:p>
        </w:tc>
      </w:tr>
    </w:tbl>
    <w:p w14:paraId="66F076FC">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40BEAA17">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服务时间：按采购人要求。</w:t>
      </w:r>
    </w:p>
    <w:p w14:paraId="20BDDD9A">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Cs/>
          <w:color w:val="000000"/>
          <w:sz w:val="24"/>
          <w:szCs w:val="24"/>
          <w:highlight w:val="none"/>
          <w:lang w:val="en-US" w:eastAsia="zh-CN"/>
        </w:rPr>
        <w:t>服务地点：</w:t>
      </w:r>
    </w:p>
    <w:p w14:paraId="2AC21A6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（1）中山大学孙逸仙纪念医院北院区，地址：广州市越秀区沿江西路107号；</w:t>
      </w:r>
    </w:p>
    <w:p w14:paraId="4728584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（2）中山大学孙逸仙纪念医院南院区，地址：广州市海珠区盈丰路33号；</w:t>
      </w:r>
    </w:p>
    <w:p w14:paraId="468CAE19">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（3）中山大学孙逸仙纪念医院生物岛实验室，地址：广州国际生物岛螺旋四路7号标准产业单元二期三栋第三层301单元；</w:t>
      </w:r>
    </w:p>
    <w:p w14:paraId="5C936A3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（4）中山大学孙逸仙纪念医院南海精准临床免疫转化创新中心，地址：佛山市南海区桂城街道石龙北路15号南方生命健康产业基地（御堡国际商务中心1座）；</w:t>
      </w:r>
    </w:p>
    <w:p w14:paraId="49F25A5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（5）中山大学南校区门诊部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，地址</w:t>
      </w:r>
      <w:r>
        <w:rPr>
          <w:rFonts w:hint="eastAsia" w:ascii="仿宋" w:hAnsi="仿宋" w:eastAsia="仿宋" w:cs="仿宋"/>
          <w:b w:val="0"/>
          <w:bCs/>
          <w:color w:val="000000"/>
          <w:sz w:val="24"/>
          <w:szCs w:val="24"/>
          <w:highlight w:val="none"/>
          <w:lang w:val="en-US" w:eastAsia="zh-CN"/>
        </w:rPr>
        <w:t>：广州市新港西路135号；</w:t>
      </w:r>
    </w:p>
    <w:p w14:paraId="16A9B2F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（6）中大北校区实验室</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，地址</w:t>
      </w:r>
      <w:r>
        <w:rPr>
          <w:rFonts w:hint="eastAsia" w:ascii="仿宋" w:hAnsi="仿宋" w:eastAsia="仿宋" w:cs="仿宋"/>
          <w:b w:val="0"/>
          <w:bCs/>
          <w:color w:val="000000"/>
          <w:sz w:val="24"/>
          <w:szCs w:val="24"/>
          <w:highlight w:val="none"/>
          <w:lang w:val="en-US" w:eastAsia="zh-CN"/>
        </w:rPr>
        <w:t>：广州市越秀区农林街道执信南路中山大学北校园自编61号之二。</w:t>
      </w:r>
    </w:p>
    <w:p w14:paraId="03B88EBF">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w:t>
      </w:r>
    </w:p>
    <w:p w14:paraId="0246D0A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19"/>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19"/>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19"/>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危险废物处置（第二次）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19"/>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w:t>
      </w:r>
    </w:p>
    <w:p w14:paraId="78A73486">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须具备生态环境主管部门颁发的在有效期内的《危险废物经营许可证》且核准经营危险废物类别代码需包含本项目全部危险废物（详见下图）。(提供有效证书的复印件，加盖公章）</w:t>
      </w:r>
    </w:p>
    <w:tbl>
      <w:tblPr>
        <w:tblStyle w:val="16"/>
        <w:tblW w:w="8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8"/>
        <w:gridCol w:w="2986"/>
        <w:gridCol w:w="1878"/>
        <w:gridCol w:w="1667"/>
      </w:tblGrid>
      <w:tr w14:paraId="52B2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291B">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废物类别</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04C4">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废物名称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2148">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废物代码</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9E7">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危险特性</w:t>
            </w:r>
          </w:p>
        </w:tc>
      </w:tr>
      <w:tr w14:paraId="16A5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64C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HW49</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其他废物</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54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实验室废液</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A49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D09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3F9C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27BD">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6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废弃实验室容器</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626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D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51D0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B0A3">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D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实验室废弃试剂</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BA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F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7D96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95EF">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C6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实验室特殊废试剂</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F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FE3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09E3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5D7F">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2F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实验室废物</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557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85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0C4A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DF32">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5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实验清洗废水处理污泥</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7C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62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4AFD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B17E">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9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废滤芯</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CC9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900-041-49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E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T/IN</w:t>
            </w:r>
          </w:p>
        </w:tc>
      </w:tr>
      <w:tr w14:paraId="769A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9978">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废弃活性炭</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25F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900-039-49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2B5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w:t>
            </w:r>
          </w:p>
        </w:tc>
      </w:tr>
      <w:tr w14:paraId="7B45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E7E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HW03</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废药物、药品</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B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废药品</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FF8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900-002-03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8A7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w:t>
            </w:r>
          </w:p>
        </w:tc>
      </w:tr>
      <w:tr w14:paraId="08D2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5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HW16</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感光材料废物</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AA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废CT胶片和废（显）定影剂</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29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900-019-016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F4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w:t>
            </w:r>
          </w:p>
        </w:tc>
      </w:tr>
    </w:tbl>
    <w:p w14:paraId="3F0AA4D6">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满足以下条件之一：</w:t>
      </w:r>
    </w:p>
    <w:p w14:paraId="20D035F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（1）如供应商自身运输危险废物的，</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须具备交通管理部门颁发的且在有效期内的《道路运输经营许可证》(经营范围包含危险货物运输)或《道路危险货物运输许可证》。</w:t>
      </w:r>
    </w:p>
    <w:p w14:paraId="7581A74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（2）若</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有合作运输单位的，须提供</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与其合作运输单位的合作协议，以及合作运输单位在有效期内的《道路运输经营许可证》(经营范围包含危险货物运输)或《道路危险货物运输许可证》，上述证明材料复印件须加盖公章。</w:t>
      </w:r>
    </w:p>
    <w:p w14:paraId="725B40E8">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2025年10月11日中午12:00，广州市越秀区长堤大马路171号一方长堤健康产业中心（原威力斯大楼）907室。</w:t>
      </w:r>
    </w:p>
    <w:p w14:paraId="5A2623A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25日</w:t>
      </w:r>
    </w:p>
    <w:p w14:paraId="55E200B0">
      <w:pPr>
        <w:pStyle w:val="24"/>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24"/>
        <w:rPr>
          <w:color w:val="000000"/>
          <w:highlight w:val="none"/>
        </w:rPr>
      </w:pPr>
    </w:p>
    <w:p w14:paraId="469C16BF">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691021"/>
      <w:bookmarkStart w:id="9" w:name="_Toc50736468"/>
      <w:bookmarkStart w:id="10" w:name="_Toc76354916"/>
      <w:bookmarkStart w:id="11" w:name="_Toc50737288"/>
      <w:bookmarkStart w:id="12" w:name="_Toc50737320"/>
      <w:bookmarkStart w:id="13" w:name="_Toc385939528"/>
      <w:bookmarkStart w:id="14" w:name="_Toc385940869"/>
      <w:bookmarkStart w:id="15" w:name="_Toc417914518"/>
    </w:p>
    <w:p w14:paraId="60D97592">
      <w:pPr>
        <w:pStyle w:val="21"/>
        <w:rPr>
          <w:rFonts w:hint="eastAsia"/>
          <w:highlight w:val="none"/>
        </w:rPr>
      </w:pPr>
    </w:p>
    <w:p w14:paraId="08031A5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BA4AD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BEF62F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FD936C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9CDF0F">
      <w:pPr>
        <w:rPr>
          <w:rFonts w:hint="eastAsia" w:ascii="微软雅黑" w:hAnsi="微软雅黑" w:eastAsia="微软雅黑" w:cs="微软雅黑"/>
          <w:color w:val="000000"/>
          <w:highlight w:val="none"/>
        </w:rPr>
      </w:pPr>
    </w:p>
    <w:p w14:paraId="2333F41C">
      <w:pPr>
        <w:rPr>
          <w:rFonts w:hint="eastAsia" w:ascii="微软雅黑" w:hAnsi="微软雅黑" w:eastAsia="微软雅黑" w:cs="微软雅黑"/>
          <w:color w:val="000000"/>
          <w:highlight w:val="none"/>
        </w:rPr>
      </w:pPr>
    </w:p>
    <w:p w14:paraId="3B7E367C">
      <w:pPr>
        <w:rPr>
          <w:rFonts w:hint="eastAsia" w:ascii="微软雅黑" w:hAnsi="微软雅黑" w:eastAsia="微软雅黑" w:cs="微软雅黑"/>
          <w:color w:val="000000"/>
          <w:highlight w:val="none"/>
        </w:rPr>
      </w:pPr>
    </w:p>
    <w:p w14:paraId="6C95CBEA">
      <w:pPr>
        <w:rPr>
          <w:rFonts w:hint="eastAsia" w:ascii="微软雅黑" w:hAnsi="微软雅黑" w:eastAsia="微软雅黑" w:cs="微软雅黑"/>
          <w:color w:val="000000"/>
          <w:highlight w:val="none"/>
        </w:rPr>
      </w:pPr>
    </w:p>
    <w:p w14:paraId="43AA46B4">
      <w:pPr>
        <w:rPr>
          <w:rFonts w:hint="eastAsia" w:ascii="微软雅黑" w:hAnsi="微软雅黑" w:eastAsia="微软雅黑" w:cs="微软雅黑"/>
          <w:color w:val="000000"/>
          <w:highlight w:val="none"/>
        </w:rPr>
      </w:pPr>
    </w:p>
    <w:p w14:paraId="4D915F97">
      <w:pPr>
        <w:rPr>
          <w:rFonts w:hint="eastAsia" w:ascii="微软雅黑" w:hAnsi="微软雅黑" w:eastAsia="微软雅黑" w:cs="微软雅黑"/>
          <w:color w:val="000000"/>
          <w:highlight w:val="none"/>
        </w:rPr>
      </w:pPr>
    </w:p>
    <w:p w14:paraId="265B2529">
      <w:pPr>
        <w:rPr>
          <w:rFonts w:hint="eastAsia" w:ascii="微软雅黑" w:hAnsi="微软雅黑" w:eastAsia="微软雅黑" w:cs="微软雅黑"/>
          <w:color w:val="000000"/>
          <w:highlight w:val="none"/>
        </w:rPr>
      </w:pPr>
    </w:p>
    <w:p w14:paraId="6164C5AD">
      <w:pP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22E95F4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4"/>
        <w:rPr>
          <w:color w:val="000000"/>
          <w:highlight w:val="none"/>
        </w:rPr>
      </w:pPr>
    </w:p>
    <w:p w14:paraId="2970EAC8">
      <w:pPr>
        <w:pStyle w:val="24"/>
        <w:rPr>
          <w:color w:val="000000"/>
          <w:highlight w:val="none"/>
        </w:rPr>
      </w:pPr>
    </w:p>
    <w:p w14:paraId="2BC3BC82">
      <w:pPr>
        <w:pStyle w:val="24"/>
        <w:rPr>
          <w:color w:val="000000"/>
          <w:highlight w:val="none"/>
        </w:rPr>
      </w:pPr>
    </w:p>
    <w:p w14:paraId="75580613">
      <w:pPr>
        <w:pStyle w:val="24"/>
        <w:rPr>
          <w:color w:val="000000"/>
          <w:highlight w:val="none"/>
        </w:rPr>
      </w:pPr>
    </w:p>
    <w:p w14:paraId="63094DE4">
      <w:pPr>
        <w:pStyle w:val="24"/>
        <w:rPr>
          <w:color w:val="000000"/>
          <w:highlight w:val="none"/>
        </w:rPr>
      </w:pPr>
    </w:p>
    <w:p w14:paraId="5DE5BFA6">
      <w:pPr>
        <w:pStyle w:val="24"/>
        <w:rPr>
          <w:color w:val="000000"/>
          <w:highlight w:val="none"/>
        </w:rPr>
      </w:pPr>
    </w:p>
    <w:p w14:paraId="6BB78249">
      <w:pPr>
        <w:pStyle w:val="24"/>
        <w:rPr>
          <w:color w:val="000000"/>
          <w:highlight w:val="none"/>
        </w:rPr>
      </w:pPr>
    </w:p>
    <w:p w14:paraId="77100BE0">
      <w:pPr>
        <w:pStyle w:val="24"/>
        <w:rPr>
          <w:color w:val="000000"/>
          <w:highlight w:val="none"/>
        </w:rPr>
      </w:pPr>
    </w:p>
    <w:p w14:paraId="31FE32FD">
      <w:pPr>
        <w:pStyle w:val="24"/>
        <w:rPr>
          <w:color w:val="000000"/>
          <w:highlight w:val="none"/>
        </w:rPr>
      </w:pPr>
    </w:p>
    <w:p w14:paraId="6F3FB45B">
      <w:pPr>
        <w:pStyle w:val="24"/>
        <w:rPr>
          <w:color w:val="000000"/>
          <w:highlight w:val="none"/>
        </w:rPr>
      </w:pPr>
    </w:p>
    <w:p w14:paraId="52E1B1E4">
      <w:pPr>
        <w:pStyle w:val="24"/>
        <w:rPr>
          <w:color w:val="000000"/>
          <w:highlight w:val="none"/>
        </w:rPr>
      </w:pPr>
    </w:p>
    <w:p w14:paraId="0C4906CE">
      <w:pPr>
        <w:pStyle w:val="24"/>
        <w:rPr>
          <w:color w:val="000000"/>
          <w:highlight w:val="none"/>
        </w:rPr>
      </w:pPr>
    </w:p>
    <w:p w14:paraId="0499B7B7">
      <w:pPr>
        <w:pStyle w:val="24"/>
        <w:rPr>
          <w:color w:val="000000"/>
          <w:highlight w:val="none"/>
        </w:rPr>
      </w:pPr>
    </w:p>
    <w:p w14:paraId="4AC295E9">
      <w:pPr>
        <w:pStyle w:val="24"/>
        <w:rPr>
          <w:color w:val="000000"/>
          <w:highlight w:val="none"/>
        </w:rPr>
      </w:pPr>
    </w:p>
    <w:p w14:paraId="4100EAFF">
      <w:pPr>
        <w:pStyle w:val="24"/>
        <w:rPr>
          <w:color w:val="000000"/>
          <w:highlight w:val="none"/>
        </w:rPr>
      </w:pPr>
    </w:p>
    <w:p w14:paraId="36927FAC">
      <w:pPr>
        <w:pStyle w:val="24"/>
        <w:rPr>
          <w:color w:val="000000"/>
          <w:highlight w:val="none"/>
        </w:rPr>
      </w:pPr>
    </w:p>
    <w:p w14:paraId="306FD583">
      <w:pPr>
        <w:pStyle w:val="24"/>
        <w:rPr>
          <w:color w:val="000000"/>
          <w:highlight w:val="none"/>
        </w:rPr>
      </w:pPr>
    </w:p>
    <w:p w14:paraId="25B4571C">
      <w:pPr>
        <w:pStyle w:val="24"/>
        <w:rPr>
          <w:color w:val="000000"/>
          <w:highlight w:val="none"/>
        </w:rPr>
      </w:pPr>
    </w:p>
    <w:p w14:paraId="02457180">
      <w:pPr>
        <w:pStyle w:val="24"/>
        <w:rPr>
          <w:color w:val="000000"/>
          <w:highlight w:val="none"/>
        </w:rPr>
      </w:pPr>
    </w:p>
    <w:p w14:paraId="0C01F081">
      <w:pPr>
        <w:pStyle w:val="24"/>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24"/>
        <w:rPr>
          <w:rFonts w:hint="eastAsia"/>
          <w:color w:val="000000"/>
          <w:highlight w:val="none"/>
        </w:rPr>
      </w:pPr>
    </w:p>
    <w:p w14:paraId="0F4B3724">
      <w:pPr>
        <w:pStyle w:val="24"/>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24517B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（一）采购项目一览表</w:t>
      </w:r>
    </w:p>
    <w:tbl>
      <w:tblPr>
        <w:tblStyle w:val="16"/>
        <w:tblW w:w="36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0"/>
        <w:gridCol w:w="1576"/>
        <w:gridCol w:w="2561"/>
      </w:tblGrid>
      <w:tr w14:paraId="2C53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64D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采购内容</w:t>
            </w:r>
          </w:p>
        </w:tc>
        <w:tc>
          <w:tcPr>
            <w:tcW w:w="1083" w:type="pct"/>
            <w:tcBorders>
              <w:top w:val="single" w:color="000000" w:sz="8" w:space="0"/>
              <w:left w:val="single" w:color="000000" w:sz="8" w:space="0"/>
              <w:bottom w:val="single" w:color="000000" w:sz="8" w:space="0"/>
              <w:right w:val="single" w:color="000000" w:sz="8" w:space="0"/>
            </w:tcBorders>
            <w:shd w:val="clear" w:color="auto" w:fill="auto"/>
            <w:vAlign w:val="top"/>
          </w:tcPr>
          <w:p w14:paraId="1505473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4393739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14:paraId="59EF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2157" w:type="pct"/>
            <w:tcBorders>
              <w:top w:val="nil"/>
              <w:left w:val="single" w:color="000000" w:sz="8" w:space="0"/>
              <w:bottom w:val="single" w:color="000000" w:sz="8" w:space="0"/>
              <w:right w:val="single" w:color="000000" w:sz="8" w:space="0"/>
            </w:tcBorders>
            <w:shd w:val="clear" w:color="auto" w:fill="auto"/>
            <w:vAlign w:val="center"/>
          </w:tcPr>
          <w:p w14:paraId="3B942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危险废物处置服务</w:t>
            </w:r>
          </w:p>
        </w:tc>
        <w:tc>
          <w:tcPr>
            <w:tcW w:w="1083" w:type="pct"/>
            <w:tcBorders>
              <w:top w:val="nil"/>
              <w:left w:val="single" w:color="000000" w:sz="8" w:space="0"/>
              <w:bottom w:val="single" w:color="000000" w:sz="8" w:space="0"/>
              <w:right w:val="single" w:color="000000" w:sz="8" w:space="0"/>
            </w:tcBorders>
            <w:shd w:val="clear" w:color="auto" w:fill="auto"/>
            <w:vAlign w:val="center"/>
          </w:tcPr>
          <w:p w14:paraId="79FD36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2年</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61EDA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人民币59.86万元</w:t>
            </w:r>
          </w:p>
        </w:tc>
      </w:tr>
    </w:tbl>
    <w:p w14:paraId="52E3BD76">
      <w:pPr>
        <w:pStyle w:val="24"/>
        <w:numPr>
          <w:ilvl w:val="0"/>
          <w:numId w:val="0"/>
        </w:numPr>
        <w:ind w:firstLine="480" w:firstLineChars="20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szCs w:val="24"/>
          <w:highlight w:val="none"/>
          <w:lang w:val="en-US" w:eastAsia="zh-CN"/>
        </w:rPr>
        <w:t>危险废物处置、运输装卸及其单价最高限价</w:t>
      </w:r>
    </w:p>
    <w:p w14:paraId="1F4CF862">
      <w:pPr>
        <w:pStyle w:val="24"/>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1.危险废物处置清单及单价最高限价</w:t>
      </w:r>
    </w:p>
    <w:tbl>
      <w:tblPr>
        <w:tblStyle w:val="16"/>
        <w:tblW w:w="105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1418"/>
        <w:gridCol w:w="1138"/>
        <w:gridCol w:w="776"/>
        <w:gridCol w:w="682"/>
        <w:gridCol w:w="966"/>
        <w:gridCol w:w="1173"/>
        <w:gridCol w:w="2506"/>
        <w:gridCol w:w="823"/>
      </w:tblGrid>
      <w:tr w14:paraId="2C19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C9F9">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废物类别</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04A2">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废物名称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67AC">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废物代码</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9014">
            <w:pPr>
              <w:keepNext w:val="0"/>
              <w:keepLines w:val="0"/>
              <w:widowControl/>
              <w:suppressLineNumbers w:val="0"/>
              <w:jc w:val="center"/>
              <w:textAlignment w:val="center"/>
              <w:rPr>
                <w:rFonts w:hint="eastAsia" w:ascii="仿宋" w:hAnsi="仿宋" w:eastAsia="仿宋" w:cs="仿宋"/>
                <w:b/>
                <w:bCs/>
                <w:i w:val="0"/>
                <w:iCs w:val="0"/>
                <w:color w:val="auto"/>
                <w:kern w:val="2"/>
                <w:sz w:val="22"/>
                <w:szCs w:val="22"/>
                <w:highlight w:val="none"/>
                <w:u w:val="none"/>
                <w:lang w:val="en-US" w:eastAsia="zh-CN" w:bidi="ar-SA"/>
              </w:rPr>
            </w:pPr>
            <w:r>
              <w:rPr>
                <w:rFonts w:hint="eastAsia" w:ascii="仿宋" w:hAnsi="仿宋" w:eastAsia="仿宋" w:cs="仿宋"/>
                <w:b/>
                <w:bCs/>
                <w:i w:val="0"/>
                <w:iCs w:val="0"/>
                <w:color w:val="auto"/>
                <w:kern w:val="0"/>
                <w:sz w:val="22"/>
                <w:szCs w:val="22"/>
                <w:highlight w:val="none"/>
                <w:u w:val="none"/>
                <w:lang w:val="en-US" w:eastAsia="zh-CN" w:bidi="ar"/>
              </w:rPr>
              <w:t>危险特性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E58C">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质量标准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00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计划量</w:t>
            </w:r>
            <w:r>
              <w:rPr>
                <w:rFonts w:hint="eastAsia" w:ascii="仿宋" w:hAnsi="仿宋" w:eastAsia="仿宋" w:cs="仿宋"/>
                <w:b/>
                <w:bCs/>
                <w:i w:val="0"/>
                <w:iCs w:val="0"/>
                <w:color w:val="auto"/>
                <w:kern w:val="0"/>
                <w:sz w:val="22"/>
                <w:szCs w:val="22"/>
                <w:highlight w:val="none"/>
                <w:u w:val="none"/>
                <w:lang w:val="en-US" w:eastAsia="zh-CN" w:bidi="ar"/>
              </w:rPr>
              <w:br w:type="textWrapping"/>
            </w:r>
            <w:r>
              <w:rPr>
                <w:rFonts w:hint="eastAsia" w:ascii="仿宋" w:hAnsi="仿宋" w:eastAsia="仿宋" w:cs="仿宋"/>
                <w:b/>
                <w:bCs/>
                <w:i w:val="0"/>
                <w:iCs w:val="0"/>
                <w:color w:val="auto"/>
                <w:kern w:val="0"/>
                <w:sz w:val="22"/>
                <w:szCs w:val="22"/>
                <w:highlight w:val="none"/>
                <w:u w:val="none"/>
                <w:lang w:val="en-US" w:eastAsia="zh-CN" w:bidi="ar"/>
              </w:rPr>
              <w:t>（吨/年）</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B2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单价最高限价（元/吨）</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F60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备注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84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服务期限</w:t>
            </w:r>
          </w:p>
        </w:tc>
      </w:tr>
      <w:tr w14:paraId="02E0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B32A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HW49</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其他废物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F2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实验室废液</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6B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8CF">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restart"/>
            <w:tcBorders>
              <w:top w:val="single" w:color="000000" w:sz="4" w:space="0"/>
              <w:left w:val="single" w:color="000000" w:sz="4" w:space="0"/>
              <w:right w:val="single" w:color="000000" w:sz="4" w:space="0"/>
            </w:tcBorders>
            <w:shd w:val="clear" w:color="auto" w:fill="auto"/>
            <w:vAlign w:val="center"/>
          </w:tcPr>
          <w:p w14:paraId="74861E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分类存放，独立桶装/袋装/箱装/瓶装，标识清晰，无破损</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C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49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0AB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甲醇、二甲苯、甲醛、丙酮等有机废液，硫酸、盐酸、轻氢氧化钠、</w:t>
            </w:r>
            <w:r>
              <w:rPr>
                <w:rStyle w:val="31"/>
                <w:rFonts w:hint="eastAsia" w:ascii="仿宋" w:hAnsi="仿宋" w:eastAsia="仿宋" w:cs="仿宋"/>
                <w:color w:val="auto"/>
                <w:sz w:val="22"/>
                <w:szCs w:val="22"/>
                <w:highlight w:val="none"/>
                <w:lang w:val="en-US" w:eastAsia="zh-CN" w:bidi="ar"/>
              </w:rPr>
              <w:t>检验废液</w:t>
            </w:r>
            <w:r>
              <w:rPr>
                <w:rStyle w:val="32"/>
                <w:rFonts w:hint="eastAsia" w:ascii="仿宋" w:hAnsi="仿宋" w:eastAsia="仿宋" w:cs="仿宋"/>
                <w:color w:val="auto"/>
                <w:sz w:val="22"/>
                <w:szCs w:val="22"/>
                <w:highlight w:val="none"/>
                <w:lang w:val="en-US" w:eastAsia="zh-CN" w:bidi="ar"/>
              </w:rPr>
              <w:t>等</w:t>
            </w:r>
          </w:p>
        </w:tc>
        <w:tc>
          <w:tcPr>
            <w:tcW w:w="823" w:type="dxa"/>
            <w:vMerge w:val="restart"/>
            <w:tcBorders>
              <w:top w:val="single" w:color="000000" w:sz="4" w:space="0"/>
              <w:left w:val="single" w:color="000000" w:sz="4" w:space="0"/>
              <w:right w:val="single" w:color="000000" w:sz="4" w:space="0"/>
            </w:tcBorders>
            <w:shd w:val="clear" w:color="auto" w:fill="auto"/>
            <w:vAlign w:val="center"/>
          </w:tcPr>
          <w:p w14:paraId="743607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2年</w:t>
            </w:r>
          </w:p>
        </w:tc>
      </w:tr>
      <w:tr w14:paraId="6162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1299">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E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废弃实验室容器</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1FC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01C">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72DA55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0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7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E8C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废弃实验室容器：空瓶、烧杯、量器、漏斗、</w:t>
            </w:r>
            <w:r>
              <w:rPr>
                <w:rStyle w:val="31"/>
                <w:rFonts w:hint="eastAsia" w:ascii="仿宋" w:hAnsi="仿宋" w:eastAsia="仿宋" w:cs="仿宋"/>
                <w:color w:val="auto"/>
                <w:sz w:val="22"/>
                <w:szCs w:val="22"/>
                <w:highlight w:val="none"/>
                <w:lang w:val="en-US" w:eastAsia="zh-CN" w:bidi="ar"/>
              </w:rPr>
              <w:t>检验试剂废包装物</w:t>
            </w:r>
            <w:r>
              <w:rPr>
                <w:rStyle w:val="32"/>
                <w:rFonts w:hint="eastAsia" w:ascii="仿宋" w:hAnsi="仿宋" w:eastAsia="仿宋" w:cs="仿宋"/>
                <w:color w:val="auto"/>
                <w:sz w:val="22"/>
                <w:szCs w:val="22"/>
                <w:highlight w:val="none"/>
                <w:lang w:val="en-US" w:eastAsia="zh-CN" w:bidi="ar"/>
              </w:rPr>
              <w:t>等</w:t>
            </w:r>
          </w:p>
        </w:tc>
        <w:tc>
          <w:tcPr>
            <w:tcW w:w="823" w:type="dxa"/>
            <w:vMerge w:val="continue"/>
            <w:tcBorders>
              <w:left w:val="single" w:color="000000" w:sz="4" w:space="0"/>
              <w:right w:val="single" w:color="000000" w:sz="4" w:space="0"/>
            </w:tcBorders>
            <w:shd w:val="clear" w:color="auto" w:fill="auto"/>
            <w:vAlign w:val="center"/>
          </w:tcPr>
          <w:p w14:paraId="1092FB4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CCE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1DAA">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30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实验室废弃试剂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2B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F0DD">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6F3DD8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77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34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10500.00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287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实验室普通废弃试剂：四氢呋喃、乙腈、四氯化碳、苯酚、三氯甲烷、二甲苯、高锰酸钾、醇类等</w:t>
            </w:r>
          </w:p>
        </w:tc>
        <w:tc>
          <w:tcPr>
            <w:tcW w:w="823" w:type="dxa"/>
            <w:vMerge w:val="continue"/>
            <w:tcBorders>
              <w:left w:val="single" w:color="000000" w:sz="4" w:space="0"/>
              <w:right w:val="single" w:color="000000" w:sz="4" w:space="0"/>
            </w:tcBorders>
            <w:shd w:val="clear" w:color="auto" w:fill="auto"/>
            <w:vAlign w:val="center"/>
          </w:tcPr>
          <w:p w14:paraId="09F584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529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8305">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实验室特殊废试剂</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30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C6EE">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1E8A5D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3C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E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B9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实验室特殊废弃废试剂：叠氮化钠、苦味酸、含汞、含砷等易制爆、剧毒的特殊废试剂</w:t>
            </w:r>
          </w:p>
        </w:tc>
        <w:tc>
          <w:tcPr>
            <w:tcW w:w="823" w:type="dxa"/>
            <w:vMerge w:val="continue"/>
            <w:tcBorders>
              <w:left w:val="single" w:color="000000" w:sz="4" w:space="0"/>
              <w:right w:val="single" w:color="000000" w:sz="4" w:space="0"/>
            </w:tcBorders>
            <w:shd w:val="clear" w:color="auto" w:fill="auto"/>
            <w:vAlign w:val="center"/>
          </w:tcPr>
          <w:p w14:paraId="0A2F458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0AA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7E08">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03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199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F83">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44BF7B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66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7C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65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实验室废物（一次性防护用品、废一次性检验用具、废弃样）、</w:t>
            </w:r>
            <w:r>
              <w:rPr>
                <w:rStyle w:val="31"/>
                <w:rFonts w:hint="eastAsia" w:ascii="仿宋" w:hAnsi="仿宋" w:eastAsia="仿宋" w:cs="仿宋"/>
                <w:color w:val="auto"/>
                <w:sz w:val="22"/>
                <w:szCs w:val="22"/>
                <w:highlight w:val="none"/>
                <w:lang w:val="en-US" w:eastAsia="zh-CN" w:bidi="ar"/>
              </w:rPr>
              <w:t>废检验材料、废样品</w:t>
            </w:r>
            <w:r>
              <w:rPr>
                <w:rStyle w:val="32"/>
                <w:rFonts w:hint="eastAsia" w:ascii="仿宋" w:hAnsi="仿宋" w:eastAsia="仿宋" w:cs="仿宋"/>
                <w:color w:val="auto"/>
                <w:sz w:val="22"/>
                <w:szCs w:val="22"/>
                <w:highlight w:val="none"/>
                <w:lang w:val="en-US" w:eastAsia="zh-CN" w:bidi="ar"/>
              </w:rPr>
              <w:t>等</w:t>
            </w:r>
          </w:p>
        </w:tc>
        <w:tc>
          <w:tcPr>
            <w:tcW w:w="823" w:type="dxa"/>
            <w:vMerge w:val="continue"/>
            <w:tcBorders>
              <w:left w:val="single" w:color="000000" w:sz="4" w:space="0"/>
              <w:right w:val="single" w:color="000000" w:sz="4" w:space="0"/>
            </w:tcBorders>
            <w:shd w:val="clear" w:color="auto" w:fill="auto"/>
            <w:vAlign w:val="center"/>
          </w:tcPr>
          <w:p w14:paraId="307C24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C6B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98F0">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E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实验清洗废水处理污泥</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7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67A">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75CCC8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2F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9A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6E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实验清洗废水处理污泥</w:t>
            </w:r>
          </w:p>
        </w:tc>
        <w:tc>
          <w:tcPr>
            <w:tcW w:w="823" w:type="dxa"/>
            <w:vMerge w:val="continue"/>
            <w:tcBorders>
              <w:left w:val="single" w:color="000000" w:sz="4" w:space="0"/>
              <w:right w:val="single" w:color="000000" w:sz="4" w:space="0"/>
            </w:tcBorders>
            <w:shd w:val="clear" w:color="auto" w:fill="auto"/>
            <w:vAlign w:val="center"/>
          </w:tcPr>
          <w:p w14:paraId="63E11C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114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5F7C">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C5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废滤芯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4E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900-041-49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CF1">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T/IN</w:t>
            </w:r>
          </w:p>
        </w:tc>
        <w:tc>
          <w:tcPr>
            <w:tcW w:w="682" w:type="dxa"/>
            <w:vMerge w:val="continue"/>
            <w:tcBorders>
              <w:left w:val="single" w:color="000000" w:sz="4" w:space="0"/>
              <w:right w:val="single" w:color="000000" w:sz="4" w:space="0"/>
            </w:tcBorders>
            <w:shd w:val="clear" w:color="auto" w:fill="auto"/>
            <w:vAlign w:val="center"/>
          </w:tcPr>
          <w:p w14:paraId="374583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E3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5B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D6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生物安全柜废滤芯</w:t>
            </w:r>
          </w:p>
        </w:tc>
        <w:tc>
          <w:tcPr>
            <w:tcW w:w="823" w:type="dxa"/>
            <w:vMerge w:val="continue"/>
            <w:tcBorders>
              <w:left w:val="single" w:color="000000" w:sz="4" w:space="0"/>
              <w:right w:val="single" w:color="000000" w:sz="4" w:space="0"/>
            </w:tcBorders>
            <w:shd w:val="clear" w:color="auto" w:fill="auto"/>
            <w:vAlign w:val="center"/>
          </w:tcPr>
          <w:p w14:paraId="2541B6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E8D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6C55">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C6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废弃活性炭</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35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900-039-49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D400">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w:t>
            </w:r>
          </w:p>
        </w:tc>
        <w:tc>
          <w:tcPr>
            <w:tcW w:w="682" w:type="dxa"/>
            <w:vMerge w:val="continue"/>
            <w:tcBorders>
              <w:left w:val="single" w:color="000000" w:sz="4" w:space="0"/>
              <w:right w:val="single" w:color="000000" w:sz="4" w:space="0"/>
            </w:tcBorders>
            <w:shd w:val="clear" w:color="auto" w:fill="auto"/>
            <w:vAlign w:val="center"/>
          </w:tcPr>
          <w:p w14:paraId="7954EE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A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A2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3C6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废活性炭</w:t>
            </w:r>
          </w:p>
        </w:tc>
        <w:tc>
          <w:tcPr>
            <w:tcW w:w="823" w:type="dxa"/>
            <w:vMerge w:val="continue"/>
            <w:tcBorders>
              <w:left w:val="single" w:color="000000" w:sz="4" w:space="0"/>
              <w:right w:val="single" w:color="000000" w:sz="4" w:space="0"/>
            </w:tcBorders>
            <w:shd w:val="clear" w:color="auto" w:fill="auto"/>
            <w:vAlign w:val="center"/>
          </w:tcPr>
          <w:p w14:paraId="722F97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5BF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D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HW03</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废药物、药品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72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废药品</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BF3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900-002-03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3BF">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w:t>
            </w:r>
          </w:p>
        </w:tc>
        <w:tc>
          <w:tcPr>
            <w:tcW w:w="682" w:type="dxa"/>
            <w:vMerge w:val="continue"/>
            <w:tcBorders>
              <w:left w:val="single" w:color="000000" w:sz="4" w:space="0"/>
              <w:right w:val="single" w:color="000000" w:sz="4" w:space="0"/>
            </w:tcBorders>
            <w:shd w:val="clear" w:color="auto" w:fill="auto"/>
            <w:vAlign w:val="center"/>
          </w:tcPr>
          <w:p w14:paraId="74C595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C0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76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FBC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废药品</w:t>
            </w:r>
          </w:p>
        </w:tc>
        <w:tc>
          <w:tcPr>
            <w:tcW w:w="823" w:type="dxa"/>
            <w:vMerge w:val="continue"/>
            <w:tcBorders>
              <w:left w:val="single" w:color="000000" w:sz="4" w:space="0"/>
              <w:right w:val="single" w:color="000000" w:sz="4" w:space="0"/>
            </w:tcBorders>
            <w:shd w:val="clear" w:color="auto" w:fill="auto"/>
            <w:vAlign w:val="center"/>
          </w:tcPr>
          <w:p w14:paraId="56F677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4D5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3C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HW16</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感光材料废物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5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废CT胶片和废（显）定影剂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F7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900-019-016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48F4">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w:t>
            </w:r>
          </w:p>
        </w:tc>
        <w:tc>
          <w:tcPr>
            <w:tcW w:w="682" w:type="dxa"/>
            <w:vMerge w:val="continue"/>
            <w:tcBorders>
              <w:left w:val="single" w:color="000000" w:sz="4" w:space="0"/>
              <w:bottom w:val="single" w:color="000000" w:sz="4" w:space="0"/>
              <w:right w:val="single" w:color="000000" w:sz="4" w:space="0"/>
            </w:tcBorders>
            <w:shd w:val="clear" w:color="auto" w:fill="auto"/>
            <w:vAlign w:val="center"/>
          </w:tcPr>
          <w:p w14:paraId="402FB8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77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41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D349">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废CT、X光、MR胶片</w:t>
            </w:r>
          </w:p>
        </w:tc>
        <w:tc>
          <w:tcPr>
            <w:tcW w:w="823" w:type="dxa"/>
            <w:vMerge w:val="continue"/>
            <w:tcBorders>
              <w:left w:val="single" w:color="000000" w:sz="4" w:space="0"/>
              <w:bottom w:val="single" w:color="000000" w:sz="4" w:space="0"/>
              <w:right w:val="single" w:color="000000" w:sz="4" w:space="0"/>
            </w:tcBorders>
            <w:shd w:val="clear" w:color="auto" w:fill="auto"/>
            <w:vAlign w:val="center"/>
          </w:tcPr>
          <w:p w14:paraId="753F35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bl>
    <w:p w14:paraId="0465BB44">
      <w:pPr>
        <w:pStyle w:val="24"/>
        <w:numPr>
          <w:ilvl w:val="0"/>
          <w:numId w:val="0"/>
        </w:numPr>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sz w:val="24"/>
          <w:szCs w:val="24"/>
          <w:highlight w:val="none"/>
          <w:lang w:val="en-US" w:eastAsia="zh-CN"/>
        </w:rPr>
        <w:t>危险废物运输装卸单价最高限价</w:t>
      </w:r>
    </w:p>
    <w:tbl>
      <w:tblPr>
        <w:tblStyle w:val="16"/>
        <w:tblW w:w="7946" w:type="dxa"/>
        <w:jc w:val="center"/>
        <w:tblLayout w:type="fixed"/>
        <w:tblCellMar>
          <w:top w:w="0" w:type="dxa"/>
          <w:left w:w="108" w:type="dxa"/>
          <w:bottom w:w="0" w:type="dxa"/>
          <w:right w:w="108" w:type="dxa"/>
        </w:tblCellMar>
      </w:tblPr>
      <w:tblGrid>
        <w:gridCol w:w="1405"/>
        <w:gridCol w:w="2208"/>
        <w:gridCol w:w="1004"/>
        <w:gridCol w:w="1839"/>
        <w:gridCol w:w="1490"/>
      </w:tblGrid>
      <w:tr w14:paraId="24A40F75">
        <w:tblPrEx>
          <w:tblCellMar>
            <w:top w:w="0" w:type="dxa"/>
            <w:left w:w="108" w:type="dxa"/>
            <w:bottom w:w="0" w:type="dxa"/>
            <w:right w:w="108" w:type="dxa"/>
          </w:tblCellMar>
        </w:tblPrEx>
        <w:trPr>
          <w:trHeight w:val="174" w:hRule="atLeast"/>
          <w:jc w:val="center"/>
        </w:trPr>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33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服务内容</w:t>
            </w:r>
          </w:p>
        </w:tc>
        <w:tc>
          <w:tcPr>
            <w:tcW w:w="2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B27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车辆要求</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D11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服务期限</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B20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计划运输次数</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（次/年）</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B8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单价最高限价（元/次）</w:t>
            </w:r>
          </w:p>
        </w:tc>
      </w:tr>
      <w:tr w14:paraId="4141676A">
        <w:tblPrEx>
          <w:tblCellMar>
            <w:top w:w="0" w:type="dxa"/>
            <w:left w:w="108" w:type="dxa"/>
            <w:bottom w:w="0" w:type="dxa"/>
            <w:right w:w="108" w:type="dxa"/>
          </w:tblCellMar>
        </w:tblPrEx>
        <w:trPr>
          <w:trHeight w:val="656" w:hRule="atLeast"/>
          <w:jc w:val="center"/>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1EF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危险废物运输装卸</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111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运输专用车辆符合危险废物运输的要求，车辆规格1.5吨/车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57D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2年</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7AD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22C5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1300.00</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单价最高限价/采购预算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38DE7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7DF20E09">
      <w:pPr>
        <w:pStyle w:val="24"/>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服务地点：</w:t>
      </w:r>
    </w:p>
    <w:p w14:paraId="58FA817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中山大学孙逸仙纪念医院北院区，地址：广州市越秀区沿江西路107号；</w:t>
      </w:r>
    </w:p>
    <w:p w14:paraId="53E3686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中山大学孙逸仙纪念医院南院区，地址：广州市海珠区盈丰路33号；</w:t>
      </w:r>
    </w:p>
    <w:p w14:paraId="7DABB41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中山大学孙逸仙纪念医院生物岛实验室，地址：广州国际生物岛螺旋四路7号标准产业单元二期三栋第三层301单元；</w:t>
      </w:r>
    </w:p>
    <w:p w14:paraId="47CBE5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中山大学孙逸仙纪念医院南海精准临床免疫转化创新中心，地址：佛山市南海区桂城街道石龙北路15号南方生命健康产业基地（御堡国际商务中心1座）；</w:t>
      </w:r>
    </w:p>
    <w:p w14:paraId="202D6E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中山大学南校区门诊部，地址：广州市新港西路135号；</w:t>
      </w:r>
    </w:p>
    <w:p w14:paraId="2820D4D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中大北校区实验室，地址：广州市越秀区农林街道执信南路中山大学北校园自编61号之二。</w:t>
      </w:r>
    </w:p>
    <w:p w14:paraId="23D82626">
      <w:pPr>
        <w:pStyle w:val="24"/>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服务时间：按采购人要求。</w:t>
      </w:r>
    </w:p>
    <w:p w14:paraId="6AF8DB18">
      <w:pPr>
        <w:pStyle w:val="24"/>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服务范围：服务地点的科室和实验室。</w:t>
      </w:r>
    </w:p>
    <w:p w14:paraId="64C0595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三、服务要求</w:t>
      </w:r>
    </w:p>
    <w:p w14:paraId="1F99A40A">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严格执行环保相关法律、法规，守法经营，安全处理处置危险废物。双方必须严格执行《中华人民共和国固体废物污染环境防治法》的规定，本合同涉及的危险废物必须执行国家危险废物转移联单管理制度。</w:t>
      </w:r>
    </w:p>
    <w:p w14:paraId="1564468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应熟悉本项目内危险废物的理化性质，以及由于危险废物或危险废物处理过程所导致或引起的健康、安全和环境风险；响应人应根据本项目需求提供服务所需的设施、设备、人员、专业技术等，并保证设施、设备等状态良好，人员具备从事相应工作的专业能力。</w:t>
      </w:r>
    </w:p>
    <w:p w14:paraId="354D663F">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医疗、教学、科研工作产生的危险废物，品目较多，危险特性复杂，响应人应具备识别各类危险废物危险特性且经验丰富的专业技术人员。同时，本项目要求响应人配备1名项目负责人，押运员和运输人员至少各1人。</w:t>
      </w:r>
    </w:p>
    <w:p w14:paraId="0F57A1FB">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对采购人产生的危险废物按照相关规定进行分拣、分类打包装箱，内部转运以及规范处置，服务频率具体以双方协商时间为准。</w:t>
      </w:r>
    </w:p>
    <w:p w14:paraId="6FBC287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须承诺服务期内能保证采购人所有危险废物（包括但不限于：所有品种、所有数量）的正常处置；如果出现紧急情况（紧急情况为危险废物严重影响采购人正常医疗、教学、科研工作或其他特殊情况），经电话联系须尽快上门协助应急处置。</w:t>
      </w:r>
    </w:p>
    <w:p w14:paraId="085E1739">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响应人须承诺承担本项目危险废物的运输、临时贮存以及处置过程中发生的全部安全责任。</w:t>
      </w:r>
    </w:p>
    <w:p w14:paraId="3016CB15">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响应人工作人员应在采购人范围内文明作业，遵守采购人的安全卫生制度。</w:t>
      </w:r>
    </w:p>
    <w:p w14:paraId="58E33F70">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响应人工作人员进入采购人工作场所应穿响应人工作服，佩戴胸卡。</w:t>
      </w:r>
    </w:p>
    <w:p w14:paraId="3AAA4E5D">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运输的车辆必须车况良好，采取符合安全、环保标准的相关措施，运输专用车辆符合危险货物运输的要求，适于运输本项目规定的废物。</w:t>
      </w:r>
    </w:p>
    <w:p w14:paraId="180143D2">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响应人工作人员应严格按操作要求做好自身防护措施。</w:t>
      </w:r>
    </w:p>
    <w:p w14:paraId="15407205">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响应人工作人员应严格按照操作规程，按危险废物品种及化学性质进行分类回收，并定期将采购人各产生科室暂存的危险废物彻底回收。</w:t>
      </w:r>
    </w:p>
    <w:p w14:paraId="40E899BD">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响应人工作人员装卸完毕后，填写好电子联单信息，做好交接登记，确保危险废物合法、安全转移。</w:t>
      </w:r>
    </w:p>
    <w:p w14:paraId="45D9F890">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响应人工作人员在回收过程中发生事故应及时进行处理并告知采购人。</w:t>
      </w:r>
    </w:p>
    <w:p w14:paraId="0A4B89E8">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响应人在运输过程中不得沿途丢弃、遗撒危险废物。</w:t>
      </w:r>
    </w:p>
    <w:p w14:paraId="523DB207">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响应人在危险废物无害化处理过程中，应该符合国家法律规定的环保和消防要求或标准，并接受采购人的监督和指导。</w:t>
      </w:r>
    </w:p>
    <w:p w14:paraId="3D34A918">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在采购人的危险废物严重影响工作或其他特殊情况出现，需提前收取时，响应人应予以积极配合。</w:t>
      </w:r>
    </w:p>
    <w:p w14:paraId="4D0D6916">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根据院方的生产情况和危险废物的产生情况，双方议定运输时间，响应人在运输时间内自备运输车辆和装卸人员到院方指定的地点收取危险废物，根据危险废物的品种及化学性质分类回收、打包、贴标识，保证不影响采购人生产。</w:t>
      </w:r>
    </w:p>
    <w:p w14:paraId="2C330863">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运输人员具有危险品准驾证，押运员具有危险品押运证。</w:t>
      </w:r>
    </w:p>
    <w:p w14:paraId="6949E62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响应人有权拒绝采购人要求运输本项目之外的废物。</w:t>
      </w:r>
    </w:p>
    <w:p w14:paraId="47FD3E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四、处理处置规程</w:t>
      </w:r>
    </w:p>
    <w:p w14:paraId="5B717D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双方应严格遵守广东省固体废物云申报系统的相关规定，按照以下操作规程规范操作，确保危险废物进行合法、安全转移，并接受采购人的监督和指导。</w:t>
      </w:r>
    </w:p>
    <w:p w14:paraId="6651449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1.采购人操作规程；</w:t>
      </w:r>
    </w:p>
    <w:p w14:paraId="29EC08C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①采购人须按照相关环保机关的要求，登录广东省固体废物云申报系统进行注册登记，并到所属环保部门领取二维码；</w:t>
      </w:r>
    </w:p>
    <w:p w14:paraId="1AF676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②采购人应指定专人负责保管二维码，不得遗失；如有遗失，应及时向相关环保部门申请补办；</w:t>
      </w:r>
    </w:p>
    <w:p w14:paraId="518C00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③二维码仅作为运输现场、响应人运输人员操作电子联单时采购人同意危险废物转移之用，不作其他用途；</w:t>
      </w:r>
    </w:p>
    <w:p w14:paraId="5D14942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④在危险废物运输之前，采购人应根据当次计划转移废物的名称、预计数量，登录广东省固体废物云申报系统填写、提交联单计划；</w:t>
      </w:r>
    </w:p>
    <w:p w14:paraId="3F3159E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⑤采购人每转移一车次、一种废料应填写一份联单计划；</w:t>
      </w:r>
    </w:p>
    <w:p w14:paraId="07E0B3E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⑥同一天有安排多车次运输同种或多种废料的，应按车次、按废料种类分别填写联单计划；</w:t>
      </w:r>
    </w:p>
    <w:p w14:paraId="5C0B52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⑦采购人填写的联单计划量不能超出广东省固体废物云申报系统“危废管理计划备案”的“拟转移数量”，即年度计划转移量。当累计联单计划量或累计确认联单量已接近年度计划转移量，后续仍有转移需求时，采购人应提前办理“危废管理计划备案”手续；</w:t>
      </w:r>
    </w:p>
    <w:p w14:paraId="5AAA382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⑧响应人运输人员在采购人运输现场装载完毕，采购人应出示二维码给响应人运输人员扫描验证电子联单信息，并核实响应人运输人员所填写的电子联单种类、名称，确认与实际移交的危废种类、名称相符后，方可放行；</w:t>
      </w:r>
    </w:p>
    <w:p w14:paraId="4E802FB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⑨采购人应于转移危险废物后，登录广东省固体废物云申报系统核查响应人确认的联单量是否与实际转移量相符，如不符合，应及时联系响应人危险废物交接负责人，以便响应人及时处理；如与实际转移量相符，采购人应点击“提交并结束联单”，以结束电子联单流程。</w:t>
      </w:r>
    </w:p>
    <w:p w14:paraId="6F0D507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2.响应人操作规程；</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ab/>
      </w:r>
    </w:p>
    <w:p w14:paraId="179E589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①响应人运输人员出车前，应检查电子联单所需的硬件设备状态是否正常，电力是否充足，并随车携带车辆二维码。</w:t>
      </w:r>
    </w:p>
    <w:p w14:paraId="56E278E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②响应人运输人员到达采购人运输地点，应当首先用PDA手机登录电子联单系统，查看采购人申请转移的危险废物，根据采购人申请的危险废物情况，装货上车，过磅，清晰、规范填写收货单；</w:t>
      </w:r>
    </w:p>
    <w:p w14:paraId="5C09EAD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③响应人运输人员应根据实际运输的危险废物，即收货单有收货数量的危险废物名称，选择符合采购人当前运输日期及计划转移数量的电子联单进行企业二维码扫描；</w:t>
      </w:r>
    </w:p>
    <w:p w14:paraId="3D84557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④响应人运输人员填写的运输单位信息（含运输人员姓名、运输起点、运输终点）和扫描的车辆二维码，应与实际运输信息一致；</w:t>
      </w:r>
    </w:p>
    <w:p w14:paraId="7D3AC1B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⑤同一种危险废物名称，只能填写一次，不能重复填写；</w:t>
      </w:r>
    </w:p>
    <w:p w14:paraId="28CE8D4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⑥采购人有申请联单计划而实际未运输的危险废物，响应人运输人员不能填写、操作电子联单；</w:t>
      </w:r>
    </w:p>
    <w:p w14:paraId="34A0A9A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⑦采购人未申请联单计划的危险废物，响应人运输人员应拒绝装载，拒绝填写、操作电子联单；</w:t>
      </w:r>
    </w:p>
    <w:p w14:paraId="6E2DB14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⑧响应人运输人员运输危险废物到达目的地后，应再次登录电子联单系统，扫描处置企业二维码，保存处置单位信息，以结束运输流程；</w:t>
      </w:r>
    </w:p>
    <w:p w14:paraId="4A8E6F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⑨响应人应于接收危险废物后1个工作日内，登录广东省固体废物云申报系统确认实际接收量。</w:t>
      </w:r>
    </w:p>
    <w:p w14:paraId="0415151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3.危险废物交接负责人的委派</w:t>
      </w:r>
    </w:p>
    <w:p w14:paraId="4447677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双方应委派各自的危险废物交接负责人，行使合同约定的交接职权。</w:t>
      </w:r>
    </w:p>
    <w:p w14:paraId="33E61EE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4.检验方法、时间：</w:t>
      </w:r>
    </w:p>
    <w:p w14:paraId="426A8D6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①响应人在交接危险废物后的5个工作日内对危险废物进行检验。</w:t>
      </w:r>
    </w:p>
    <w:p w14:paraId="5460CB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响应人在验收过程中，如发现危险废物的品质标准不合规定或者采购人混杂其他废物的，应一边妥为保管，一边在检验后5个工作日内向采购人提出书面异议。响应人未按规定期限提出书面异议的，视为所交的危险废物符合合同规定。响应人在运输、使用、保管、保养不善等造成危险废物品质标准不合规定的，不得提出异议。</w:t>
      </w:r>
    </w:p>
    <w:p w14:paraId="15D237E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③检验合格或者检验不合格的危险废物经双方达成书面的处理意见后，响应人应按合同规定出具对账单给采购人确认，采购人应在5个工作日内进行确认。</w:t>
      </w:r>
    </w:p>
    <w:p w14:paraId="3704E51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5.待处理危险废物的环境污染责任：危险废物在采购人交响应人签收之前所产生的环境污染问题，由采购人负责；危险废物在采购人交响应人签收之后所产生的环境污染问题，由响应人负责。</w:t>
      </w:r>
    </w:p>
    <w:p w14:paraId="02DA5056">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五、报价要求</w:t>
      </w:r>
    </w:p>
    <w:p w14:paraId="5A30AE5A">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本项目为综合单价包干按实结算项目：响应人报价应是比选文件所确定的采购范围内全部内容的价格表现。即包括但不限于危险废物的上门回收、装卸、运输、处置、检测、车辆及相关设备的保险、维修、油料、人工、税金、利润、完成合同所需的一切本身和不可或缺的所有工作开支等费用。</w:t>
      </w:r>
    </w:p>
    <w:p w14:paraId="7740B789">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2.除第六点“结算方式”的第3点外，其余少报漏报的内容均已包含在总价内，成交供应商不得以任何的形式向采购人索要追加任何的费用，采购人也没有义务支付任何合同总价外的费用。</w:t>
      </w:r>
    </w:p>
    <w:p w14:paraId="6A062265">
      <w:pPr>
        <w:pStyle w:val="24"/>
        <w:keepNext w:val="0"/>
        <w:keepLines w:val="0"/>
        <w:pageBreakBefore w:val="0"/>
        <w:widowControl w:val="0"/>
        <w:kinsoku/>
        <w:wordWrap/>
        <w:overflowPunct/>
        <w:topLinePunct w:val="0"/>
        <w:autoSpaceDE/>
        <w:autoSpaceDN/>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、结算方式</w:t>
      </w:r>
    </w:p>
    <w:p w14:paraId="62B12F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1.成交供应商应在每次收运完成后，向采购人提交本次收运废物的现场交接清单，经采购人确认后，成交供应商向采购人开具正式发票。采购人原则上应当自收到发票且在满足支付条件的前提下20 个工作日内支付结算款项。</w:t>
      </w:r>
    </w:p>
    <w:p w14:paraId="5EAE29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2.根据实际处理数量及运输次数，按成交综合单价据实结算。</w:t>
      </w:r>
    </w:p>
    <w:p w14:paraId="1B6055A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若采购人所交付的危险废物类别、品质标准不符合本项目或相关规定的，且成交供应商同意收运处置，应当另行按质论价；如果成交供应商不同意收运处置的，应及时将废物退回给采购人，由采购人负责自行处理，并且采购人承担因此产生的退回运输费用。</w:t>
      </w:r>
    </w:p>
    <w:p w14:paraId="0F2A733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七、违约责任</w:t>
      </w:r>
    </w:p>
    <w:p w14:paraId="380A7F1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1.成交供应商若未按国家相关法律法规进行清运、处理，由成交供应商承担全部责任。</w:t>
      </w:r>
    </w:p>
    <w:p w14:paraId="6C32733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2.成交供应商应按时积极进行清收工作，不得拖延。若未按时按质完成项目内容，经采购人三次通知整改仍未完成，采购人有权单方终止合同。</w:t>
      </w:r>
    </w:p>
    <w:p w14:paraId="4A7A776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3.成交供应商因逾期运输废物而影响到采购人生产经营的，每逾期一日按照本次应运输废物总金额的5‰支付违约金给采购人。</w:t>
      </w:r>
    </w:p>
    <w:p w14:paraId="61977F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4.采购人若未如期履行付款义务的，每迟延一天按照本次运输废物应付未付金额的千分之一支付违约金给成交供应商，违约金不超过应付未付金额的10%。</w:t>
      </w:r>
    </w:p>
    <w:p w14:paraId="108BA77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5.若成交供应商提供的服务不符合法律法规及采购文件要求的质量、服务标准或履约过程中有违约行为的，采购人有权保留追究由此给采购人造成损失责任的权利。</w:t>
      </w:r>
    </w:p>
    <w:p w14:paraId="476B07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6.其它违约责任按《中华人民共和国民法典》处理。</w:t>
      </w:r>
    </w:p>
    <w:p w14:paraId="1C0B0D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八、其他</w:t>
      </w:r>
    </w:p>
    <w:p w14:paraId="38D60C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04CA878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2、成交供应商应在交接危险废物后的5个工作日内对本批次废物进行检验。</w:t>
      </w:r>
    </w:p>
    <w:p w14:paraId="33AF17C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3、因成交供应商在运输、使用、保管、保养不善等造成废物品质标准不符合规定的，由成交供应商负责，不得提出异议。</w:t>
      </w:r>
    </w:p>
    <w:p w14:paraId="6A42C32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4、经过检验的危险废物，经双方达成书面的处理意见后，成交供应商应按约定出具对账单给采购人确认，采购人应在5个工作日内予以确认。</w:t>
      </w:r>
    </w:p>
    <w:p w14:paraId="38C670F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5、关于待处理废物的环境污染责任：在采购人将危废交予成交供应商签收之前所产生的环境污染问题，由采购人负责；在采购人将危废交予成交供应商签收后所产生的污染问题，由成交供应商负责。</w:t>
      </w:r>
    </w:p>
    <w:p w14:paraId="5CBA6E4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任何一方如确因不可抗力的原因，不能履行本合同时，应在不可抗力的事件发生之后三日内向对方通知不能履行或须延期履行、部分履行的理由。在取得有关证明后，本合同可以不履行或延期履行或部分履行，并免予承担违约责任。</w:t>
      </w:r>
    </w:p>
    <w:p w14:paraId="24549EF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7.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5489F07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成交供应商在验收过程中，如发现废物的品质标准不符合规定或者采购人混杂其他废物的，应暂时妥为保管，同时在出检验结果后5个工作日内向采购人提出书面异议。如成交供应商未在规定期限提出书面异议的，视为所交的废物符合本项目约定。</w:t>
      </w:r>
    </w:p>
    <w:p w14:paraId="2FEA698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highlight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9、如因国家相关政策发生变化，应以最新的国家相关政策为准并执行，如因国家相关政策发生变化而导致本次项目的合同无法继续执行，采购人不承担任何责任，响应人自行承担由此带来的任何风险及后果。</w:t>
      </w:r>
    </w:p>
    <w:p w14:paraId="1BC0916F">
      <w:pPr>
        <w:pStyle w:val="21"/>
        <w:rPr>
          <w:rFonts w:hint="eastAsia"/>
          <w:highlight w:val="none"/>
        </w:rPr>
      </w:pPr>
    </w:p>
    <w:p w14:paraId="3C053B22">
      <w:pPr>
        <w:pStyle w:val="21"/>
        <w:rPr>
          <w:rFonts w:hint="eastAsia"/>
          <w:highlight w:val="none"/>
        </w:rPr>
      </w:pPr>
    </w:p>
    <w:p w14:paraId="2C26EC79">
      <w:pPr>
        <w:pStyle w:val="21"/>
        <w:rPr>
          <w:rFonts w:hint="eastAsia"/>
          <w:highlight w:val="none"/>
        </w:rPr>
      </w:pPr>
    </w:p>
    <w:p w14:paraId="06313F0A">
      <w:pPr>
        <w:pStyle w:val="21"/>
        <w:rPr>
          <w:rFonts w:hint="eastAsia"/>
          <w:highlight w:val="none"/>
        </w:rPr>
      </w:pPr>
    </w:p>
    <w:p w14:paraId="04C0DA00">
      <w:pPr>
        <w:pStyle w:val="21"/>
        <w:rPr>
          <w:rFonts w:hint="eastAsia"/>
          <w:highlight w:val="none"/>
        </w:rPr>
      </w:pPr>
    </w:p>
    <w:p w14:paraId="600F1031">
      <w:pPr>
        <w:pStyle w:val="21"/>
        <w:rPr>
          <w:rFonts w:hint="eastAsia"/>
          <w:highlight w:val="none"/>
        </w:rPr>
      </w:pPr>
    </w:p>
    <w:p w14:paraId="538B39E8">
      <w:pPr>
        <w:pStyle w:val="21"/>
        <w:rPr>
          <w:rFonts w:hint="eastAsia"/>
          <w:highlight w:val="none"/>
        </w:rPr>
      </w:pPr>
    </w:p>
    <w:p w14:paraId="61B73134">
      <w:pPr>
        <w:pStyle w:val="21"/>
        <w:rPr>
          <w:rFonts w:hint="eastAsia"/>
          <w:highlight w:val="none"/>
        </w:rPr>
      </w:pPr>
    </w:p>
    <w:p w14:paraId="704AB32E">
      <w:pPr>
        <w:pStyle w:val="21"/>
        <w:rPr>
          <w:rFonts w:hint="eastAsia"/>
          <w:highlight w:val="none"/>
        </w:rPr>
      </w:pPr>
    </w:p>
    <w:p w14:paraId="25CE66EE">
      <w:pPr>
        <w:pStyle w:val="21"/>
        <w:rPr>
          <w:rFonts w:hint="eastAsia"/>
          <w:highlight w:val="none"/>
        </w:rPr>
      </w:pPr>
    </w:p>
    <w:p w14:paraId="51B7A43D">
      <w:pPr>
        <w:pStyle w:val="21"/>
        <w:rPr>
          <w:rFonts w:hint="eastAsia"/>
          <w:highlight w:val="none"/>
        </w:rPr>
      </w:pPr>
    </w:p>
    <w:p w14:paraId="6E59920C">
      <w:pPr>
        <w:pStyle w:val="21"/>
        <w:rPr>
          <w:rFonts w:hint="eastAsia"/>
          <w:highlight w:val="none"/>
        </w:rPr>
      </w:pPr>
    </w:p>
    <w:p w14:paraId="5F5FAEDB">
      <w:pPr>
        <w:pStyle w:val="21"/>
        <w:rPr>
          <w:rFonts w:hint="eastAsia"/>
          <w:highlight w:val="none"/>
        </w:rPr>
      </w:pPr>
    </w:p>
    <w:p w14:paraId="166DFF15">
      <w:pPr>
        <w:pStyle w:val="21"/>
        <w:rPr>
          <w:rFonts w:hint="eastAsia"/>
          <w:highlight w:val="none"/>
        </w:rPr>
      </w:pPr>
    </w:p>
    <w:p w14:paraId="396CE78E">
      <w:pPr>
        <w:pStyle w:val="21"/>
        <w:rPr>
          <w:rFonts w:hint="eastAsia"/>
          <w:highlight w:val="none"/>
        </w:rPr>
      </w:pPr>
    </w:p>
    <w:p w14:paraId="4D0166C4">
      <w:pPr>
        <w:rPr>
          <w:rFonts w:hint="eastAsia"/>
          <w:highlight w:val="none"/>
        </w:rPr>
      </w:pPr>
    </w:p>
    <w:p w14:paraId="387E5E77">
      <w:pPr>
        <w:rPr>
          <w:rFonts w:hint="eastAsia"/>
          <w:highlight w:val="none"/>
        </w:rPr>
      </w:pPr>
    </w:p>
    <w:p w14:paraId="50D696CC">
      <w:pPr>
        <w:rPr>
          <w:rFonts w:hint="eastAsia"/>
          <w:highlight w:val="none"/>
        </w:rPr>
      </w:pPr>
    </w:p>
    <w:p w14:paraId="5587625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EE99A2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35D001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8A98C2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6DEAF7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EC745B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24"/>
        <w:rPr>
          <w:rFonts w:hint="eastAsia"/>
          <w:color w:val="000000"/>
          <w:highlight w:val="none"/>
        </w:rPr>
      </w:pPr>
    </w:p>
    <w:p w14:paraId="69F5B7E2">
      <w:pPr>
        <w:pStyle w:val="24"/>
        <w:rPr>
          <w:rFonts w:hint="eastAsia"/>
          <w:color w:val="000000"/>
          <w:highlight w:val="none"/>
        </w:rPr>
      </w:pPr>
    </w:p>
    <w:p w14:paraId="189E61D9">
      <w:pPr>
        <w:pStyle w:val="24"/>
        <w:rPr>
          <w:rFonts w:hint="eastAsia"/>
          <w:color w:val="000000"/>
          <w:highlight w:val="none"/>
        </w:rPr>
      </w:pPr>
    </w:p>
    <w:p w14:paraId="13E0DB19">
      <w:pPr>
        <w:pStyle w:val="24"/>
        <w:rPr>
          <w:rFonts w:hint="eastAsia"/>
          <w:color w:val="000000"/>
          <w:highlight w:val="none"/>
        </w:rPr>
      </w:pPr>
    </w:p>
    <w:p w14:paraId="7014139D">
      <w:pPr>
        <w:pStyle w:val="24"/>
        <w:rPr>
          <w:rFonts w:hint="eastAsia"/>
          <w:color w:val="000000"/>
          <w:highlight w:val="none"/>
        </w:rPr>
      </w:pPr>
    </w:p>
    <w:p w14:paraId="7D4DB952">
      <w:pPr>
        <w:pStyle w:val="24"/>
        <w:rPr>
          <w:rFonts w:hint="eastAsia"/>
          <w:color w:val="000000"/>
          <w:highlight w:val="none"/>
        </w:rPr>
      </w:pPr>
    </w:p>
    <w:p w14:paraId="182B1B64">
      <w:pPr>
        <w:pStyle w:val="24"/>
        <w:rPr>
          <w:rFonts w:hint="eastAsia"/>
          <w:color w:val="000000"/>
          <w:highlight w:val="none"/>
        </w:rPr>
      </w:pPr>
    </w:p>
    <w:p w14:paraId="2B1088A4">
      <w:pPr>
        <w:pStyle w:val="24"/>
        <w:rPr>
          <w:rFonts w:hint="eastAsia"/>
          <w:color w:val="000000"/>
          <w:highlight w:val="none"/>
        </w:rPr>
      </w:pPr>
    </w:p>
    <w:p w14:paraId="3F52C508">
      <w:pPr>
        <w:pStyle w:val="24"/>
        <w:rPr>
          <w:rFonts w:hint="eastAsia"/>
          <w:color w:val="000000"/>
          <w:highlight w:val="none"/>
        </w:rPr>
      </w:pPr>
    </w:p>
    <w:p w14:paraId="25589229">
      <w:pPr>
        <w:pStyle w:val="24"/>
        <w:rPr>
          <w:rFonts w:hint="eastAsia"/>
          <w:color w:val="000000"/>
          <w:highlight w:val="none"/>
        </w:rPr>
      </w:pPr>
    </w:p>
    <w:p w14:paraId="7179AE5A">
      <w:pPr>
        <w:pStyle w:val="24"/>
        <w:rPr>
          <w:rFonts w:hint="eastAsia"/>
          <w:color w:val="000000"/>
          <w:highlight w:val="none"/>
        </w:rPr>
      </w:pPr>
    </w:p>
    <w:p w14:paraId="6B0F4147">
      <w:pPr>
        <w:pStyle w:val="24"/>
        <w:rPr>
          <w:rFonts w:hint="eastAsia"/>
          <w:color w:val="000000"/>
          <w:highlight w:val="none"/>
        </w:rPr>
      </w:pPr>
    </w:p>
    <w:p w14:paraId="662325FF">
      <w:pPr>
        <w:pStyle w:val="24"/>
        <w:rPr>
          <w:rFonts w:hint="eastAsia"/>
          <w:color w:val="000000"/>
          <w:highlight w:val="none"/>
        </w:rPr>
      </w:pPr>
    </w:p>
    <w:p w14:paraId="1AEB18A1">
      <w:pPr>
        <w:pStyle w:val="24"/>
        <w:rPr>
          <w:rFonts w:hint="eastAsia"/>
          <w:color w:val="000000"/>
          <w:highlight w:val="none"/>
        </w:rPr>
      </w:pPr>
    </w:p>
    <w:p w14:paraId="4463CA19">
      <w:pPr>
        <w:pStyle w:val="24"/>
        <w:rPr>
          <w:rFonts w:hint="eastAsia"/>
          <w:color w:val="000000"/>
          <w:highlight w:val="none"/>
        </w:rPr>
      </w:pPr>
    </w:p>
    <w:p w14:paraId="1D5640CE">
      <w:pPr>
        <w:pStyle w:val="24"/>
        <w:rPr>
          <w:rFonts w:hint="eastAsia"/>
          <w:color w:val="000000"/>
          <w:highlight w:val="none"/>
        </w:rPr>
      </w:pPr>
    </w:p>
    <w:p w14:paraId="3BA62993">
      <w:pPr>
        <w:pStyle w:val="24"/>
        <w:rPr>
          <w:rFonts w:hint="eastAsia"/>
          <w:color w:val="000000"/>
          <w:highlight w:val="none"/>
        </w:rPr>
      </w:pPr>
    </w:p>
    <w:p w14:paraId="2FDD58ED">
      <w:pPr>
        <w:pStyle w:val="24"/>
        <w:rPr>
          <w:rFonts w:hint="eastAsia"/>
          <w:color w:val="000000"/>
          <w:highlight w:val="none"/>
        </w:rPr>
      </w:pPr>
    </w:p>
    <w:p w14:paraId="7B7C09C4">
      <w:pPr>
        <w:pStyle w:val="24"/>
        <w:rPr>
          <w:rFonts w:hint="eastAsia"/>
          <w:color w:val="000000"/>
          <w:highlight w:val="none"/>
        </w:rPr>
      </w:pPr>
    </w:p>
    <w:p w14:paraId="0B8ED225">
      <w:pPr>
        <w:pStyle w:val="24"/>
        <w:rPr>
          <w:rFonts w:hint="eastAsia"/>
          <w:color w:val="000000"/>
          <w:highlight w:val="none"/>
        </w:rPr>
      </w:pPr>
    </w:p>
    <w:p w14:paraId="0368E220">
      <w:pPr>
        <w:pStyle w:val="24"/>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A352B08">
      <w:pPr>
        <w:pStyle w:val="25"/>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须具备生态环境主管部门颁发的在有效期内的《危险废物经营许可证》且核准经营危险废物类别代码需包含本项目全部危险废物（详见</w:t>
            </w:r>
            <w:r>
              <w:rPr>
                <w:rFonts w:hint="eastAsia" w:ascii="仿宋" w:hAnsi="仿宋" w:eastAsia="仿宋" w:cs="仿宋"/>
                <w:color w:val="000000"/>
                <w:sz w:val="20"/>
                <w:szCs w:val="20"/>
                <w:highlight w:val="none"/>
                <w:lang w:val="en-US" w:eastAsia="zh-CN"/>
              </w:rPr>
              <w:t>比选邀请函</w:t>
            </w:r>
            <w:r>
              <w:rPr>
                <w:rFonts w:hint="eastAsia" w:ascii="仿宋" w:hAnsi="仿宋" w:eastAsia="仿宋" w:cs="仿宋"/>
                <w:color w:val="000000"/>
                <w:sz w:val="20"/>
                <w:szCs w:val="20"/>
                <w:highlight w:val="none"/>
                <w:lang w:val="zh-CN"/>
              </w:rPr>
              <w:t>）。(提供有效证书的复印件，加盖公章）</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6F42029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满足以下条件之一：</w:t>
            </w:r>
          </w:p>
          <w:p w14:paraId="522D892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（1）如</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自身运输危险废物的，</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须具备交通管理部门颁发的且在有效期内的《道路运输经营许可证》(经营范围包含危险货物运输)或《道路危险货物运输许可证》。</w:t>
            </w:r>
          </w:p>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（2）若</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有合作运输单位的，须提供</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与其合作运输单位的合作协议，以及合作运输单位在有效期内的《道路运输经营许可证》(经营范围包含危险货物运输)或《道路危险货物运输许可证》，上述证明材料复印件须加盖公章。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4"/>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评分（28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42分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28分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商务评审表（42分）</w:t>
      </w:r>
    </w:p>
    <w:tbl>
      <w:tblPr>
        <w:tblStyle w:val="1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764E3494">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44205071">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2EE88908">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04547A28">
            <w:pPr>
              <w:pStyle w:val="5"/>
              <w:keepNext w:val="0"/>
              <w:keepLines w:val="0"/>
              <w:suppressLineNumbers w:val="0"/>
              <w:spacing w:before="0" w:beforeAutospacing="0" w:after="0" w:afterAutospacing="0" w:line="240" w:lineRule="auto"/>
              <w:ind w:left="0" w:right="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5F7F679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auto"/>
                <w:kern w:val="2"/>
                <w:sz w:val="21"/>
                <w:szCs w:val="21"/>
                <w:highlight w:val="none"/>
                <w:lang w:val="en-US" w:eastAsia="zh-CN" w:bidi="ar-SA"/>
              </w:rPr>
              <w:t>同类项目业绩</w:t>
            </w:r>
          </w:p>
        </w:tc>
        <w:tc>
          <w:tcPr>
            <w:tcW w:w="825" w:type="dxa"/>
            <w:shd w:val="clear" w:color="auto" w:fill="auto"/>
            <w:vAlign w:val="center"/>
          </w:tcPr>
          <w:p w14:paraId="1A496D5E">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highlight w:val="none"/>
                <w:lang w:val="en-US" w:eastAsia="zh-CN"/>
              </w:rPr>
              <w:t>12</w:t>
            </w:r>
          </w:p>
        </w:tc>
        <w:tc>
          <w:tcPr>
            <w:tcW w:w="7061" w:type="dxa"/>
            <w:shd w:val="clear" w:color="auto" w:fill="auto"/>
            <w:vAlign w:val="center"/>
          </w:tcPr>
          <w:p w14:paraId="4E27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highlight w:val="none"/>
              </w:rPr>
            </w:pPr>
            <w:r>
              <w:rPr>
                <w:rFonts w:hint="eastAsia" w:ascii="仿宋" w:hAnsi="仿宋" w:eastAsia="仿宋" w:cs="仿宋"/>
                <w:bCs/>
                <w:color w:val="000000"/>
                <w:sz w:val="20"/>
                <w:szCs w:val="20"/>
                <w:highlight w:val="none"/>
              </w:rPr>
              <w:t>根据响应人自20</w:t>
            </w:r>
            <w:r>
              <w:rPr>
                <w:rFonts w:hint="eastAsia" w:ascii="仿宋" w:hAnsi="仿宋" w:eastAsia="仿宋" w:cs="仿宋"/>
                <w:bCs/>
                <w:color w:val="000000"/>
                <w:sz w:val="20"/>
                <w:szCs w:val="20"/>
                <w:highlight w:val="none"/>
                <w:lang w:val="en-US" w:eastAsia="zh-CN"/>
              </w:rPr>
              <w:t>22</w:t>
            </w:r>
            <w:r>
              <w:rPr>
                <w:rFonts w:hint="eastAsia" w:ascii="仿宋" w:hAnsi="仿宋" w:eastAsia="仿宋" w:cs="仿宋"/>
                <w:bCs/>
                <w:color w:val="000000"/>
                <w:sz w:val="20"/>
                <w:szCs w:val="20"/>
                <w:highlight w:val="none"/>
              </w:rPr>
              <w:t>年1月1日（以合同签订时间为准）以来，完成同类项目业绩（危险废物收运、处理</w:t>
            </w:r>
            <w:r>
              <w:rPr>
                <w:rFonts w:hint="eastAsia" w:ascii="仿宋" w:hAnsi="仿宋" w:eastAsia="仿宋" w:cs="仿宋"/>
                <w:bCs/>
                <w:color w:val="000000"/>
                <w:sz w:val="20"/>
                <w:szCs w:val="20"/>
                <w:highlight w:val="none"/>
                <w:lang w:val="en-US" w:eastAsia="zh-CN"/>
              </w:rPr>
              <w:t>/处置</w:t>
            </w:r>
            <w:r>
              <w:rPr>
                <w:rFonts w:hint="eastAsia" w:ascii="仿宋" w:hAnsi="仿宋" w:eastAsia="仿宋" w:cs="仿宋"/>
                <w:bCs/>
                <w:color w:val="000000"/>
                <w:sz w:val="20"/>
                <w:szCs w:val="20"/>
                <w:highlight w:val="none"/>
              </w:rPr>
              <w:t>服务）进行评分，每提供一个业绩得</w:t>
            </w:r>
            <w:r>
              <w:rPr>
                <w:rFonts w:hint="eastAsia" w:ascii="仿宋" w:hAnsi="仿宋" w:eastAsia="仿宋" w:cs="仿宋"/>
                <w:bCs/>
                <w:color w:val="000000"/>
                <w:sz w:val="20"/>
                <w:szCs w:val="20"/>
                <w:highlight w:val="none"/>
                <w:lang w:val="en-US" w:eastAsia="zh-CN"/>
              </w:rPr>
              <w:t>2</w:t>
            </w:r>
            <w:r>
              <w:rPr>
                <w:rFonts w:hint="eastAsia" w:ascii="仿宋" w:hAnsi="仿宋" w:eastAsia="仿宋" w:cs="仿宋"/>
                <w:bCs/>
                <w:color w:val="000000"/>
                <w:sz w:val="20"/>
                <w:szCs w:val="20"/>
                <w:highlight w:val="none"/>
              </w:rPr>
              <w:t>分，本项最高得</w:t>
            </w:r>
            <w:r>
              <w:rPr>
                <w:rFonts w:hint="eastAsia" w:ascii="仿宋" w:hAnsi="仿宋" w:eastAsia="仿宋" w:cs="仿宋"/>
                <w:bCs/>
                <w:color w:val="000000"/>
                <w:sz w:val="20"/>
                <w:szCs w:val="20"/>
                <w:highlight w:val="none"/>
                <w:lang w:val="en-US" w:eastAsia="zh-CN"/>
              </w:rPr>
              <w:t>12</w:t>
            </w:r>
            <w:r>
              <w:rPr>
                <w:rFonts w:hint="eastAsia" w:ascii="仿宋" w:hAnsi="仿宋" w:eastAsia="仿宋" w:cs="仿宋"/>
                <w:bCs/>
                <w:color w:val="000000"/>
                <w:sz w:val="20"/>
                <w:szCs w:val="20"/>
                <w:highlight w:val="none"/>
              </w:rPr>
              <w:t>分。</w:t>
            </w:r>
          </w:p>
          <w:p w14:paraId="62616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highlight w:val="none"/>
              </w:rPr>
              <w:t>注：须提供合同复印件（含签订合同双方的单位名称、合同项目内容、签订合同双方的落款盖章的关键页），并加盖公章。所提供资料未能体现符合业绩要求的不得分。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79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682" w:type="dxa"/>
            <w:shd w:val="clear" w:color="auto" w:fill="auto"/>
            <w:vAlign w:val="center"/>
          </w:tcPr>
          <w:p w14:paraId="6CFE077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用户评价</w:t>
            </w:r>
          </w:p>
        </w:tc>
        <w:tc>
          <w:tcPr>
            <w:tcW w:w="825" w:type="dxa"/>
            <w:shd w:val="clear" w:color="auto" w:fill="auto"/>
            <w:vAlign w:val="center"/>
          </w:tcPr>
          <w:p w14:paraId="4EFB7F5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6</w:t>
            </w:r>
          </w:p>
        </w:tc>
        <w:tc>
          <w:tcPr>
            <w:tcW w:w="7061" w:type="dxa"/>
            <w:shd w:val="clear" w:color="auto" w:fill="auto"/>
            <w:vAlign w:val="center"/>
          </w:tcPr>
          <w:p w14:paraId="761A424F">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分，最高得</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分。不提供不得分。</w:t>
            </w:r>
          </w:p>
          <w:p w14:paraId="2CF9B46B">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sz w:val="20"/>
                <w:szCs w:val="20"/>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01CA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shd w:val="clear" w:color="auto" w:fill="auto"/>
            <w:vAlign w:val="center"/>
          </w:tcPr>
          <w:p w14:paraId="6C6B67A0">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危险废物运输车辆</w:t>
            </w:r>
          </w:p>
        </w:tc>
        <w:tc>
          <w:tcPr>
            <w:tcW w:w="825" w:type="dxa"/>
            <w:shd w:val="clear" w:color="auto" w:fill="auto"/>
            <w:vAlign w:val="center"/>
          </w:tcPr>
          <w:p w14:paraId="0C40EF12">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AF09ADC">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根据响应人现有可用于危险废物运输的专用车辆数量评分，提供以下资料之一（四选一）：</w:t>
            </w:r>
          </w:p>
          <w:p w14:paraId="51D72F82">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r>
              <w:rPr>
                <w:rFonts w:hint="eastAsia" w:ascii="仿宋" w:hAnsi="仿宋" w:eastAsia="仿宋" w:cs="仿宋"/>
                <w:color w:val="auto"/>
                <w:kern w:val="2"/>
                <w:sz w:val="20"/>
                <w:szCs w:val="20"/>
                <w:highlight w:val="none"/>
                <w:lang w:val="en-US" w:eastAsia="zh-CN" w:bidi="ar"/>
              </w:rPr>
              <w:t>响应人自有运输车辆：提供危险废物运输车辆的《中华人民共和国道路运输证》(业户名称应为响应人的，经营范围包含危险货物运输)或《道路危险货物运输许可证》复印件；</w:t>
            </w:r>
          </w:p>
          <w:p w14:paraId="6EF3BDC9">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r>
              <w:rPr>
                <w:rFonts w:hint="eastAsia" w:ascii="仿宋" w:hAnsi="仿宋" w:eastAsia="仿宋" w:cs="仿宋"/>
                <w:color w:val="auto"/>
                <w:kern w:val="2"/>
                <w:sz w:val="20"/>
                <w:szCs w:val="20"/>
                <w:highlight w:val="none"/>
                <w:lang w:val="en-US" w:eastAsia="zh-CN" w:bidi="ar"/>
              </w:rPr>
              <w:t>响应人租赁运输车辆：提供危险废物运输车辆的《中华人民共和国道路运输证》(经营范围包含危险货物运输)或《道路危险货物运输许可证》复印件和有效期内的车辆租赁合同复印件；</w:t>
            </w:r>
          </w:p>
          <w:p w14:paraId="2C8B00AA">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（3）响应人</w:t>
            </w:r>
            <w:r>
              <w:rPr>
                <w:rFonts w:hint="eastAsia" w:ascii="仿宋" w:hAnsi="仿宋" w:eastAsia="仿宋" w:cs="仿宋"/>
                <w:color w:val="000000"/>
                <w:sz w:val="20"/>
                <w:szCs w:val="20"/>
                <w:highlight w:val="none"/>
                <w:lang w:val="zh-CN"/>
              </w:rPr>
              <w:t>合作运输单位</w:t>
            </w:r>
            <w:r>
              <w:rPr>
                <w:rFonts w:hint="eastAsia" w:ascii="仿宋" w:hAnsi="仿宋" w:eastAsia="仿宋" w:cs="仿宋"/>
                <w:color w:val="000000"/>
                <w:sz w:val="20"/>
                <w:szCs w:val="20"/>
                <w:highlight w:val="none"/>
                <w:lang w:val="en-US" w:eastAsia="zh-CN"/>
              </w:rPr>
              <w:t>自有</w:t>
            </w:r>
            <w:r>
              <w:rPr>
                <w:rFonts w:hint="eastAsia" w:ascii="仿宋" w:hAnsi="仿宋" w:eastAsia="仿宋" w:cs="仿宋"/>
                <w:color w:val="auto"/>
                <w:kern w:val="2"/>
                <w:sz w:val="20"/>
                <w:szCs w:val="20"/>
                <w:highlight w:val="none"/>
                <w:lang w:val="en-US" w:eastAsia="zh-CN" w:bidi="ar"/>
              </w:rPr>
              <w:t>运输车辆：提供危险废物运输车辆的《中华人民共和国道路运输证》(业户名称应为响应人</w:t>
            </w:r>
            <w:r>
              <w:rPr>
                <w:rFonts w:hint="eastAsia" w:ascii="仿宋" w:hAnsi="仿宋" w:eastAsia="仿宋" w:cs="仿宋"/>
                <w:color w:val="000000"/>
                <w:sz w:val="20"/>
                <w:szCs w:val="20"/>
                <w:highlight w:val="none"/>
                <w:lang w:val="zh-CN"/>
              </w:rPr>
              <w:t>合作运输单位</w:t>
            </w:r>
            <w:r>
              <w:rPr>
                <w:rFonts w:hint="eastAsia" w:ascii="仿宋" w:hAnsi="仿宋" w:eastAsia="仿宋" w:cs="仿宋"/>
                <w:color w:val="auto"/>
                <w:kern w:val="2"/>
                <w:sz w:val="20"/>
                <w:szCs w:val="20"/>
                <w:highlight w:val="none"/>
                <w:lang w:val="en-US" w:eastAsia="zh-CN" w:bidi="ar"/>
              </w:rPr>
              <w:t>的，经营范围包含危险货物运输)或《道路危险货物运输许可证》复印件；</w:t>
            </w:r>
          </w:p>
          <w:p w14:paraId="4A1A49AE">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（4）响应人</w:t>
            </w:r>
            <w:r>
              <w:rPr>
                <w:rFonts w:hint="eastAsia" w:ascii="仿宋" w:hAnsi="仿宋" w:eastAsia="仿宋" w:cs="仿宋"/>
                <w:color w:val="000000"/>
                <w:sz w:val="20"/>
                <w:szCs w:val="20"/>
                <w:highlight w:val="none"/>
                <w:lang w:val="zh-CN"/>
              </w:rPr>
              <w:t>合作运输单位</w:t>
            </w:r>
            <w:r>
              <w:rPr>
                <w:rFonts w:hint="eastAsia" w:ascii="仿宋" w:hAnsi="仿宋" w:eastAsia="仿宋" w:cs="仿宋"/>
                <w:color w:val="000000"/>
                <w:sz w:val="20"/>
                <w:szCs w:val="20"/>
                <w:highlight w:val="none"/>
                <w:lang w:val="en-US" w:eastAsia="zh-CN"/>
              </w:rPr>
              <w:t>租赁</w:t>
            </w:r>
            <w:r>
              <w:rPr>
                <w:rFonts w:hint="eastAsia" w:ascii="仿宋" w:hAnsi="仿宋" w:eastAsia="仿宋" w:cs="仿宋"/>
                <w:color w:val="auto"/>
                <w:kern w:val="2"/>
                <w:sz w:val="20"/>
                <w:szCs w:val="20"/>
                <w:highlight w:val="none"/>
                <w:lang w:val="en-US" w:eastAsia="zh-CN" w:bidi="ar"/>
              </w:rPr>
              <w:t>运输车辆：提供危险废物运输车辆的《中华人民共和国道路运输证》(经营范围包含危险货物运输)或《道路危险货物运输许可证》复印件和有效期内的车辆租赁合同复印件。</w:t>
            </w:r>
          </w:p>
          <w:p w14:paraId="3C47C2FF">
            <w:pPr>
              <w:pStyle w:val="24"/>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0"/>
                <w:szCs w:val="20"/>
                <w:highlight w:val="none"/>
                <w:lang w:val="en-US" w:eastAsia="zh-CN" w:bidi="ar"/>
              </w:rPr>
            </w:pPr>
          </w:p>
          <w:p w14:paraId="0BACD9F6">
            <w:pPr>
              <w:pStyle w:val="24"/>
              <w:keepNext w:val="0"/>
              <w:keepLines w:val="0"/>
              <w:suppressLineNumbers w:val="0"/>
              <w:spacing w:before="0" w:beforeAutospacing="0" w:after="0" w:afterAutospacing="0"/>
              <w:ind w:left="0" w:leftChars="0" w:right="0" w:rightChars="0" w:firstLine="0" w:firstLineChars="0"/>
              <w:rPr>
                <w:rFonts w:hint="default" w:ascii="仿宋" w:hAnsi="仿宋" w:eastAsia="仿宋" w:cs="仿宋"/>
                <w:color w:val="000000"/>
                <w:sz w:val="20"/>
                <w:szCs w:val="20"/>
                <w:highlight w:val="none"/>
                <w:lang w:val="en-US"/>
              </w:rPr>
            </w:pPr>
            <w:r>
              <w:rPr>
                <w:rFonts w:hint="eastAsia" w:ascii="仿宋" w:hAnsi="仿宋" w:eastAsia="仿宋" w:cs="仿宋"/>
                <w:color w:val="auto"/>
                <w:kern w:val="2"/>
                <w:sz w:val="20"/>
                <w:szCs w:val="20"/>
                <w:highlight w:val="none"/>
                <w:lang w:val="en-US" w:eastAsia="zh-CN" w:bidi="ar"/>
              </w:rPr>
              <w:t>符合以上要求的运输车辆每台得2分，最多6分，不满足要求的不予认定给分。</w:t>
            </w: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val="en-US" w:eastAsia="zh-CN"/>
              </w:rPr>
              <w:t>此处</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kern w:val="2"/>
                <w:sz w:val="20"/>
                <w:szCs w:val="20"/>
                <w:highlight w:val="none"/>
                <w:lang w:val="en-US" w:eastAsia="zh-CN" w:bidi="ar"/>
              </w:rPr>
              <w:t>响应人合作运输单位相关资料与资格审查中的合作运输单位不吻合，</w:t>
            </w:r>
            <w:r>
              <w:rPr>
                <w:rFonts w:hint="eastAsia" w:ascii="仿宋" w:hAnsi="仿宋" w:eastAsia="仿宋" w:cs="仿宋"/>
                <w:color w:val="auto"/>
                <w:sz w:val="21"/>
                <w:szCs w:val="21"/>
                <w:highlight w:val="none"/>
              </w:rPr>
              <w:t>则该</w:t>
            </w:r>
            <w:r>
              <w:rPr>
                <w:rFonts w:hint="eastAsia" w:ascii="仿宋" w:hAnsi="仿宋" w:eastAsia="仿宋" w:cs="仿宋"/>
                <w:color w:val="auto"/>
                <w:sz w:val="21"/>
                <w:szCs w:val="21"/>
                <w:highlight w:val="none"/>
                <w:lang w:val="en-US" w:eastAsia="zh-CN"/>
              </w:rPr>
              <w:t>证明材料</w:t>
            </w:r>
            <w:r>
              <w:rPr>
                <w:rFonts w:hint="eastAsia" w:ascii="仿宋" w:hAnsi="仿宋" w:eastAsia="仿宋" w:cs="仿宋"/>
                <w:color w:val="auto"/>
                <w:sz w:val="21"/>
                <w:szCs w:val="21"/>
                <w:highlight w:val="none"/>
              </w:rPr>
              <w:t>无效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不予得分</w:t>
            </w:r>
            <w:r>
              <w:rPr>
                <w:rFonts w:hint="eastAsia" w:ascii="仿宋" w:hAnsi="仿宋" w:eastAsia="仿宋" w:cs="仿宋"/>
                <w:color w:val="auto"/>
                <w:sz w:val="21"/>
                <w:szCs w:val="21"/>
                <w:highlight w:val="none"/>
              </w:rPr>
              <w:t>。</w:t>
            </w:r>
          </w:p>
        </w:tc>
      </w:tr>
      <w:tr w14:paraId="3F7B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14:paraId="57BF8C23">
            <w:pPr>
              <w:keepNext w:val="0"/>
              <w:keepLines w:val="0"/>
              <w:widowControl/>
              <w:suppressLineNumbers w:val="0"/>
              <w:snapToGrid w:val="0"/>
              <w:spacing w:before="0" w:beforeAutospacing="0" w:after="0" w:afterAutospacing="0" w:line="240" w:lineRule="exact"/>
              <w:ind w:left="0" w:leftChars="0" w:right="0" w:right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拟投入本项目人员情况</w:t>
            </w:r>
          </w:p>
        </w:tc>
        <w:tc>
          <w:tcPr>
            <w:tcW w:w="825" w:type="dxa"/>
            <w:shd w:val="clear" w:color="auto" w:fill="auto"/>
            <w:vAlign w:val="top"/>
          </w:tcPr>
          <w:p w14:paraId="615F3E26">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6929CCCB">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18576EF8">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6D835617">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36C60090">
            <w:pPr>
              <w:keepNext w:val="0"/>
              <w:keepLines w:val="0"/>
              <w:suppressLineNumbers w:val="0"/>
              <w:spacing w:before="69" w:beforeAutospacing="0" w:after="0" w:afterAutospacing="0" w:line="182" w:lineRule="auto"/>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10</w:t>
            </w:r>
          </w:p>
        </w:tc>
        <w:tc>
          <w:tcPr>
            <w:tcW w:w="7061" w:type="dxa"/>
            <w:shd w:val="clear" w:color="auto" w:fill="auto"/>
            <w:vAlign w:val="top"/>
          </w:tcPr>
          <w:p w14:paraId="5EF9113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根据拟投入的项目团队</w:t>
            </w:r>
            <w:r>
              <w:rPr>
                <w:rFonts w:hint="eastAsia" w:ascii="仿宋" w:hAnsi="仿宋" w:eastAsia="仿宋" w:cs="仿宋"/>
                <w:color w:val="000000"/>
                <w:sz w:val="20"/>
                <w:szCs w:val="20"/>
                <w:highlight w:val="none"/>
                <w:lang w:val="en-US" w:eastAsia="zh-CN"/>
              </w:rPr>
              <w:t>资质</w:t>
            </w:r>
            <w:r>
              <w:rPr>
                <w:rFonts w:hint="eastAsia" w:ascii="仿宋" w:hAnsi="仿宋" w:eastAsia="仿宋" w:cs="仿宋"/>
                <w:color w:val="000000"/>
                <w:sz w:val="20"/>
                <w:szCs w:val="20"/>
                <w:highlight w:val="none"/>
              </w:rPr>
              <w:t>进行评审,其中：</w:t>
            </w:r>
          </w:p>
          <w:p w14:paraId="4F9D235A">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1</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rPr>
              <w:t>项目负责人资质</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必须为响应人自身的人员</w:t>
            </w:r>
            <w:r>
              <w:rPr>
                <w:rFonts w:hint="eastAsia" w:ascii="仿宋" w:hAnsi="仿宋" w:eastAsia="仿宋" w:cs="仿宋"/>
                <w:color w:val="000000"/>
                <w:sz w:val="20"/>
                <w:szCs w:val="20"/>
                <w:highlight w:val="none"/>
                <w:lang w:eastAsia="zh-CN"/>
              </w:rPr>
              <w:t>）</w:t>
            </w:r>
          </w:p>
          <w:p w14:paraId="5126B8C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具备环保相关专业中级及以上职称，得</w:t>
            </w: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rPr>
              <w:t>分</w:t>
            </w:r>
            <w:r>
              <w:rPr>
                <w:rFonts w:hint="eastAsia" w:ascii="仿宋" w:hAnsi="仿宋" w:eastAsia="仿宋" w:cs="仿宋"/>
                <w:color w:val="000000"/>
                <w:sz w:val="20"/>
                <w:szCs w:val="20"/>
                <w:highlight w:val="none"/>
                <w:lang w:eastAsia="zh-CN"/>
              </w:rPr>
              <w:t>。</w:t>
            </w:r>
          </w:p>
          <w:p w14:paraId="13C3AC5F">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最高得</w:t>
            </w: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rPr>
              <w:t>分。</w:t>
            </w:r>
          </w:p>
          <w:p w14:paraId="5767DEA3">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2</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rPr>
              <w:t>项目团队人员配置</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除项目负责人外</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允许</w:t>
            </w:r>
            <w:r>
              <w:rPr>
                <w:rFonts w:hint="eastAsia" w:ascii="仿宋" w:hAnsi="仿宋" w:eastAsia="仿宋" w:cs="仿宋"/>
                <w:color w:val="000000"/>
                <w:sz w:val="20"/>
                <w:szCs w:val="20"/>
                <w:highlight w:val="none"/>
              </w:rPr>
              <w:t>项目团队人员</w:t>
            </w:r>
            <w:r>
              <w:rPr>
                <w:rFonts w:hint="eastAsia" w:ascii="仿宋" w:hAnsi="仿宋" w:eastAsia="仿宋" w:cs="仿宋"/>
                <w:color w:val="000000"/>
                <w:sz w:val="20"/>
                <w:szCs w:val="20"/>
                <w:highlight w:val="none"/>
                <w:lang w:eastAsia="zh-CN"/>
              </w:rPr>
              <w:t>为</w:t>
            </w:r>
            <w:r>
              <w:rPr>
                <w:rFonts w:hint="eastAsia" w:ascii="仿宋" w:hAnsi="仿宋" w:eastAsia="仿宋" w:cs="仿宋"/>
                <w:color w:val="000000"/>
                <w:sz w:val="20"/>
                <w:szCs w:val="20"/>
                <w:highlight w:val="none"/>
                <w:lang w:val="en-US" w:eastAsia="zh-CN"/>
              </w:rPr>
              <w:t>响应人自身的人员，也可以是响应人合作运输单位的人员</w:t>
            </w:r>
            <w:r>
              <w:rPr>
                <w:rFonts w:hint="eastAsia" w:ascii="仿宋" w:hAnsi="仿宋" w:eastAsia="仿宋" w:cs="仿宋"/>
                <w:color w:val="000000"/>
                <w:sz w:val="20"/>
                <w:szCs w:val="20"/>
                <w:highlight w:val="none"/>
                <w:lang w:eastAsia="zh-CN"/>
              </w:rPr>
              <w:t>）</w:t>
            </w:r>
          </w:p>
          <w:p w14:paraId="673A93F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为本项目配置运输人员至少1人，在符合此要求下：每增加1名运输人员投入到本项目的，得2分，本项最高得4分。不提供或仅提供1名运输人员资料的，则本项不得分。</w:t>
            </w:r>
          </w:p>
          <w:p w14:paraId="20A06FBF">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为本项目配置押运人员至少1人，在符合此要求下：每增加1名押运人员投入到本项目的，得2分，本项最高得4分。不提供或仅提供1名押运人员资料的，则本项不得分。</w:t>
            </w:r>
          </w:p>
          <w:p w14:paraId="60A0CF52">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注：</w:t>
            </w:r>
            <w:r>
              <w:rPr>
                <w:rFonts w:hint="eastAsia" w:ascii="仿宋" w:hAnsi="仿宋" w:eastAsia="仿宋" w:cs="仿宋"/>
                <w:sz w:val="20"/>
                <w:szCs w:val="20"/>
                <w:highlight w:val="none"/>
                <w:lang w:val="en-US" w:eastAsia="zh-CN"/>
              </w:rPr>
              <w:t>须提供以上相关人员有效期内的资格证书复印件（其中，运输人员提供有效期内的危险品准驾证，押运员提供有效期内的危险品押运证）及2025年1月以来任意一个月的响应人（如为运输人员或押运人员的，也可提供响应人合作运输单位）为其缴纳的社保证明材料复印件，缺一不可。</w:t>
            </w: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val="en-US" w:eastAsia="zh-CN"/>
              </w:rPr>
              <w:t>此处</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kern w:val="2"/>
                <w:sz w:val="20"/>
                <w:szCs w:val="20"/>
                <w:highlight w:val="none"/>
                <w:lang w:val="en-US" w:eastAsia="zh-CN" w:bidi="ar"/>
              </w:rPr>
              <w:t>响应人合作运输单位相关资料与资格审查中的合作运输单位不吻合，</w:t>
            </w:r>
            <w:r>
              <w:rPr>
                <w:rFonts w:hint="eastAsia" w:ascii="仿宋" w:hAnsi="仿宋" w:eastAsia="仿宋" w:cs="仿宋"/>
                <w:color w:val="auto"/>
                <w:sz w:val="21"/>
                <w:szCs w:val="21"/>
                <w:highlight w:val="none"/>
              </w:rPr>
              <w:t>则该</w:t>
            </w:r>
            <w:r>
              <w:rPr>
                <w:rFonts w:hint="eastAsia" w:ascii="仿宋" w:hAnsi="仿宋" w:eastAsia="仿宋" w:cs="仿宋"/>
                <w:color w:val="auto"/>
                <w:sz w:val="21"/>
                <w:szCs w:val="21"/>
                <w:highlight w:val="none"/>
                <w:lang w:val="en-US" w:eastAsia="zh-CN"/>
              </w:rPr>
              <w:t>证明材料</w:t>
            </w:r>
            <w:r>
              <w:rPr>
                <w:rFonts w:hint="eastAsia" w:ascii="仿宋" w:hAnsi="仿宋" w:eastAsia="仿宋" w:cs="仿宋"/>
                <w:color w:val="auto"/>
                <w:sz w:val="21"/>
                <w:szCs w:val="21"/>
                <w:highlight w:val="none"/>
              </w:rPr>
              <w:t>无效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不予得分</w:t>
            </w:r>
            <w:r>
              <w:rPr>
                <w:rFonts w:hint="eastAsia" w:ascii="仿宋" w:hAnsi="仿宋" w:eastAsia="仿宋" w:cs="仿宋"/>
                <w:color w:val="auto"/>
                <w:sz w:val="21"/>
                <w:szCs w:val="21"/>
                <w:highlight w:val="none"/>
              </w:rPr>
              <w:t>。</w:t>
            </w:r>
          </w:p>
        </w:tc>
      </w:tr>
      <w:tr w14:paraId="3A5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14:paraId="7FA2429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信息化水平评价</w:t>
            </w:r>
          </w:p>
        </w:tc>
        <w:tc>
          <w:tcPr>
            <w:tcW w:w="825" w:type="dxa"/>
            <w:shd w:val="clear" w:color="auto" w:fill="auto"/>
            <w:vAlign w:val="top"/>
          </w:tcPr>
          <w:p w14:paraId="62FE9EA3">
            <w:pPr>
              <w:pStyle w:val="23"/>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4E6AC51B">
            <w:pPr>
              <w:pStyle w:val="23"/>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p>
        </w:tc>
        <w:tc>
          <w:tcPr>
            <w:tcW w:w="7061" w:type="dxa"/>
            <w:shd w:val="clear" w:color="auto" w:fill="auto"/>
            <w:vAlign w:val="top"/>
          </w:tcPr>
          <w:p w14:paraId="4C959647">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bCs/>
                <w:color w:val="000000"/>
                <w:sz w:val="20"/>
                <w:szCs w:val="20"/>
                <w:highlight w:val="none"/>
              </w:rPr>
              <w:t>响应人</w:t>
            </w:r>
            <w:r>
              <w:rPr>
                <w:rFonts w:hint="eastAsia" w:ascii="仿宋" w:hAnsi="仿宋" w:eastAsia="仿宋" w:cs="仿宋"/>
                <w:color w:val="000000"/>
                <w:sz w:val="20"/>
                <w:szCs w:val="20"/>
                <w:highlight w:val="none"/>
                <w:lang w:eastAsia="zh-CN"/>
              </w:rPr>
              <w:t>具有危险废物智能收集管理</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eastAsia="zh-CN"/>
              </w:rPr>
              <w:t>危险废物贮存管理</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eastAsia="zh-CN"/>
              </w:rPr>
              <w:t>危险废物运输管理等与本项目相关的系统软件著作权登记证书或者软著使用权证明材料，有1项得2分，最多得</w:t>
            </w: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lang w:eastAsia="zh-CN"/>
              </w:rPr>
              <w:t>分。</w:t>
            </w:r>
          </w:p>
          <w:p w14:paraId="50803304">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spacing w:val="-4"/>
                <w:sz w:val="20"/>
                <w:szCs w:val="20"/>
                <w:highlight w:val="none"/>
              </w:rPr>
            </w:pPr>
            <w:r>
              <w:rPr>
                <w:rFonts w:hint="eastAsia" w:ascii="仿宋" w:hAnsi="仿宋" w:eastAsia="仿宋" w:cs="仿宋"/>
                <w:color w:val="000000"/>
                <w:sz w:val="20"/>
                <w:szCs w:val="20"/>
                <w:highlight w:val="none"/>
              </w:rPr>
              <w:t>注：提供有效</w:t>
            </w:r>
            <w:r>
              <w:rPr>
                <w:rFonts w:hint="eastAsia" w:ascii="仿宋" w:hAnsi="仿宋" w:eastAsia="仿宋" w:cs="仿宋"/>
                <w:color w:val="000000"/>
                <w:sz w:val="20"/>
                <w:szCs w:val="20"/>
                <w:highlight w:val="none"/>
                <w:lang w:val="en-US" w:eastAsia="zh-CN"/>
              </w:rPr>
              <w:t>期</w:t>
            </w:r>
            <w:r>
              <w:rPr>
                <w:rFonts w:hint="eastAsia" w:ascii="仿宋" w:hAnsi="仿宋" w:eastAsia="仿宋" w:cs="仿宋"/>
                <w:color w:val="000000"/>
                <w:sz w:val="20"/>
                <w:szCs w:val="20"/>
                <w:highlight w:val="none"/>
              </w:rPr>
              <w:t>内的证书复印件，并加盖公章，未提供不得分。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服务评审表（28分）</w:t>
      </w:r>
    </w:p>
    <w:tbl>
      <w:tblPr>
        <w:tblStyle w:val="1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06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7ECD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680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A66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586B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682F0F9">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危险废物处置方案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8AF7D7D">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0E262A25">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人针对本项目特点提供的危险废物处置方案进行评审，包括以下方面：</w:t>
            </w:r>
          </w:p>
          <w:p w14:paraId="306C430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①危险废物</w:t>
            </w:r>
            <w:r>
              <w:rPr>
                <w:rFonts w:hint="eastAsia" w:ascii="仿宋" w:hAnsi="仿宋" w:eastAsia="仿宋" w:cs="仿宋"/>
                <w:color w:val="000000"/>
                <w:szCs w:val="21"/>
                <w:highlight w:val="none"/>
                <w:lang w:val="en-US" w:eastAsia="zh-CN"/>
              </w:rPr>
              <w:t>清运处置</w:t>
            </w:r>
            <w:r>
              <w:rPr>
                <w:rFonts w:hint="eastAsia" w:ascii="仿宋" w:hAnsi="仿宋" w:eastAsia="仿宋" w:cs="仿宋"/>
                <w:color w:val="000000"/>
                <w:szCs w:val="21"/>
                <w:highlight w:val="none"/>
              </w:rPr>
              <w:t>主要管理制度</w:t>
            </w:r>
            <w:r>
              <w:rPr>
                <w:rFonts w:hint="eastAsia" w:ascii="仿宋" w:hAnsi="仿宋" w:eastAsia="仿宋" w:cs="仿宋"/>
                <w:color w:val="000000"/>
                <w:szCs w:val="21"/>
                <w:highlight w:val="none"/>
                <w:lang w:eastAsia="zh-CN"/>
              </w:rPr>
              <w:t>；</w:t>
            </w:r>
          </w:p>
          <w:p w14:paraId="2F00D174">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②危险废物处置工艺</w:t>
            </w:r>
            <w:r>
              <w:rPr>
                <w:rFonts w:hint="eastAsia" w:ascii="仿宋" w:hAnsi="仿宋" w:eastAsia="仿宋" w:cs="仿宋"/>
                <w:color w:val="000000"/>
                <w:szCs w:val="21"/>
                <w:highlight w:val="none"/>
                <w:lang w:eastAsia="zh-CN"/>
              </w:rPr>
              <w:t>；</w:t>
            </w:r>
          </w:p>
          <w:p w14:paraId="266512E2">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③项目处置质量管理措施</w:t>
            </w:r>
            <w:r>
              <w:rPr>
                <w:rFonts w:hint="eastAsia" w:ascii="仿宋" w:hAnsi="仿宋" w:eastAsia="仿宋" w:cs="仿宋"/>
                <w:color w:val="000000"/>
                <w:szCs w:val="21"/>
                <w:highlight w:val="none"/>
                <w:lang w:eastAsia="zh-CN"/>
              </w:rPr>
              <w:t>；</w:t>
            </w:r>
          </w:p>
          <w:p w14:paraId="46F0A0C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④项目处置安全文明措施</w:t>
            </w:r>
            <w:r>
              <w:rPr>
                <w:rFonts w:hint="eastAsia" w:ascii="仿宋" w:hAnsi="仿宋" w:eastAsia="仿宋" w:cs="仿宋"/>
                <w:color w:val="000000"/>
                <w:szCs w:val="21"/>
                <w:highlight w:val="none"/>
                <w:lang w:eastAsia="zh-CN"/>
              </w:rPr>
              <w:t>。</w:t>
            </w:r>
          </w:p>
          <w:p w14:paraId="7F11BB0F">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2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r>
      <w:tr w14:paraId="233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94EC2E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B45F977">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lang w:val="en-US" w:eastAsia="zh-CN"/>
              </w:rPr>
              <w:t>14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5C842DE">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人针对本项目特点提供的服务方案进行评审，包括以下方面：</w:t>
            </w:r>
          </w:p>
          <w:p w14:paraId="35C7DE2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①作业设备</w:t>
            </w:r>
            <w:r>
              <w:rPr>
                <w:rFonts w:hint="eastAsia" w:ascii="仿宋" w:hAnsi="仿宋" w:eastAsia="仿宋" w:cs="仿宋"/>
                <w:color w:val="000000"/>
                <w:szCs w:val="21"/>
                <w:highlight w:val="none"/>
                <w:lang w:val="en-US" w:eastAsia="zh-CN"/>
              </w:rPr>
              <w:t>和运输</w:t>
            </w:r>
            <w:r>
              <w:rPr>
                <w:rFonts w:hint="eastAsia" w:ascii="仿宋" w:hAnsi="仿宋" w:eastAsia="仿宋" w:cs="仿宋"/>
                <w:color w:val="000000"/>
                <w:szCs w:val="21"/>
                <w:highlight w:val="none"/>
              </w:rPr>
              <w:t>管理</w:t>
            </w:r>
            <w:r>
              <w:rPr>
                <w:rFonts w:hint="eastAsia" w:ascii="仿宋" w:hAnsi="仿宋" w:eastAsia="仿宋" w:cs="仿宋"/>
                <w:color w:val="000000"/>
                <w:szCs w:val="21"/>
                <w:highlight w:val="none"/>
                <w:lang w:eastAsia="zh-CN"/>
              </w:rPr>
              <w:t>；</w:t>
            </w:r>
          </w:p>
          <w:p w14:paraId="6A3B3F67">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②现场清运的技术保障方案</w:t>
            </w:r>
            <w:r>
              <w:rPr>
                <w:rFonts w:hint="eastAsia" w:ascii="仿宋" w:hAnsi="仿宋" w:eastAsia="仿宋" w:cs="仿宋"/>
                <w:color w:val="000000"/>
                <w:szCs w:val="21"/>
                <w:highlight w:val="none"/>
                <w:lang w:val="en-US" w:eastAsia="zh-CN"/>
              </w:rPr>
              <w:t>；</w:t>
            </w:r>
          </w:p>
          <w:p w14:paraId="11752E63">
            <w:pPr>
              <w:pStyle w:val="4"/>
              <w:keepNext w:val="0"/>
              <w:keepLines w:val="0"/>
              <w:suppressLineNumbers w:val="0"/>
              <w:spacing w:before="0" w:beforeAutospacing="0" w:after="0" w:afterAutospacing="0"/>
              <w:ind w:left="0" w:right="0" w:firstLine="0" w:firstLineChars="0"/>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③紧急情况下危废清运处置的响应方案；</w:t>
            </w:r>
          </w:p>
          <w:p w14:paraId="12188DA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④</w:t>
            </w:r>
            <w:r>
              <w:rPr>
                <w:rFonts w:hint="eastAsia" w:ascii="仿宋" w:hAnsi="仿宋" w:eastAsia="仿宋" w:cs="仿宋"/>
                <w:color w:val="000000"/>
                <w:szCs w:val="21"/>
                <w:highlight w:val="none"/>
              </w:rPr>
              <w:t>污染事故、泄漏事故</w:t>
            </w:r>
            <w:r>
              <w:rPr>
                <w:rFonts w:hint="eastAsia" w:ascii="仿宋" w:hAnsi="仿宋" w:eastAsia="仿宋" w:cs="仿宋"/>
                <w:color w:val="000000"/>
                <w:szCs w:val="21"/>
                <w:highlight w:val="none"/>
                <w:lang w:val="en-US" w:eastAsia="zh-CN"/>
              </w:rPr>
              <w:t>的处理方案</w:t>
            </w:r>
            <w:r>
              <w:rPr>
                <w:rFonts w:hint="eastAsia" w:ascii="仿宋" w:hAnsi="仿宋" w:eastAsia="仿宋" w:cs="仿宋"/>
                <w:color w:val="000000"/>
                <w:szCs w:val="21"/>
                <w:highlight w:val="none"/>
              </w:rPr>
              <w:t>（包括过程中发生危废泄露、环境污染或人员伤害等）</w:t>
            </w:r>
            <w:r>
              <w:rPr>
                <w:rFonts w:hint="eastAsia" w:ascii="仿宋" w:hAnsi="仿宋" w:eastAsia="仿宋" w:cs="仿宋"/>
                <w:color w:val="000000"/>
                <w:szCs w:val="21"/>
                <w:highlight w:val="none"/>
                <w:lang w:eastAsia="zh-CN"/>
              </w:rPr>
              <w:t>。</w:t>
            </w:r>
          </w:p>
          <w:p w14:paraId="46FF1594">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r>
    </w:tbl>
    <w:p w14:paraId="05AE43E0">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DA29DB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1"/>
        <w:rPr>
          <w:rFonts w:hint="eastAsia" w:ascii="微软雅黑" w:hAnsi="微软雅黑" w:eastAsia="微软雅黑" w:cs="微软雅黑"/>
          <w:color w:val="000000"/>
          <w:highlight w:val="none"/>
        </w:rPr>
      </w:pPr>
    </w:p>
    <w:p w14:paraId="25DE2C1E">
      <w:pPr>
        <w:pStyle w:val="21"/>
        <w:rPr>
          <w:rFonts w:hint="eastAsia" w:ascii="微软雅黑" w:hAnsi="微软雅黑" w:eastAsia="微软雅黑" w:cs="微软雅黑"/>
          <w:color w:val="000000"/>
          <w:highlight w:val="none"/>
        </w:rPr>
      </w:pPr>
    </w:p>
    <w:p w14:paraId="23DD2588">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7C57A4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E8B6BB6">
      <w:pPr>
        <w:rPr>
          <w:rFonts w:hint="eastAsia" w:ascii="微软雅黑" w:hAnsi="微软雅黑" w:eastAsia="微软雅黑" w:cs="微软雅黑"/>
          <w:color w:val="000000"/>
          <w:highlight w:val="none"/>
        </w:rPr>
      </w:pPr>
    </w:p>
    <w:p w14:paraId="0C5362A6">
      <w:pPr>
        <w:rPr>
          <w:rFonts w:hint="eastAsia" w:ascii="微软雅黑" w:hAnsi="微软雅黑" w:eastAsia="微软雅黑" w:cs="微软雅黑"/>
          <w:color w:val="000000"/>
          <w:highlight w:val="none"/>
        </w:rPr>
      </w:pPr>
    </w:p>
    <w:p w14:paraId="7A9E932F">
      <w:pPr>
        <w:rPr>
          <w:rFonts w:hint="eastAsia" w:ascii="微软雅黑" w:hAnsi="微软雅黑" w:eastAsia="微软雅黑" w:cs="微软雅黑"/>
          <w:color w:val="000000"/>
          <w:highlight w:val="none"/>
        </w:rPr>
      </w:pPr>
    </w:p>
    <w:p w14:paraId="13170D9A">
      <w:pPr>
        <w:rPr>
          <w:rFonts w:hint="eastAsia" w:ascii="微软雅黑" w:hAnsi="微软雅黑" w:eastAsia="微软雅黑" w:cs="微软雅黑"/>
          <w:color w:val="000000"/>
          <w:highlight w:val="none"/>
        </w:rPr>
      </w:pPr>
    </w:p>
    <w:p w14:paraId="6CAA8EF1">
      <w:pPr>
        <w:rPr>
          <w:rFonts w:hint="eastAsia" w:ascii="微软雅黑" w:hAnsi="微软雅黑" w:eastAsia="微软雅黑" w:cs="微软雅黑"/>
          <w:color w:val="000000"/>
          <w:highlight w:val="none"/>
        </w:rPr>
      </w:pPr>
    </w:p>
    <w:p w14:paraId="03B466BD">
      <w:pPr>
        <w:rPr>
          <w:rFonts w:hint="eastAsia" w:ascii="微软雅黑" w:hAnsi="微软雅黑" w:eastAsia="微软雅黑" w:cs="微软雅黑"/>
          <w:color w:val="000000"/>
          <w:highlight w:val="none"/>
        </w:rPr>
      </w:pPr>
    </w:p>
    <w:p w14:paraId="1E753B0F">
      <w:pPr>
        <w:rPr>
          <w:rFonts w:hint="eastAsia" w:ascii="微软雅黑" w:hAnsi="微软雅黑" w:eastAsia="微软雅黑" w:cs="微软雅黑"/>
          <w:color w:val="000000"/>
          <w:highlight w:val="none"/>
        </w:rPr>
      </w:pPr>
    </w:p>
    <w:p w14:paraId="21F5AEA0">
      <w:pPr>
        <w:rPr>
          <w:rFonts w:hint="eastAsia" w:ascii="微软雅黑" w:hAnsi="微软雅黑" w:eastAsia="微软雅黑" w:cs="微软雅黑"/>
          <w:color w:val="000000"/>
          <w:highlight w:val="none"/>
        </w:rPr>
      </w:pPr>
    </w:p>
    <w:p w14:paraId="515DF533">
      <w:pPr>
        <w:rPr>
          <w:rFonts w:hint="eastAsia" w:ascii="微软雅黑" w:hAnsi="微软雅黑" w:eastAsia="微软雅黑" w:cs="微软雅黑"/>
          <w:color w:val="000000"/>
          <w:highlight w:val="none"/>
        </w:rPr>
      </w:pPr>
    </w:p>
    <w:p w14:paraId="79C6D8FF">
      <w:pPr>
        <w:rPr>
          <w:rFonts w:hint="eastAsia" w:ascii="微软雅黑" w:hAnsi="微软雅黑" w:eastAsia="微软雅黑" w:cs="微软雅黑"/>
          <w:color w:val="000000"/>
          <w:highlight w:val="none"/>
        </w:rPr>
      </w:pPr>
    </w:p>
    <w:p w14:paraId="42245346">
      <w:pPr>
        <w:rPr>
          <w:rFonts w:hint="eastAsia" w:ascii="微软雅黑" w:hAnsi="微软雅黑" w:eastAsia="微软雅黑" w:cs="微软雅黑"/>
          <w:color w:val="000000"/>
          <w:highlight w:val="none"/>
        </w:rPr>
      </w:pPr>
    </w:p>
    <w:p w14:paraId="7E496A6E">
      <w:pPr>
        <w:rPr>
          <w:rFonts w:hint="eastAsia" w:ascii="微软雅黑" w:hAnsi="微软雅黑" w:eastAsia="微软雅黑" w:cs="微软雅黑"/>
          <w:color w:val="000000"/>
          <w:highlight w:val="none"/>
        </w:rPr>
      </w:pPr>
    </w:p>
    <w:p w14:paraId="6B80DFEF">
      <w:pPr>
        <w:rPr>
          <w:rFonts w:hint="eastAsia" w:ascii="微软雅黑" w:hAnsi="微软雅黑" w:eastAsia="微软雅黑" w:cs="微软雅黑"/>
          <w:color w:val="000000"/>
          <w:highlight w:val="none"/>
        </w:rPr>
      </w:pPr>
    </w:p>
    <w:p w14:paraId="51023D5F">
      <w:pPr>
        <w:rPr>
          <w:rFonts w:hint="eastAsia" w:ascii="微软雅黑" w:hAnsi="微软雅黑" w:eastAsia="微软雅黑" w:cs="微软雅黑"/>
          <w:color w:val="000000"/>
          <w:highlight w:val="none"/>
        </w:rPr>
      </w:pPr>
    </w:p>
    <w:p w14:paraId="61435F6A">
      <w:pPr>
        <w:rPr>
          <w:rFonts w:hint="eastAsia" w:ascii="微软雅黑" w:hAnsi="微软雅黑" w:eastAsia="微软雅黑" w:cs="微软雅黑"/>
          <w:color w:val="000000"/>
          <w:highlight w:val="none"/>
        </w:rPr>
      </w:pPr>
    </w:p>
    <w:p w14:paraId="1A6CFEF2">
      <w:pPr>
        <w:rPr>
          <w:rFonts w:hint="eastAsia" w:ascii="微软雅黑" w:hAnsi="微软雅黑" w:eastAsia="微软雅黑" w:cs="微软雅黑"/>
          <w:color w:val="000000"/>
          <w:highlight w:val="none"/>
        </w:rPr>
      </w:pPr>
    </w:p>
    <w:p w14:paraId="12C31F60">
      <w:pPr>
        <w:rPr>
          <w:rFonts w:hint="eastAsia" w:ascii="微软雅黑" w:hAnsi="微软雅黑" w:eastAsia="微软雅黑" w:cs="微软雅黑"/>
          <w:color w:val="000000"/>
          <w:highlight w:val="none"/>
        </w:rPr>
      </w:pPr>
    </w:p>
    <w:p w14:paraId="0CDD7F13">
      <w:pPr>
        <w:rPr>
          <w:rFonts w:hint="eastAsia" w:ascii="微软雅黑" w:hAnsi="微软雅黑" w:eastAsia="微软雅黑" w:cs="微软雅黑"/>
          <w:color w:val="000000"/>
          <w:highlight w:val="none"/>
        </w:rPr>
      </w:pPr>
    </w:p>
    <w:p w14:paraId="47F5E32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1"/>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6"/>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1"/>
        <w:rPr>
          <w:rFonts w:hint="eastAsia"/>
          <w:highlight w:val="none"/>
        </w:rPr>
      </w:pPr>
    </w:p>
    <w:p w14:paraId="2730CA12">
      <w:pPr>
        <w:pStyle w:val="21"/>
        <w:rPr>
          <w:rFonts w:hint="eastAsia"/>
          <w:highlight w:val="none"/>
        </w:rPr>
      </w:pPr>
    </w:p>
    <w:p w14:paraId="33E3A88C">
      <w:pPr>
        <w:pStyle w:val="21"/>
        <w:rPr>
          <w:rFonts w:hint="eastAsia"/>
          <w:highlight w:val="none"/>
        </w:rPr>
      </w:pPr>
    </w:p>
    <w:p w14:paraId="0A2ECF9B">
      <w:pPr>
        <w:pStyle w:val="21"/>
        <w:rPr>
          <w:rFonts w:hint="eastAsia"/>
          <w:highlight w:val="none"/>
        </w:rPr>
      </w:pPr>
    </w:p>
    <w:p w14:paraId="27E0053E">
      <w:pPr>
        <w:pStyle w:val="24"/>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lang w:eastAsia="zh-CN"/>
        </w:rPr>
        <w:t>中山大学孙逸仙纪念医院</w:t>
      </w:r>
      <w:r>
        <w:rPr>
          <w:rFonts w:hint="eastAsia" w:ascii="华文中宋" w:hAnsi="华文中宋" w:eastAsia="华文中宋" w:cs="华文中宋"/>
          <w:b/>
          <w:color w:val="000000"/>
          <w:sz w:val="32"/>
          <w:szCs w:val="32"/>
          <w:highlight w:val="none"/>
        </w:rPr>
        <w:t>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中山大学孙逸仙纪念医院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成交供应商</w:t>
      </w:r>
      <w:r>
        <w:rPr>
          <w:rFonts w:hint="eastAsia" w:ascii="仿宋" w:hAnsi="仿宋" w:eastAsia="仿宋" w:cs="仿宋"/>
          <w:color w:val="000000"/>
          <w:sz w:val="24"/>
          <w:szCs w:val="24"/>
          <w:highlight w:val="none"/>
        </w:rPr>
        <w:t>）：</w:t>
      </w:r>
    </w:p>
    <w:p w14:paraId="276A6D63">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58CF926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根据《中华人民共和国民法典》《中华人民共和国固体废物污染环境防治法》及其他相关法律法规规定，遵循平等、自愿、公平和诚实信用的原则，甲乙双方就</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w:t>
      </w:r>
      <w:r>
        <w:rPr>
          <w:rFonts w:hint="eastAsia" w:ascii="仿宋" w:hAnsi="仿宋" w:eastAsia="仿宋" w:cs="仿宋"/>
          <w:color w:val="000000"/>
          <w:sz w:val="24"/>
          <w:szCs w:val="24"/>
          <w:highlight w:val="none"/>
          <w:lang w:eastAsia="zh-CN"/>
        </w:rPr>
        <w:t>中山大学孙逸仙纪念医院</w:t>
      </w:r>
      <w:r>
        <w:rPr>
          <w:rFonts w:hint="eastAsia" w:ascii="仿宋" w:hAnsi="仿宋" w:eastAsia="仿宋" w:cs="仿宋"/>
          <w:color w:val="000000"/>
          <w:sz w:val="24"/>
          <w:szCs w:val="24"/>
          <w:highlight w:val="none"/>
        </w:rPr>
        <w:t xml:space="preserve">（甲方）与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（乙方）经友好协商一致，达成以下服务合同：</w:t>
      </w:r>
    </w:p>
    <w:p w14:paraId="09032F1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一、合同期限</w:t>
      </w:r>
    </w:p>
    <w:p w14:paraId="005D17A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自合同生效时间起</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年或实际支付达到本项目</w:t>
      </w:r>
      <w:r>
        <w:rPr>
          <w:rFonts w:hint="eastAsia" w:ascii="仿宋" w:hAnsi="仿宋" w:eastAsia="仿宋" w:cs="仿宋"/>
          <w:color w:val="000000"/>
          <w:sz w:val="24"/>
          <w:szCs w:val="24"/>
          <w:highlight w:val="none"/>
          <w:lang w:val="en-US" w:eastAsia="zh-CN"/>
        </w:rPr>
        <w:t>合同总金额</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，以先到者为准</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本合同自甲方书面通知之日起生效。</w:t>
      </w:r>
    </w:p>
    <w:p w14:paraId="50E2C12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二、危险废物的品种和收费标准：详见附件。</w:t>
      </w:r>
    </w:p>
    <w:p w14:paraId="09ED32A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三、服务要求</w:t>
      </w:r>
    </w:p>
    <w:p w14:paraId="1B8EFB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严格执行环保相关法律、法规，守法经营，安全处理处置危险废物。双方必须严格执行《中华人民共和国固体废物污染环境防治法》的规定，本合同涉及的危险废物必须执行国家危险废物转移联单管理制度。</w:t>
      </w:r>
    </w:p>
    <w:p w14:paraId="30B4358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应熟悉本项目内危险废物的理化性质，以及由于危险废物或危险废物处理过程所导致或引起的健康、安全和环境风险；</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根据本项目需求提供服务所需的设施、设备、人员、专业技术等，并保证设施、设备等状态良好，人员具备从事相应工作的专业能力。</w:t>
      </w:r>
    </w:p>
    <w:p w14:paraId="27F34E5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医疗、教学、科研工作产生的危险废物，品目较多，危险特性复杂，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应具备识别各类危险废物危险特性且经验丰富的专业技术人员。</w:t>
      </w:r>
    </w:p>
    <w:p w14:paraId="6E2A5B9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产生的危险废物按照相关规定进行分拣、分类打包装箱，内部转运以及规范处置，服务频率具体以双方协商时间为准。</w:t>
      </w:r>
    </w:p>
    <w:p w14:paraId="211547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的生产情况和危险废物的产生情况，双方议定运输时间，</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在运输时间内自备运输车辆和装卸人员到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指定的地点收取危险废物，根据危险废物的品种及化学性质分类回收、打包、贴标识，保证不影响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生产。</w:t>
      </w:r>
    </w:p>
    <w:p w14:paraId="7199455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四、处理处置规程</w:t>
      </w:r>
    </w:p>
    <w:p w14:paraId="7465FB4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双方应严格遵守广东省固体废物云申报系统的相关规定，按照以下操作规程规范操作，确保危险废物进行合法、安全转移，并接受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的监督和指导。</w:t>
      </w:r>
    </w:p>
    <w:p w14:paraId="14FD59B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操作规程；</w:t>
      </w:r>
    </w:p>
    <w:p w14:paraId="07F10A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须按照相关环保机关的要求，登录广东省固体废物云申报系统进行注册登记，并到所属环保部门领取二维码；</w:t>
      </w:r>
    </w:p>
    <w:p w14:paraId="7735527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应指定专人负责保管二维码，不得遗失；如有遗失，应及时向相关环保部门申请补办；</w:t>
      </w:r>
    </w:p>
    <w:p w14:paraId="6578701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③二维码仅作为运输现场、</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操作电子联单时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同意危险废物转移之用，不作其他用途；</w:t>
      </w:r>
    </w:p>
    <w:p w14:paraId="0D1FC6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④在危险废物运输之前，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应根据当次计划转移废物的名称、预计数量，登录广东省固体废物云申报系统填写、提交联单计划；</w:t>
      </w:r>
    </w:p>
    <w:p w14:paraId="41B1C99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⑤</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每转移一车次、一种废料应填写一份联单计划；</w:t>
      </w:r>
    </w:p>
    <w:p w14:paraId="3D06D33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⑥同一天有安排多车次运输同种或多种废料的，应按车次、按废料种类分别填写联单计划；</w:t>
      </w:r>
    </w:p>
    <w:p w14:paraId="14DAA94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填写的联单计划量不能超出广东省固体废物云申报系统“</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危废管理计划备案”</w:t>
      </w:r>
      <w:r>
        <w:rPr>
          <w:rFonts w:hint="eastAsia" w:ascii="仿宋" w:hAnsi="仿宋" w:eastAsia="仿宋" w:cs="仿宋"/>
          <w:color w:val="000000"/>
          <w:sz w:val="24"/>
          <w:szCs w:val="24"/>
          <w:highlight w:val="none"/>
        </w:rPr>
        <w:t>的“拟转移数量”，即年度计划转移量。当累计联单计划量或累计确认联单量已接近年度计划转移量，后续仍有转移需求时，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应提前办理“危废管理计划备案”手续；</w:t>
      </w:r>
    </w:p>
    <w:p w14:paraId="7D34EE7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⑧</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运输现场装载完毕，</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应出示二维码给</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扫描验证电子联单信息，并核实</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所填写的电子联单种类、名称，确认与实际移交的危废种类、名称相符后，方可放行；</w:t>
      </w:r>
    </w:p>
    <w:p w14:paraId="523B85C1">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应于转移危险废物后，登录广东省固体废物云申报系统核查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确认的联单量是否与实际转移量相符，如不符合，应及时联系</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危险废物交接负责人，以便</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及时处理；如与实际转移量相符，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应点击“提交并结束联单”，以结束电子联单流程。</w:t>
      </w:r>
    </w:p>
    <w:p w14:paraId="4EE67B0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操作规程；</w:t>
      </w:r>
      <w:r>
        <w:rPr>
          <w:rFonts w:hint="eastAsia" w:ascii="仿宋" w:hAnsi="仿宋" w:eastAsia="仿宋" w:cs="仿宋"/>
          <w:color w:val="000000"/>
          <w:sz w:val="24"/>
          <w:szCs w:val="24"/>
          <w:highlight w:val="none"/>
        </w:rPr>
        <w:tab/>
      </w:r>
    </w:p>
    <w:p w14:paraId="2D77A6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出车前，应检查电子联单所需的硬件设备状态是否正常，电力是否充足，并随车携带车辆二维码。</w:t>
      </w:r>
    </w:p>
    <w:p w14:paraId="049B07D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到达</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运输地点，应当首先用PDA手机登录电子联单系统，查看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申请转移的危险废物，根据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申请的危险废物情况，装货上车，过磅，清晰、规范填写收货单；</w:t>
      </w:r>
    </w:p>
    <w:p w14:paraId="4F39C4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应根据实际运输的危险废物，即收货单有收货数量的危险废物名称，选择符合</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当前运输日期及计划转移数量的电子联单进行企业二维码扫描；</w:t>
      </w:r>
    </w:p>
    <w:p w14:paraId="5A8022C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填写的运输单位信息（含</w:t>
      </w:r>
      <w:r>
        <w:rPr>
          <w:rFonts w:hint="eastAsia" w:ascii="仿宋" w:hAnsi="仿宋" w:eastAsia="仿宋" w:cs="仿宋"/>
          <w:color w:val="000000"/>
          <w:sz w:val="24"/>
          <w:szCs w:val="24"/>
          <w:highlight w:val="none"/>
          <w:lang w:eastAsia="zh-CN"/>
        </w:rPr>
        <w:t>运输人员</w:t>
      </w:r>
      <w:r>
        <w:rPr>
          <w:rFonts w:hint="eastAsia" w:ascii="仿宋" w:hAnsi="仿宋" w:eastAsia="仿宋" w:cs="仿宋"/>
          <w:color w:val="000000"/>
          <w:sz w:val="24"/>
          <w:szCs w:val="24"/>
          <w:highlight w:val="none"/>
        </w:rPr>
        <w:t>姓名、运输起点、运输终点）和扫描的车辆二维码，应与实际运输信息一致；</w:t>
      </w:r>
    </w:p>
    <w:p w14:paraId="3B9BE02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⑤同一种危险废物名称，只能填写一次，不能重复填写；</w:t>
      </w:r>
    </w:p>
    <w:p w14:paraId="63F0E50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有申请联单计划而实际未运输的危险废物，</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不能填写、操作电子联单；</w:t>
      </w:r>
    </w:p>
    <w:p w14:paraId="46655D6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未申请联单计划的危险废物，</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应拒绝装载，拒绝填写、操作电子联单；</w:t>
      </w:r>
    </w:p>
    <w:p w14:paraId="47FE7F6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⑧</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运输危险废物到达目的地后，应再次登录电子联单系统，扫描处置企业二维码，保存处置单位信息，以结束运输流程；</w:t>
      </w:r>
    </w:p>
    <w:p w14:paraId="5EB0DD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应于接收危险废物后1个工作日内，登录广东省固体废物云申报系统确认实际接收量。</w:t>
      </w:r>
    </w:p>
    <w:p w14:paraId="2D6BB2F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3.危险废物交接负责人的委派</w:t>
      </w:r>
    </w:p>
    <w:p w14:paraId="127E0C5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双方应委派各自的危险废物交接负责人，行使合同约定的交接职权。</w:t>
      </w:r>
    </w:p>
    <w:p w14:paraId="54FA4E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4.检验方法、时间：</w:t>
      </w:r>
    </w:p>
    <w:p w14:paraId="740DD50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在交接危险废物后的5个工作日内对危险废物进行检验。</w:t>
      </w:r>
    </w:p>
    <w:p w14:paraId="2B23D2E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在验收过程中，如发现危险废物的品质标准不合规定或者</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混杂其他废物的，应一边妥为保管，一边在检验后5个工作日内向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提出书面异议。</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未按规定期限提出书面异议的，视为所交的危险废物符合合同规定。</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在运输、使用、保管、保养不善等造成危险废物品质标准不合规定的，不得提出异议。</w:t>
      </w:r>
    </w:p>
    <w:p w14:paraId="26DA5CB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③检验合格或者检验不合格的危险废物经双方达成书面的处理意见后，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应按合同规定出具对账单给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确认，</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应在5个工作日内进行确认。</w:t>
      </w:r>
    </w:p>
    <w:p w14:paraId="50CFB42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5.待处理危险废物的环境污染责任：危险废物在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签收之前所产生的环境污染问题，由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负责；危险废物在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签收之后所产生的环境污染问题，由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p>
    <w:p w14:paraId="12C8A7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、甲方责任</w:t>
      </w:r>
    </w:p>
    <w:p w14:paraId="1F76578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1.甲方将其生产经营过程中所产生的废物连同废包装物交由乙方处理，合同期内不得将本合同规定的废物料交由第三方或自行擅自处理。</w:t>
      </w:r>
    </w:p>
    <w:p w14:paraId="02365F0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2.甲方须如实填写《废物料处理服务调查表》和《危险废物转移报批表》，保证废物与填写的内容保持一致。</w:t>
      </w:r>
    </w:p>
    <w:p w14:paraId="58B390B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3.在乙方收取和运输废物前，甲方必须将各种废物严格按不同品种分别包装、存放，并贴上标签（标签内容包括废物名称、数量、注意事项等）；保证废物包装完好及封口紧密，防止所盛装的废物泄漏污染环境。</w:t>
      </w:r>
    </w:p>
    <w:p w14:paraId="500625E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4.甲方须保证按照合同约定提供</w:t>
      </w:r>
      <w:r>
        <w:rPr>
          <w:rFonts w:hint="eastAsia" w:ascii="仿宋" w:hAnsi="仿宋" w:eastAsia="仿宋" w:cs="仿宋"/>
          <w:color w:val="000000"/>
          <w:sz w:val="24"/>
          <w:szCs w:val="24"/>
          <w:highlight w:val="none"/>
          <w:lang w:val="en-US" w:eastAsia="zh-CN"/>
        </w:rPr>
        <w:t>危险</w:t>
      </w:r>
      <w:r>
        <w:rPr>
          <w:rFonts w:hint="eastAsia" w:ascii="仿宋" w:hAnsi="仿宋" w:eastAsia="仿宋" w:cs="仿宋"/>
          <w:color w:val="000000"/>
          <w:sz w:val="24"/>
          <w:szCs w:val="24"/>
          <w:highlight w:val="none"/>
        </w:rPr>
        <w:t>废物给乙方，并且废物不出现以下异常情况：</w:t>
      </w:r>
    </w:p>
    <w:p w14:paraId="1B972C8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品种未列入本合同；</w:t>
      </w:r>
    </w:p>
    <w:p w14:paraId="28836DC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废物含有易爆物质、放射性物质、多氯联苯</w:t>
      </w:r>
      <w:r>
        <w:rPr>
          <w:rFonts w:hint="eastAsia" w:ascii="仿宋" w:hAnsi="仿宋" w:eastAsia="仿宋" w:cs="仿宋"/>
          <w:color w:val="000000"/>
          <w:sz w:val="24"/>
          <w:szCs w:val="24"/>
          <w:highlight w:val="none"/>
          <w:lang w:eastAsia="zh-CN"/>
        </w:rPr>
        <w:t>；</w:t>
      </w:r>
    </w:p>
    <w:p w14:paraId="7E5BA7D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废物含有因加温或物理、化学反应而产生剧毒气体等物质。</w:t>
      </w:r>
    </w:p>
    <w:p w14:paraId="0B5DB9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5.甲方在接到乙方对于废物料的书面异议后，应在5个工作日内负责处理，否则，即视为默认乙方提出的异议和处理意见成立。</w:t>
      </w:r>
    </w:p>
    <w:p w14:paraId="5017440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、乙方责任</w:t>
      </w:r>
    </w:p>
    <w:p w14:paraId="0015947F">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合同有效期内，乙方严格执行环保相关法律、法规，守法经营，安全处理处置废物料。</w:t>
      </w:r>
    </w:p>
    <w:p w14:paraId="4C964C8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提供的危险废物类别，乙方应清楚本项目的危险废物特点和性质以及由危险废物或处理程序所导致或引起的健康、安全和环境危害，并要求乙方工作人员严格按照操作要求做好自身防护措施。</w:t>
      </w:r>
    </w:p>
    <w:p w14:paraId="7C579A38">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w:t>
      </w:r>
      <w:r>
        <w:rPr>
          <w:rFonts w:hint="eastAsia" w:ascii="仿宋" w:hAnsi="仿宋" w:eastAsia="仿宋" w:cs="仿宋"/>
          <w:color w:val="000000"/>
          <w:sz w:val="24"/>
          <w:szCs w:val="24"/>
          <w:highlight w:val="none"/>
          <w:lang w:eastAsia="zh-CN"/>
        </w:rPr>
        <w:t>在</w:t>
      </w:r>
      <w:r>
        <w:rPr>
          <w:rFonts w:hint="eastAsia" w:ascii="仿宋" w:hAnsi="仿宋" w:eastAsia="仿宋" w:cs="仿宋"/>
          <w:color w:val="000000"/>
          <w:sz w:val="24"/>
          <w:szCs w:val="24"/>
          <w:highlight w:val="none"/>
        </w:rPr>
        <w:t>服务期内能保证</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所有危险废物（包括但不限于：所有品种、所有数量）的正常处置；如果出现紧急情况（紧急情况为危险废物严重影响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正常医疗、教学、科研工作或其他特殊情况），经电话联系须尽快上门协助应急处置。</w:t>
      </w:r>
    </w:p>
    <w:p w14:paraId="136948C3">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须承担本项目危险废物的运输、临时贮存以及处置过程中发生的全部安全责任。</w:t>
      </w:r>
    </w:p>
    <w:p w14:paraId="1ED3739B">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范围内文明作业，遵守</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的安全卫生制度。</w:t>
      </w:r>
    </w:p>
    <w:p w14:paraId="726AC360">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工作人员进入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工作场所应穿</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工作服，佩戴胸卡。</w:t>
      </w:r>
    </w:p>
    <w:p w14:paraId="09AF9922">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运输的车辆必须车况良好，采取符合安全、环保标准的相关措施，运输专用车辆符合危险货物运输的要求，适于运输本项目规定的废物。</w:t>
      </w:r>
    </w:p>
    <w:p w14:paraId="1B145E0E">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工作人员应严格按操作要求做好自身防护措施。</w:t>
      </w:r>
    </w:p>
    <w:p w14:paraId="34205BB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工作人员应严格按照操作规程，按危险废物品种及化学性质进行分类回收，并定期将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各产生科室暂存的危险废物彻底回收。</w:t>
      </w:r>
    </w:p>
    <w:p w14:paraId="61450674">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工作人员装卸完毕后，填写好电子联单信息，做好交接登记，确保危险废物合法、安全转移。</w:t>
      </w:r>
    </w:p>
    <w:p w14:paraId="7F7D8BF5">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工作人员在回收过程中发生事故应及时进行处理并告知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w:t>
      </w:r>
    </w:p>
    <w:p w14:paraId="18B1629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在运输过程中不得沿途丢弃、遗撒危险废物。</w:t>
      </w:r>
    </w:p>
    <w:p w14:paraId="5164380B">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在危险废物无害化处理过程中，应该符合国家法律规定的环保和消防要求或标准，并接受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的监督和指导。</w:t>
      </w:r>
    </w:p>
    <w:p w14:paraId="21757321">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的危险废物严重影响工作或其他特殊情况出现，需提前收取时，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应予以积极配合。</w:t>
      </w:r>
    </w:p>
    <w:p w14:paraId="0C7E4AF5">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运输人员具有危险品准驾证，押运员具有危险品押运证。</w:t>
      </w:r>
    </w:p>
    <w:p w14:paraId="75A86080">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乙方有权拒绝甲方要求运输本项目之外的废物。</w:t>
      </w:r>
    </w:p>
    <w:p w14:paraId="5A92D98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、违约责任</w:t>
      </w:r>
    </w:p>
    <w:p w14:paraId="1D85C82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若未按国家相关法律法规进行清运、处理，由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w:t>
      </w:r>
    </w:p>
    <w:p w14:paraId="372E43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应按时积极进行清收工作，不得拖延。若未按时按质完成项目内容，经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三次通知整改仍未完成，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有权单方终止合同。</w:t>
      </w:r>
    </w:p>
    <w:p w14:paraId="52AC44B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因逾期运输废物而影响到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生产经营的，每逾期一日按照本次应运输废物总金额的5‰支付违约金给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w:t>
      </w:r>
    </w:p>
    <w:p w14:paraId="67A720A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若未如期履行付款义务的，每迟延一天按照本次运输废物应付未付金额的千分之一支付违约金给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，违约金不超过应付未付金额的10%。</w:t>
      </w:r>
    </w:p>
    <w:p w14:paraId="59890D31">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提供的服务不符合法律法规及采购文件要求的质量、服务标准或履约过程中有违约行为的，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有权保留追究由此给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造成损失责任的权利。</w:t>
      </w:r>
    </w:p>
    <w:p w14:paraId="0CD615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任何一方如确因不可抗力的原因，不能履行本合同时，应在不可抗力的事件发生之后三日内向对方通知不能履行或须延期履行、部分履行的理由。在取得有关证明，且经另一方同意后，本合同可以不履行或延期履行或部分履行，并免予承担违约责任。</w:t>
      </w:r>
    </w:p>
    <w:p w14:paraId="161DC1B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43C8274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在实际服务时，若被发现提供的服务未能达到比选文件中的有关要求和响应文件的承诺，将按有关法规进行处罚，</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将有权单方面中止或终止合同的执行,并追究因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所提供的未达到所承诺准确率服务而产生的所有损失和责任。</w:t>
      </w:r>
    </w:p>
    <w:p w14:paraId="185366F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如因国家相关政策发生变化，应以最新的国家相关政策为准并执行，如因国家相关政策发生变化而导致本次项目的合同无法继续执行，</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不承担任何责任，</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自行承担由此带来的任何风险及后果。</w:t>
      </w:r>
    </w:p>
    <w:p w14:paraId="4DB382C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.其它违约责任按《中华人民共和国民法典》处理。</w:t>
      </w:r>
    </w:p>
    <w:p w14:paraId="562F58D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、结算方式</w:t>
      </w:r>
    </w:p>
    <w:p w14:paraId="276F0C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在每次收运完成后，向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提交本次收运废物的现场交接清单，经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确认后，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开具正式发票。</w:t>
      </w:r>
      <w:r>
        <w:rPr>
          <w:rFonts w:hint="eastAsia" w:ascii="仿宋" w:hAnsi="仿宋" w:eastAsia="仿宋" w:cs="仿宋"/>
          <w:color w:val="000000"/>
          <w:sz w:val="24"/>
          <w:szCs w:val="24"/>
          <w:highlight w:val="none"/>
          <w:lang w:eastAsia="zh-CN"/>
        </w:rPr>
        <w:t>甲方原则上应当自收到发票且在满足支付条件的前提下20 个工作日内支付结算款项</w:t>
      </w:r>
      <w:r>
        <w:rPr>
          <w:rFonts w:hint="eastAsia" w:ascii="仿宋" w:hAnsi="仿宋" w:eastAsia="仿宋" w:cs="仿宋"/>
          <w:color w:val="000000"/>
          <w:sz w:val="24"/>
          <w:szCs w:val="24"/>
          <w:highlight w:val="none"/>
        </w:rPr>
        <w:t>。</w:t>
      </w:r>
    </w:p>
    <w:p w14:paraId="61056F6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2.根据实际处理数量及运输次数，按成交综合单价据实结算。</w:t>
      </w:r>
    </w:p>
    <w:p w14:paraId="33E20A5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所交付的危险废物类别、品质标准不符合本项目或相关规定的，且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同意收运处置，应当另行按质论价；如果</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不同意收运处置的，应及时将废物退回给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负责自行处理，并且</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承担因此产生的退回运输费用。除</w:t>
      </w:r>
      <w:r>
        <w:rPr>
          <w:rFonts w:hint="eastAsia" w:ascii="仿宋" w:hAnsi="仿宋" w:eastAsia="仿宋" w:cs="仿宋"/>
          <w:color w:val="000000"/>
          <w:sz w:val="24"/>
          <w:szCs w:val="24"/>
          <w:highlight w:val="none"/>
          <w:lang w:val="en-US" w:eastAsia="zh-CN"/>
        </w:rPr>
        <w:t>本条以</w:t>
      </w:r>
      <w:r>
        <w:rPr>
          <w:rFonts w:hint="eastAsia" w:ascii="仿宋" w:hAnsi="仿宋" w:eastAsia="仿宋" w:cs="仿宋"/>
          <w:color w:val="000000"/>
          <w:sz w:val="24"/>
          <w:szCs w:val="24"/>
          <w:highlight w:val="none"/>
        </w:rPr>
        <w:t>外，</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不得以任何的形式向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索要追加任何的费用，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也没有义务支付任何合同总价外的费用。</w:t>
      </w:r>
    </w:p>
    <w:p w14:paraId="318086D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、附则</w:t>
      </w:r>
    </w:p>
    <w:p w14:paraId="325C8FF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1．本合同一式   份，甲方执叁份，乙方执  份，其余根据有关规定送交环保部门审批存档。</w:t>
      </w:r>
    </w:p>
    <w:p w14:paraId="77DCAA3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2．本合同在履行过程中发生的争议，由双方当事人协商解决；也可由有关部门调解；协商或调解不成的，由甲方所在地的人民法院裁决。</w:t>
      </w:r>
    </w:p>
    <w:p w14:paraId="5F07F2A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3．合同附件经双方盖章后，与合同正文具有同等法律效力。</w:t>
      </w:r>
    </w:p>
    <w:p w14:paraId="03B4713B">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4．未尽事宜，由双方按照合同法和有关规定协商补充。</w:t>
      </w:r>
    </w:p>
    <w:p w14:paraId="45AA744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C1C554B">
      <w:pPr>
        <w:pStyle w:val="15"/>
        <w:rPr>
          <w:rFonts w:hint="eastAsia" w:ascii="仿宋" w:hAnsi="仿宋" w:eastAsia="仿宋" w:cs="仿宋"/>
          <w:b w:val="0"/>
          <w:bCs/>
          <w:color w:val="000000"/>
          <w:kern w:val="2"/>
          <w:sz w:val="24"/>
          <w:szCs w:val="24"/>
          <w:highlight w:val="none"/>
          <w:lang w:val="en-US" w:eastAsia="zh-CN" w:bidi="ar-SA"/>
        </w:rPr>
      </w:pPr>
    </w:p>
    <w:p w14:paraId="5B0C6C4A">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6743362C">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067DC148">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7585C91">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9F08FCA">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53A8D920">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48DE00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90505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7B686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CCEF51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25E7D4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E421D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1562AEA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60B8E7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CDE432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80A5BA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附件：价格清单</w:t>
      </w:r>
    </w:p>
    <w:tbl>
      <w:tblPr>
        <w:tblStyle w:val="16"/>
        <w:tblW w:w="11207" w:type="dxa"/>
        <w:tblInd w:w="-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316"/>
        <w:gridCol w:w="1580"/>
        <w:gridCol w:w="1131"/>
        <w:gridCol w:w="1010"/>
        <w:gridCol w:w="1112"/>
        <w:gridCol w:w="1325"/>
        <w:gridCol w:w="987"/>
        <w:gridCol w:w="1988"/>
      </w:tblGrid>
      <w:tr w14:paraId="12A7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1207" w:type="dxa"/>
            <w:gridSpan w:val="9"/>
            <w:tcBorders>
              <w:top w:val="nil"/>
              <w:left w:val="nil"/>
              <w:bottom w:val="nil"/>
              <w:right w:val="nil"/>
            </w:tcBorders>
            <w:shd w:val="clear" w:color="auto" w:fill="auto"/>
            <w:noWrap/>
            <w:vAlign w:val="center"/>
          </w:tcPr>
          <w:p w14:paraId="4306F6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中山大学孙逸仙纪念医院危险废物处置服务采购项目分项报价明细表</w:t>
            </w:r>
          </w:p>
        </w:tc>
      </w:tr>
      <w:tr w14:paraId="1C2E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8"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58AD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废物类别</w:t>
            </w:r>
          </w:p>
        </w:tc>
        <w:tc>
          <w:tcPr>
            <w:tcW w:w="13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7E0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废物代码</w:t>
            </w:r>
          </w:p>
        </w:tc>
        <w:tc>
          <w:tcPr>
            <w:tcW w:w="15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399C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废物名称</w:t>
            </w:r>
          </w:p>
        </w:tc>
        <w:tc>
          <w:tcPr>
            <w:tcW w:w="113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9D7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质量标准</w:t>
            </w:r>
          </w:p>
        </w:tc>
        <w:tc>
          <w:tcPr>
            <w:tcW w:w="10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D9D68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危险特性</w:t>
            </w:r>
          </w:p>
        </w:tc>
        <w:tc>
          <w:tcPr>
            <w:tcW w:w="111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7891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计划量</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（吨/年）</w:t>
            </w:r>
          </w:p>
        </w:tc>
        <w:tc>
          <w:tcPr>
            <w:tcW w:w="13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5796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含税综合单价（元/吨）</w:t>
            </w:r>
          </w:p>
        </w:tc>
        <w:tc>
          <w:tcPr>
            <w:tcW w:w="98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3B6D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小计</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（元/年）</w:t>
            </w:r>
          </w:p>
        </w:tc>
        <w:tc>
          <w:tcPr>
            <w:tcW w:w="198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07C0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14:paraId="32B7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2D00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HW49</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其他废物</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92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实验室废液</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AF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分类存放，独立桶装/袋装/箱装/瓶装，标识清晰，无破损</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6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B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DE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EBC1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甲醇、二甲苯、甲醛、丙酮等有机废液，硫酸、盐酸、轻氢氧化钠、检验废液等</w:t>
            </w:r>
          </w:p>
        </w:tc>
      </w:tr>
      <w:tr w14:paraId="38BA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A1409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9E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废弃实验室容器</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514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E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5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7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5A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0E9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废弃实验室容器：空瓶、烧杯、量器、漏斗、检验试剂废包装物等</w:t>
            </w:r>
          </w:p>
        </w:tc>
      </w:tr>
      <w:tr w14:paraId="6719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A3BEA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33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4E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实验室废弃试剂</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05D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E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4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6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57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370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实验室普通废弃试剂：四氢呋喃、乙腈、四氯化碳、苯酚、三氯甲烷、二甲苯、高锰酸钾、醇类等</w:t>
            </w:r>
          </w:p>
        </w:tc>
      </w:tr>
      <w:tr w14:paraId="1FC6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352A4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05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C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实验室特殊废试剂</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8DC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E2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6A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D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8857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实验室特殊废弃废试剂：叠氮化钠、苦味酸、含汞、含砷等易制爆、剧毒的特殊废试剂</w:t>
            </w:r>
          </w:p>
        </w:tc>
      </w:tr>
      <w:tr w14:paraId="6506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228DA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E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8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实验室废物</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036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C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5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C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57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F71C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实验室废物（一次性防护用品、废一次性检验用具、废弃样）、废检验材料、废样品等</w:t>
            </w:r>
          </w:p>
        </w:tc>
      </w:tr>
      <w:tr w14:paraId="7E31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5C957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0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E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实验清洗废水处理污泥</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E71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CB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4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EF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65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CF81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实验清洗废水处理污泥</w:t>
            </w:r>
          </w:p>
        </w:tc>
      </w:tr>
      <w:tr w14:paraId="76BC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6AB19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900-041-49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2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废滤芯</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405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EC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T/IN</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31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D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6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5E85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生物安全柜废滤芯</w:t>
            </w:r>
          </w:p>
        </w:tc>
      </w:tr>
      <w:tr w14:paraId="1FA4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5E3B7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2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900-039-49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9A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废弃活性炭</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BE6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9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E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A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7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7B86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废活性炭</w:t>
            </w:r>
          </w:p>
        </w:tc>
      </w:tr>
      <w:tr w14:paraId="0F24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2EE0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HW03废药物、药品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3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900-002-03</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废药品</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095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60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6E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AE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D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AFFA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废药品</w:t>
            </w:r>
          </w:p>
        </w:tc>
      </w:tr>
      <w:tr w14:paraId="549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4B7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HW16感光材料废物</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7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900-019-016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废CT胶片和废（显）定影剂</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475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46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A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6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B1A9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废CT、X光、MR胶片</w:t>
            </w:r>
          </w:p>
        </w:tc>
      </w:tr>
      <w:tr w14:paraId="6FDA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B275F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服务内容</w:t>
            </w:r>
          </w:p>
        </w:tc>
        <w:tc>
          <w:tcPr>
            <w:tcW w:w="4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14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车辆要求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8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计划次数</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（次/年）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含税综合单价（元/次）</w:t>
            </w: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C507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小计</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（元/年）</w:t>
            </w:r>
          </w:p>
        </w:tc>
      </w:tr>
      <w:tr w14:paraId="0C87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74"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8DD5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危险废物运输装卸</w:t>
            </w:r>
          </w:p>
        </w:tc>
        <w:tc>
          <w:tcPr>
            <w:tcW w:w="48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07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运输专用车辆符合危险废物运输的要求，车辆规格1.5吨/车</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FF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C3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EF1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r>
      <w:tr w14:paraId="794C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74"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BDD9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每年合计金额（元）：</w:t>
            </w:r>
          </w:p>
        </w:tc>
        <w:tc>
          <w:tcPr>
            <w:tcW w:w="9133"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800D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r>
      <w:tr w14:paraId="75BB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74"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14:paraId="56118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2年合计金额（元）：</w:t>
            </w:r>
          </w:p>
        </w:tc>
        <w:tc>
          <w:tcPr>
            <w:tcW w:w="9133" w:type="dxa"/>
            <w:gridSpan w:val="7"/>
            <w:tcBorders>
              <w:top w:val="single" w:color="000000" w:sz="4" w:space="0"/>
              <w:left w:val="single" w:color="000000" w:sz="4" w:space="0"/>
              <w:bottom w:val="single" w:color="000000" w:sz="8" w:space="0"/>
              <w:right w:val="single" w:color="000000" w:sz="8" w:space="0"/>
            </w:tcBorders>
            <w:shd w:val="clear" w:color="auto" w:fill="auto"/>
            <w:noWrap/>
            <w:vAlign w:val="center"/>
          </w:tcPr>
          <w:p w14:paraId="4B7ACE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r>
    </w:tbl>
    <w:p w14:paraId="05397CA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2"/>
        <w:rPr>
          <w:rFonts w:hint="eastAsia"/>
          <w:highlight w:val="none"/>
        </w:rPr>
      </w:pPr>
    </w:p>
    <w:p w14:paraId="203B568C">
      <w:pPr>
        <w:rPr>
          <w:rFonts w:hint="eastAsia"/>
          <w:highlight w:val="none"/>
        </w:rPr>
      </w:pPr>
    </w:p>
    <w:p w14:paraId="444975B4">
      <w:pPr>
        <w:rPr>
          <w:rFonts w:hint="eastAsia"/>
          <w:highlight w:val="none"/>
        </w:rPr>
      </w:pPr>
    </w:p>
    <w:p w14:paraId="3305D1C7">
      <w:pPr>
        <w:rPr>
          <w:rFonts w:hint="eastAsia"/>
          <w:highlight w:val="none"/>
        </w:rPr>
      </w:pPr>
    </w:p>
    <w:p w14:paraId="61198792">
      <w:pPr>
        <w:rPr>
          <w:rFonts w:hint="eastAsia"/>
          <w:highlight w:val="none"/>
        </w:rPr>
      </w:pPr>
    </w:p>
    <w:p w14:paraId="205634E4">
      <w:pPr>
        <w:rPr>
          <w:rFonts w:hint="eastAsia"/>
          <w:highlight w:val="none"/>
        </w:rPr>
      </w:pPr>
    </w:p>
    <w:p w14:paraId="49AF1AAD">
      <w:pPr>
        <w:rPr>
          <w:rFonts w:hint="eastAsia"/>
          <w:highlight w:val="none"/>
        </w:rPr>
      </w:pPr>
    </w:p>
    <w:p w14:paraId="2DC2BE06">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4"/>
        <w:rPr>
          <w:rFonts w:hint="eastAsia"/>
          <w:color w:val="000000"/>
          <w:highlight w:val="none"/>
        </w:rPr>
      </w:pPr>
    </w:p>
    <w:p w14:paraId="415C4B2C">
      <w:pPr>
        <w:pStyle w:val="24"/>
        <w:rPr>
          <w:rFonts w:hint="eastAsia"/>
          <w:color w:val="000000"/>
          <w:highlight w:val="none"/>
        </w:rPr>
      </w:pPr>
    </w:p>
    <w:p w14:paraId="6578C338">
      <w:pPr>
        <w:pStyle w:val="24"/>
        <w:rPr>
          <w:rFonts w:hint="eastAsia"/>
          <w:color w:val="000000"/>
          <w:highlight w:val="none"/>
        </w:rPr>
      </w:pPr>
    </w:p>
    <w:p w14:paraId="04A25E76">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4"/>
        <w:rPr>
          <w:rFonts w:hint="eastAsia"/>
          <w:color w:val="FF0000"/>
          <w:highlight w:val="none"/>
        </w:rPr>
      </w:pPr>
    </w:p>
    <w:p w14:paraId="2A6D30A5">
      <w:pPr>
        <w:pStyle w:val="24"/>
        <w:rPr>
          <w:rFonts w:hint="eastAsia"/>
          <w:color w:val="000000"/>
          <w:highlight w:val="none"/>
        </w:rPr>
      </w:pPr>
    </w:p>
    <w:p w14:paraId="338F8648">
      <w:pPr>
        <w:pStyle w:val="24"/>
        <w:rPr>
          <w:rFonts w:hint="eastAsia"/>
          <w:color w:val="000000"/>
          <w:highlight w:val="none"/>
        </w:rPr>
      </w:pPr>
    </w:p>
    <w:p w14:paraId="009DBEEE">
      <w:pPr>
        <w:pStyle w:val="24"/>
        <w:rPr>
          <w:rFonts w:hint="eastAsia"/>
          <w:color w:val="000000"/>
          <w:highlight w:val="none"/>
        </w:rPr>
      </w:pPr>
    </w:p>
    <w:p w14:paraId="2E5AB3A2">
      <w:pPr>
        <w:pStyle w:val="24"/>
        <w:rPr>
          <w:rFonts w:hint="eastAsia"/>
          <w:color w:val="000000"/>
          <w:highlight w:val="none"/>
        </w:rPr>
      </w:pPr>
    </w:p>
    <w:p w14:paraId="784A839B">
      <w:pPr>
        <w:pStyle w:val="24"/>
        <w:rPr>
          <w:rFonts w:hint="eastAsia"/>
          <w:color w:val="000000"/>
          <w:highlight w:val="none"/>
        </w:rPr>
      </w:pPr>
    </w:p>
    <w:p w14:paraId="66AE6B3B">
      <w:pPr>
        <w:pStyle w:val="24"/>
        <w:rPr>
          <w:rFonts w:hint="eastAsia"/>
          <w:color w:val="000000"/>
          <w:highlight w:val="none"/>
        </w:rPr>
      </w:pPr>
    </w:p>
    <w:p w14:paraId="09F24D49">
      <w:pPr>
        <w:pStyle w:val="24"/>
        <w:rPr>
          <w:rFonts w:hint="eastAsia"/>
          <w:color w:val="000000"/>
          <w:highlight w:val="none"/>
        </w:rPr>
      </w:pPr>
    </w:p>
    <w:p w14:paraId="728E76DB">
      <w:pPr>
        <w:pStyle w:val="24"/>
        <w:rPr>
          <w:rFonts w:hint="eastAsia"/>
          <w:color w:val="000000"/>
          <w:highlight w:val="none"/>
        </w:rPr>
      </w:pPr>
    </w:p>
    <w:p w14:paraId="2E4CE761">
      <w:pPr>
        <w:pStyle w:val="24"/>
        <w:rPr>
          <w:rFonts w:hint="eastAsia"/>
          <w:color w:val="000000"/>
          <w:highlight w:val="none"/>
        </w:rPr>
      </w:pPr>
    </w:p>
    <w:p w14:paraId="7DF3A52C">
      <w:pPr>
        <w:pStyle w:val="24"/>
        <w:rPr>
          <w:rFonts w:hint="eastAsia"/>
          <w:color w:val="000000"/>
          <w:highlight w:val="none"/>
        </w:rPr>
      </w:pPr>
    </w:p>
    <w:p w14:paraId="63A1F1E3">
      <w:pPr>
        <w:pStyle w:val="24"/>
        <w:rPr>
          <w:rFonts w:hint="eastAsia"/>
          <w:color w:val="000000"/>
          <w:highlight w:val="none"/>
        </w:rPr>
      </w:pPr>
    </w:p>
    <w:p w14:paraId="7E245D88">
      <w:pPr>
        <w:pStyle w:val="24"/>
        <w:rPr>
          <w:rFonts w:hint="eastAsia"/>
          <w:color w:val="000000"/>
          <w:highlight w:val="none"/>
        </w:rPr>
      </w:pPr>
    </w:p>
    <w:p w14:paraId="7525BD9F">
      <w:pPr>
        <w:pStyle w:val="24"/>
        <w:rPr>
          <w:rFonts w:hint="eastAsia"/>
          <w:color w:val="000000"/>
          <w:highlight w:val="none"/>
        </w:rPr>
      </w:pPr>
    </w:p>
    <w:p w14:paraId="71AA9098">
      <w:pPr>
        <w:pStyle w:val="24"/>
        <w:rPr>
          <w:rFonts w:hint="eastAsia"/>
          <w:color w:val="000000"/>
          <w:highlight w:val="none"/>
        </w:rPr>
      </w:pPr>
    </w:p>
    <w:p w14:paraId="2CA06E4F">
      <w:pPr>
        <w:pStyle w:val="24"/>
        <w:rPr>
          <w:rFonts w:hint="eastAsia"/>
          <w:color w:val="000000"/>
          <w:highlight w:val="none"/>
        </w:rPr>
      </w:pPr>
    </w:p>
    <w:p w14:paraId="7EDBBF3E">
      <w:pPr>
        <w:pStyle w:val="24"/>
        <w:rPr>
          <w:rFonts w:hint="eastAsia"/>
          <w:color w:val="000000"/>
          <w:highlight w:val="none"/>
        </w:rPr>
      </w:pPr>
    </w:p>
    <w:p w14:paraId="510F92EF">
      <w:pPr>
        <w:pStyle w:val="24"/>
        <w:rPr>
          <w:rFonts w:hint="eastAsia"/>
          <w:color w:val="000000"/>
          <w:highlight w:val="none"/>
        </w:rPr>
      </w:pPr>
    </w:p>
    <w:p w14:paraId="4FF379D8">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4"/>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24"/>
        <w:rPr>
          <w:rFonts w:hint="eastAsia" w:ascii="宋体" w:hAnsi="宋体" w:cs="宋体"/>
          <w:color w:val="000000"/>
          <w:sz w:val="32"/>
          <w:szCs w:val="32"/>
          <w:highlight w:val="none"/>
        </w:rPr>
      </w:pPr>
    </w:p>
    <w:p w14:paraId="372983FD">
      <w:pPr>
        <w:pStyle w:val="24"/>
        <w:rPr>
          <w:rFonts w:hint="eastAsia" w:ascii="宋体" w:hAnsi="宋体" w:cs="宋体"/>
          <w:color w:val="000000"/>
          <w:sz w:val="32"/>
          <w:szCs w:val="32"/>
          <w:highlight w:val="none"/>
        </w:rPr>
      </w:pPr>
    </w:p>
    <w:p w14:paraId="3678644F">
      <w:pPr>
        <w:pStyle w:val="24"/>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2"/>
        <w:rPr>
          <w:rFonts w:hint="eastAsia"/>
          <w:highlight w:val="none"/>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9"/>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9"/>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2A0CDF3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28CF66C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40DF5D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（二）服务评审证明资料………………………………………………………第（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4"/>
        <w:rPr>
          <w:rFonts w:hint="eastAsia" w:ascii="仿宋" w:hAnsi="仿宋" w:eastAsia="仿宋" w:cs="仿宋"/>
          <w:color w:val="000000"/>
          <w:highlight w:val="none"/>
        </w:rPr>
      </w:pPr>
    </w:p>
    <w:p w14:paraId="25D19A98">
      <w:pPr>
        <w:pStyle w:val="24"/>
        <w:ind w:left="0" w:leftChars="0" w:firstLine="0" w:firstLineChars="0"/>
        <w:rPr>
          <w:rFonts w:hint="eastAsia" w:ascii="仿宋" w:hAnsi="仿宋" w:eastAsia="仿宋" w:cs="仿宋"/>
          <w:color w:val="000000"/>
          <w:sz w:val="24"/>
          <w:szCs w:val="24"/>
          <w:highlight w:val="none"/>
        </w:rPr>
      </w:pPr>
    </w:p>
    <w:p w14:paraId="62C32D41">
      <w:pPr>
        <w:pStyle w:val="24"/>
        <w:ind w:left="0" w:leftChars="0" w:firstLine="0" w:firstLineChars="0"/>
        <w:rPr>
          <w:rFonts w:hint="eastAsia" w:ascii="仿宋" w:hAnsi="仿宋" w:eastAsia="仿宋" w:cs="仿宋"/>
          <w:color w:val="000000"/>
          <w:sz w:val="24"/>
          <w:szCs w:val="24"/>
          <w:highlight w:val="none"/>
        </w:rPr>
      </w:pPr>
    </w:p>
    <w:p w14:paraId="775CADAE">
      <w:pPr>
        <w:pStyle w:val="24"/>
        <w:ind w:firstLine="400"/>
        <w:rPr>
          <w:rFonts w:hint="eastAsia" w:ascii="仿宋" w:hAnsi="仿宋" w:eastAsia="仿宋" w:cs="仿宋"/>
          <w:color w:val="000000"/>
          <w:sz w:val="24"/>
          <w:szCs w:val="24"/>
          <w:highlight w:val="none"/>
        </w:rPr>
      </w:pPr>
    </w:p>
    <w:p w14:paraId="12BC972F">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3"/>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6"/>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w:t>
            </w:r>
            <w:r>
              <w:rPr>
                <w:rFonts w:hint="eastAsia" w:ascii="仿宋" w:hAnsi="仿宋" w:eastAsia="仿宋" w:cs="仿宋"/>
                <w:color w:val="000000"/>
                <w:sz w:val="24"/>
                <w:szCs w:val="32"/>
                <w:highlight w:val="none"/>
              </w:rPr>
              <w:t>危险废物处置服务采购项目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18552DE4">
      <w:pPr>
        <w:pStyle w:val="24"/>
        <w:rPr>
          <w:rFonts w:hint="eastAsia" w:ascii="仿宋" w:hAnsi="仿宋" w:eastAsia="仿宋" w:cs="仿宋"/>
          <w:color w:val="000000"/>
          <w:sz w:val="21"/>
          <w:szCs w:val="21"/>
          <w:highlight w:val="none"/>
        </w:rPr>
      </w:pPr>
    </w:p>
    <w:tbl>
      <w:tblPr>
        <w:tblStyle w:val="16"/>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9A7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6AF66D9B">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44309A47">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112953C8">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58607411">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24A6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6950C8E5">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lang w:eastAsia="zh-CN"/>
              </w:rPr>
              <w:t>中山大学孙逸仙纪念医院</w:t>
            </w:r>
            <w:r>
              <w:rPr>
                <w:rFonts w:hint="eastAsia" w:ascii="仿宋" w:hAnsi="仿宋" w:eastAsia="仿宋" w:cs="仿宋"/>
                <w:color w:val="auto"/>
                <w:sz w:val="22"/>
                <w:szCs w:val="22"/>
                <w:highlight w:val="none"/>
              </w:rPr>
              <w:t>危险废物处置服务采购项目</w:t>
            </w:r>
          </w:p>
        </w:tc>
        <w:tc>
          <w:tcPr>
            <w:tcW w:w="3402" w:type="dxa"/>
            <w:shd w:val="clear" w:color="auto" w:fill="FFFFFF"/>
            <w:vAlign w:val="center"/>
          </w:tcPr>
          <w:p w14:paraId="201EBC4D">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638B6E2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2DA09921">
            <w:pPr>
              <w:pStyle w:val="2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1554CD49">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6ADA619F">
      <w:pPr>
        <w:pStyle w:val="24"/>
        <w:rPr>
          <w:rFonts w:hint="eastAsia" w:ascii="仿宋" w:hAnsi="仿宋" w:eastAsia="仿宋" w:cs="仿宋"/>
          <w:color w:val="000000"/>
          <w:sz w:val="21"/>
          <w:szCs w:val="21"/>
          <w:highlight w:val="none"/>
        </w:rPr>
      </w:pPr>
    </w:p>
    <w:p w14:paraId="6140AC82">
      <w:pPr>
        <w:pStyle w:val="24"/>
        <w:rPr>
          <w:rFonts w:hint="eastAsia" w:ascii="仿宋" w:hAnsi="仿宋" w:eastAsia="仿宋" w:cs="仿宋"/>
          <w:color w:val="000000"/>
          <w:sz w:val="21"/>
          <w:szCs w:val="21"/>
          <w:highlight w:val="none"/>
        </w:rPr>
      </w:pPr>
    </w:p>
    <w:p w14:paraId="7AFB3EA7">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危险废物的上门回收、装卸、运输、处置、检测、车辆及相关设备的保险、维修、油料、人工、税金、利润、完成合同所需的一切本身和不可或缺的所有工作开支等费用）。</w:t>
      </w:r>
    </w:p>
    <w:p w14:paraId="002CBBFC">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24"/>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350CE24">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11B80930">
      <w:pPr>
        <w:numPr>
          <w:ilvl w:val="0"/>
          <w:numId w:val="0"/>
        </w:numPr>
        <w:rPr>
          <w:rFonts w:hint="eastAsia"/>
          <w:color w:val="000000" w:themeColor="text1"/>
          <w:highlight w:val="none"/>
          <w:lang w:val="en-US" w:eastAsia="zh-CN"/>
          <w14:textFill>
            <w14:solidFill>
              <w14:schemeClr w14:val="tx1"/>
            </w14:solidFill>
          </w14:textFill>
        </w:rPr>
      </w:pPr>
    </w:p>
    <w:p w14:paraId="7ED5930D">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项目名称：中山大学孙逸仙纪念医院危险废物处置服务采购项目</w:t>
      </w:r>
    </w:p>
    <w:p w14:paraId="27962CA0">
      <w:pPr>
        <w:pStyle w:val="10"/>
        <w:rPr>
          <w:rFonts w:hint="eastAsia" w:ascii="仿宋" w:hAnsi="仿宋" w:eastAsia="仿宋" w:cs="仿宋"/>
          <w:highlight w:val="none"/>
          <w:lang w:val="en-US" w:eastAsia="zh-CN"/>
        </w:rPr>
      </w:pPr>
    </w:p>
    <w:p w14:paraId="090F1347">
      <w:pPr>
        <w:rPr>
          <w:rFonts w:hint="eastAsia" w:ascii="仿宋" w:hAnsi="仿宋" w:eastAsia="仿宋" w:cs="仿宋"/>
          <w:highlight w:val="none"/>
          <w:lang w:val="en-US" w:eastAsia="zh-CN"/>
        </w:rPr>
      </w:pPr>
    </w:p>
    <w:p w14:paraId="3A6C39A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1.分项报价明细表另附，详见附件3：《中山大学孙逸仙纪念医院危险废物处置服务采购项目分项报价明细表》</w:t>
      </w:r>
    </w:p>
    <w:p w14:paraId="2348C43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2.响应人须按照上述附件内的要求进行填写报价。不得修改分项报价明细表内任何公式。</w:t>
      </w:r>
    </w:p>
    <w:p w14:paraId="356E2DD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3.分项报价明细表均需打印放入响应文件中作为响应明细报价表内容。</w:t>
      </w:r>
    </w:p>
    <w:p w14:paraId="2053BDA6">
      <w:pPr>
        <w:rPr>
          <w:rFonts w:hint="eastAsia" w:ascii="仿宋" w:hAnsi="仿宋" w:eastAsia="仿宋" w:cs="仿宋"/>
          <w:sz w:val="21"/>
          <w:szCs w:val="21"/>
          <w:highlight w:val="none"/>
          <w:lang w:val="en-US" w:eastAsia="zh-CN"/>
        </w:rPr>
      </w:pPr>
    </w:p>
    <w:p w14:paraId="64512558">
      <w:pPr>
        <w:rPr>
          <w:rFonts w:hint="eastAsia" w:ascii="仿宋" w:hAnsi="仿宋" w:eastAsia="仿宋" w:cs="仿宋"/>
          <w:sz w:val="18"/>
          <w:szCs w:val="18"/>
          <w:highlight w:val="none"/>
          <w:lang w:val="en-US" w:eastAsia="zh-CN"/>
        </w:rPr>
      </w:pPr>
    </w:p>
    <w:p w14:paraId="668081D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注：1.此表为报价总表内各项服务的报价明细表。</w:t>
      </w:r>
    </w:p>
    <w:p w14:paraId="3D0A6CDC">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2.报价人应按分项报价明细表的各项内容要求进行填写，不得更改此表格式。</w:t>
      </w:r>
    </w:p>
    <w:p w14:paraId="0B9EBC35">
      <w:pPr>
        <w:pStyle w:val="10"/>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3.必须将标黄色的区域一一填写完整。</w:t>
      </w:r>
    </w:p>
    <w:p w14:paraId="146AEF56">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4.不得修改本表格内的计算公式。</w:t>
      </w:r>
    </w:p>
    <w:p w14:paraId="1F097770">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5.所填报的含税综合单价均不得超过对应项目的含税综合单价最高限价。</w:t>
      </w:r>
    </w:p>
    <w:p w14:paraId="4749F0CA">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6.分项报价明细表的2年合计金额必须与《报价一览表》中的总报价一致。</w:t>
      </w:r>
    </w:p>
    <w:p w14:paraId="7E700B17">
      <w:pPr>
        <w:pStyle w:val="10"/>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7.未完全按第2-6点要求执行的，均按无效响应处理。</w:t>
      </w:r>
    </w:p>
    <w:p w14:paraId="77726599">
      <w:pPr>
        <w:rPr>
          <w:rFonts w:hint="eastAsia" w:ascii="仿宋" w:hAnsi="仿宋" w:eastAsia="仿宋" w:cs="仿宋"/>
          <w:highlight w:val="none"/>
          <w:lang w:val="en-US" w:eastAsia="zh-CN"/>
        </w:rPr>
      </w:pPr>
    </w:p>
    <w:p w14:paraId="41930C5F">
      <w:pPr>
        <w:pStyle w:val="10"/>
        <w:rPr>
          <w:rFonts w:hint="eastAsia" w:ascii="仿宋" w:hAnsi="仿宋" w:eastAsia="仿宋" w:cs="仿宋"/>
          <w:highlight w:val="none"/>
          <w:lang w:val="en-US" w:eastAsia="zh-CN"/>
        </w:rPr>
      </w:pPr>
    </w:p>
    <w:p w14:paraId="7B3C7B1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182F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F267315">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须具备生态环境主管部门颁发的在有效期内的《危险废物经营许可证》且核准经营危险废物类别代码需包含本项目全部危险废物（详见</w:t>
            </w:r>
            <w:r>
              <w:rPr>
                <w:rFonts w:hint="eastAsia" w:ascii="仿宋" w:hAnsi="仿宋" w:eastAsia="仿宋" w:cs="仿宋"/>
                <w:color w:val="000000"/>
                <w:sz w:val="20"/>
                <w:szCs w:val="20"/>
                <w:highlight w:val="none"/>
                <w:lang w:val="en-US" w:eastAsia="zh-CN"/>
              </w:rPr>
              <w:t>比选邀请函</w:t>
            </w:r>
            <w:r>
              <w:rPr>
                <w:rFonts w:hint="eastAsia" w:ascii="仿宋" w:hAnsi="仿宋" w:eastAsia="仿宋" w:cs="仿宋"/>
                <w:color w:val="000000"/>
                <w:sz w:val="20"/>
                <w:szCs w:val="20"/>
                <w:highlight w:val="none"/>
                <w:lang w:val="zh-CN"/>
              </w:rPr>
              <w:t>）。(提供有效证书的复印件，加盖公章）</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FACE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4901F5C4">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576717E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满足以下条件之一：</w:t>
            </w:r>
          </w:p>
          <w:p w14:paraId="2543884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（1）如响应人自身运输危险废物的，响应人须具备交通管理部门颁发的且在有效期内的《道路运输经营许可证》(经营范围包含危险货物运输)或《道路危险货物运输许可证》。</w:t>
            </w:r>
          </w:p>
          <w:p w14:paraId="3659247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zh-CN"/>
              </w:rPr>
              <w:t>（2）若响应人有合作运输单位的，须提供响应人与其合作运输单位的合作协议，以及合作运输单位在有效期内的《道路运输经营许可证》(经营范围包含危险货物运输)或《道路危险货物运输许可证》，上述证明材料复印件须加盖公章。</w:t>
            </w:r>
          </w:p>
        </w:tc>
        <w:tc>
          <w:tcPr>
            <w:tcW w:w="1515" w:type="dxa"/>
            <w:vAlign w:val="center"/>
          </w:tcPr>
          <w:p w14:paraId="4ED2D50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6C2DB47">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9338E7F">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1489BC3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6ED6D129">
      <w:pPr>
        <w:pStyle w:val="24"/>
        <w:ind w:left="0" w:leftChars="0" w:firstLine="0" w:firstLineChars="0"/>
        <w:rPr>
          <w:rFonts w:hint="eastAsia" w:ascii="仿宋" w:hAnsi="仿宋" w:eastAsia="仿宋" w:cs="仿宋"/>
          <w:color w:val="000000"/>
          <w:szCs w:val="21"/>
          <w:highlight w:val="none"/>
          <w:lang w:eastAsia="zh-CN"/>
        </w:rPr>
      </w:pPr>
    </w:p>
    <w:p w14:paraId="3E500AA7">
      <w:pPr>
        <w:pStyle w:val="24"/>
        <w:rPr>
          <w:rFonts w:hint="eastAsia" w:ascii="仿宋" w:hAnsi="仿宋" w:eastAsia="仿宋" w:cs="仿宋"/>
          <w:color w:val="000000"/>
          <w:szCs w:val="21"/>
          <w:highlight w:val="none"/>
          <w:lang w:eastAsia="zh-CN"/>
        </w:rPr>
      </w:pPr>
    </w:p>
    <w:p w14:paraId="745FADD7">
      <w:pPr>
        <w:pStyle w:val="24"/>
        <w:rPr>
          <w:rFonts w:hint="eastAsia" w:ascii="仿宋" w:hAnsi="仿宋" w:eastAsia="仿宋" w:cs="仿宋"/>
          <w:color w:val="000000"/>
          <w:szCs w:val="21"/>
          <w:highlight w:val="none"/>
          <w:lang w:eastAsia="zh-CN"/>
        </w:rPr>
      </w:pPr>
    </w:p>
    <w:p w14:paraId="73B428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24"/>
        <w:rPr>
          <w:rFonts w:ascii="仿宋_GB2312" w:hAnsi="华文仿宋" w:eastAsia="仿宋_GB2312" w:cs="华文仿宋"/>
          <w:bCs/>
          <w:color w:val="000000"/>
          <w:szCs w:val="21"/>
          <w:highlight w:val="none"/>
        </w:rPr>
      </w:pPr>
    </w:p>
    <w:p w14:paraId="734DE2AF">
      <w:pPr>
        <w:pStyle w:val="24"/>
        <w:rPr>
          <w:rFonts w:hint="eastAsia" w:ascii="宋体" w:hAnsi="宋体" w:cs="宋体"/>
          <w:color w:val="000000"/>
          <w:szCs w:val="21"/>
          <w:highlight w:val="none"/>
          <w:lang w:eastAsia="zh-CN"/>
        </w:rPr>
      </w:pPr>
    </w:p>
    <w:p w14:paraId="22125549">
      <w:pPr>
        <w:pStyle w:val="24"/>
        <w:rPr>
          <w:rFonts w:ascii="仿宋_GB2312" w:hAnsi="华文仿宋" w:eastAsia="仿宋_GB2312" w:cs="华文仿宋"/>
          <w:bCs/>
          <w:color w:val="000000"/>
          <w:szCs w:val="21"/>
          <w:highlight w:val="none"/>
        </w:rPr>
      </w:pPr>
    </w:p>
    <w:p w14:paraId="2A53B3A6">
      <w:pPr>
        <w:pStyle w:val="24"/>
        <w:rPr>
          <w:rFonts w:hint="eastAsia" w:ascii="宋体" w:hAnsi="宋体" w:cs="宋体"/>
          <w:color w:val="000000"/>
          <w:szCs w:val="21"/>
          <w:highlight w:val="none"/>
          <w:lang w:eastAsia="zh-CN"/>
        </w:rPr>
      </w:pPr>
    </w:p>
    <w:p w14:paraId="11657108">
      <w:pPr>
        <w:pStyle w:val="24"/>
        <w:rPr>
          <w:rFonts w:hint="eastAsia" w:ascii="宋体" w:hAnsi="宋体" w:cs="宋体"/>
          <w:color w:val="000000"/>
          <w:szCs w:val="21"/>
          <w:highlight w:val="none"/>
          <w:lang w:eastAsia="zh-CN"/>
        </w:rPr>
      </w:pPr>
    </w:p>
    <w:p w14:paraId="1110ECB4">
      <w:pPr>
        <w:pStyle w:val="24"/>
        <w:rPr>
          <w:rFonts w:hint="eastAsia" w:ascii="宋体" w:hAnsi="宋体" w:cs="宋体"/>
          <w:color w:val="000000"/>
          <w:szCs w:val="21"/>
          <w:highlight w:val="none"/>
          <w:lang w:eastAsia="zh-CN"/>
        </w:rPr>
      </w:pPr>
    </w:p>
    <w:p w14:paraId="54544EDC">
      <w:pPr>
        <w:pStyle w:val="24"/>
        <w:rPr>
          <w:rFonts w:hint="eastAsia" w:ascii="宋体" w:hAnsi="宋体" w:cs="宋体"/>
          <w:color w:val="000000"/>
          <w:szCs w:val="21"/>
          <w:highlight w:val="none"/>
          <w:lang w:eastAsia="zh-CN"/>
        </w:rPr>
      </w:pPr>
    </w:p>
    <w:p w14:paraId="2382DE53">
      <w:pPr>
        <w:pStyle w:val="24"/>
        <w:rPr>
          <w:rFonts w:hint="eastAsia" w:ascii="宋体" w:hAnsi="宋体" w:cs="宋体"/>
          <w:color w:val="000000"/>
          <w:szCs w:val="21"/>
          <w:highlight w:val="none"/>
          <w:lang w:eastAsia="zh-CN"/>
        </w:rPr>
      </w:pPr>
    </w:p>
    <w:p w14:paraId="2F183A18">
      <w:pPr>
        <w:pStyle w:val="24"/>
        <w:rPr>
          <w:rFonts w:hint="eastAsia" w:ascii="宋体" w:hAnsi="宋体" w:cs="宋体"/>
          <w:color w:val="000000"/>
          <w:szCs w:val="21"/>
          <w:highlight w:val="none"/>
          <w:lang w:eastAsia="zh-CN"/>
        </w:rPr>
      </w:pPr>
    </w:p>
    <w:p w14:paraId="19B2FAAC">
      <w:pPr>
        <w:pStyle w:val="24"/>
        <w:rPr>
          <w:rFonts w:hint="eastAsia" w:ascii="宋体" w:hAnsi="宋体" w:cs="宋体"/>
          <w:color w:val="000000"/>
          <w:szCs w:val="21"/>
          <w:highlight w:val="none"/>
          <w:lang w:eastAsia="zh-CN"/>
        </w:rPr>
      </w:pPr>
    </w:p>
    <w:p w14:paraId="4D10C4FE">
      <w:pPr>
        <w:pStyle w:val="24"/>
        <w:rPr>
          <w:rFonts w:hint="eastAsia" w:ascii="宋体" w:hAnsi="宋体" w:cs="宋体"/>
          <w:color w:val="000000"/>
          <w:szCs w:val="21"/>
          <w:highlight w:val="none"/>
          <w:lang w:eastAsia="zh-CN"/>
        </w:rPr>
      </w:pPr>
    </w:p>
    <w:p w14:paraId="246A9FC2">
      <w:pPr>
        <w:pStyle w:val="24"/>
        <w:rPr>
          <w:rFonts w:ascii="仿宋_GB2312" w:hAnsi="华文仿宋" w:eastAsia="仿宋_GB2312" w:cs="华文仿宋"/>
          <w:bCs/>
          <w:color w:val="000000"/>
          <w:szCs w:val="21"/>
          <w:highlight w:val="none"/>
        </w:rPr>
      </w:pPr>
    </w:p>
    <w:p w14:paraId="415E7A76">
      <w:pPr>
        <w:pStyle w:val="24"/>
        <w:rPr>
          <w:rFonts w:hint="eastAsia" w:ascii="宋体" w:hAnsi="宋体" w:cs="宋体"/>
          <w:color w:val="000000"/>
          <w:szCs w:val="21"/>
          <w:highlight w:val="none"/>
          <w:lang w:eastAsia="zh-CN"/>
        </w:rPr>
      </w:pPr>
    </w:p>
    <w:p w14:paraId="696A324F">
      <w:pPr>
        <w:pStyle w:val="24"/>
        <w:rPr>
          <w:rFonts w:hint="eastAsia" w:ascii="宋体" w:hAnsi="宋体" w:cs="宋体"/>
          <w:color w:val="000000"/>
          <w:szCs w:val="21"/>
          <w:highlight w:val="none"/>
          <w:lang w:eastAsia="zh-CN"/>
        </w:rPr>
      </w:pPr>
    </w:p>
    <w:p w14:paraId="61C676A6">
      <w:pPr>
        <w:pStyle w:val="24"/>
        <w:rPr>
          <w:rFonts w:hint="eastAsia" w:ascii="宋体" w:hAnsi="宋体" w:cs="宋体"/>
          <w:color w:val="000000"/>
          <w:szCs w:val="21"/>
          <w:highlight w:val="none"/>
          <w:lang w:eastAsia="zh-CN"/>
        </w:rPr>
      </w:pPr>
    </w:p>
    <w:p w14:paraId="684FBDD8">
      <w:pPr>
        <w:pStyle w:val="24"/>
        <w:rPr>
          <w:rFonts w:hint="eastAsia" w:ascii="宋体" w:hAnsi="宋体" w:cs="宋体"/>
          <w:color w:val="000000"/>
          <w:szCs w:val="21"/>
          <w:highlight w:val="none"/>
          <w:lang w:eastAsia="zh-CN"/>
        </w:rPr>
      </w:pPr>
    </w:p>
    <w:p w14:paraId="0F94592F">
      <w:pPr>
        <w:pStyle w:val="24"/>
        <w:rPr>
          <w:rFonts w:hint="eastAsia" w:ascii="宋体" w:hAnsi="宋体" w:cs="宋体"/>
          <w:color w:val="000000"/>
          <w:szCs w:val="21"/>
          <w:highlight w:val="none"/>
          <w:lang w:eastAsia="zh-CN"/>
        </w:rPr>
      </w:pPr>
    </w:p>
    <w:p w14:paraId="5F822CF1">
      <w:pPr>
        <w:pStyle w:val="24"/>
        <w:rPr>
          <w:rFonts w:hint="eastAsia" w:ascii="宋体" w:hAnsi="宋体" w:cs="宋体"/>
          <w:color w:val="000000"/>
          <w:szCs w:val="21"/>
          <w:highlight w:val="none"/>
          <w:lang w:eastAsia="zh-CN"/>
        </w:rPr>
      </w:pPr>
    </w:p>
    <w:p w14:paraId="1F00174F">
      <w:pPr>
        <w:pStyle w:val="24"/>
        <w:rPr>
          <w:rFonts w:hint="eastAsia" w:ascii="宋体" w:hAnsi="宋体" w:cs="宋体"/>
          <w:color w:val="000000"/>
          <w:szCs w:val="21"/>
          <w:highlight w:val="none"/>
          <w:lang w:eastAsia="zh-CN"/>
        </w:rPr>
      </w:pPr>
    </w:p>
    <w:p w14:paraId="4B38F0CF">
      <w:pPr>
        <w:pStyle w:val="24"/>
        <w:rPr>
          <w:rFonts w:hint="eastAsia" w:ascii="宋体" w:hAnsi="宋体" w:cs="宋体"/>
          <w:color w:val="000000"/>
          <w:szCs w:val="21"/>
          <w:highlight w:val="none"/>
          <w:lang w:eastAsia="zh-CN"/>
        </w:rPr>
      </w:pPr>
    </w:p>
    <w:p w14:paraId="3AF24BF6">
      <w:pPr>
        <w:pStyle w:val="24"/>
        <w:rPr>
          <w:rFonts w:hint="eastAsia" w:ascii="宋体" w:hAnsi="宋体" w:cs="宋体"/>
          <w:color w:val="000000"/>
          <w:szCs w:val="21"/>
          <w:highlight w:val="none"/>
          <w:lang w:eastAsia="zh-CN"/>
        </w:rPr>
      </w:pPr>
    </w:p>
    <w:p w14:paraId="15CC8FB6">
      <w:pPr>
        <w:pStyle w:val="24"/>
        <w:rPr>
          <w:rFonts w:hint="eastAsia" w:ascii="宋体" w:hAnsi="宋体" w:cs="宋体"/>
          <w:color w:val="000000"/>
          <w:szCs w:val="21"/>
          <w:highlight w:val="none"/>
          <w:lang w:eastAsia="zh-CN"/>
        </w:rPr>
      </w:pPr>
    </w:p>
    <w:p w14:paraId="06E9C225">
      <w:pPr>
        <w:pStyle w:val="24"/>
        <w:rPr>
          <w:rFonts w:hint="eastAsia" w:ascii="宋体" w:hAnsi="宋体" w:cs="宋体"/>
          <w:color w:val="000000"/>
          <w:szCs w:val="21"/>
          <w:highlight w:val="none"/>
          <w:lang w:eastAsia="zh-CN"/>
        </w:rPr>
      </w:pPr>
    </w:p>
    <w:p w14:paraId="0EDC8FCE">
      <w:pPr>
        <w:pStyle w:val="24"/>
        <w:rPr>
          <w:rFonts w:hint="eastAsia" w:ascii="宋体" w:hAnsi="宋体" w:cs="宋体"/>
          <w:color w:val="000000"/>
          <w:szCs w:val="21"/>
          <w:highlight w:val="none"/>
          <w:lang w:eastAsia="zh-CN"/>
        </w:rPr>
      </w:pPr>
    </w:p>
    <w:p w14:paraId="14575DF9">
      <w:pPr>
        <w:pStyle w:val="24"/>
        <w:rPr>
          <w:rFonts w:hint="eastAsia" w:ascii="宋体" w:hAnsi="宋体" w:cs="宋体"/>
          <w:color w:val="000000"/>
          <w:szCs w:val="21"/>
          <w:highlight w:val="none"/>
          <w:lang w:eastAsia="zh-CN"/>
        </w:rPr>
      </w:pPr>
    </w:p>
    <w:p w14:paraId="51B55AD2">
      <w:pPr>
        <w:pStyle w:val="24"/>
        <w:rPr>
          <w:rFonts w:hint="eastAsia" w:ascii="宋体" w:hAnsi="宋体" w:cs="宋体"/>
          <w:color w:val="000000"/>
          <w:szCs w:val="21"/>
          <w:highlight w:val="none"/>
          <w:lang w:eastAsia="zh-CN"/>
        </w:rPr>
      </w:pPr>
    </w:p>
    <w:p w14:paraId="20679807">
      <w:pPr>
        <w:pStyle w:val="24"/>
        <w:rPr>
          <w:rFonts w:hint="eastAsia" w:ascii="宋体" w:hAnsi="宋体" w:cs="宋体"/>
          <w:color w:val="000000"/>
          <w:szCs w:val="21"/>
          <w:highlight w:val="none"/>
          <w:lang w:eastAsia="zh-CN"/>
        </w:rPr>
      </w:pPr>
    </w:p>
    <w:p w14:paraId="610EDF58">
      <w:pPr>
        <w:pStyle w:val="24"/>
        <w:rPr>
          <w:rFonts w:hint="eastAsia" w:ascii="宋体" w:hAnsi="宋体" w:cs="宋体"/>
          <w:color w:val="000000"/>
          <w:szCs w:val="21"/>
          <w:highlight w:val="none"/>
          <w:lang w:eastAsia="zh-CN"/>
        </w:rPr>
      </w:pPr>
    </w:p>
    <w:p w14:paraId="7915315D">
      <w:pPr>
        <w:pStyle w:val="24"/>
        <w:rPr>
          <w:rFonts w:hint="eastAsia" w:ascii="宋体" w:hAnsi="宋体" w:cs="宋体"/>
          <w:color w:val="000000"/>
          <w:szCs w:val="21"/>
          <w:highlight w:val="none"/>
          <w:lang w:eastAsia="zh-CN"/>
        </w:rPr>
      </w:pPr>
    </w:p>
    <w:p w14:paraId="3E30C7DB">
      <w:pPr>
        <w:pStyle w:val="24"/>
        <w:rPr>
          <w:rFonts w:hint="eastAsia" w:ascii="宋体" w:hAnsi="宋体" w:cs="宋体"/>
          <w:color w:val="000000"/>
          <w:szCs w:val="21"/>
          <w:highlight w:val="none"/>
          <w:lang w:eastAsia="zh-CN"/>
        </w:rPr>
      </w:pPr>
    </w:p>
    <w:p w14:paraId="29FA0C5D">
      <w:pPr>
        <w:pStyle w:val="24"/>
        <w:rPr>
          <w:rFonts w:hint="eastAsia" w:ascii="宋体" w:hAnsi="宋体" w:cs="宋体"/>
          <w:color w:val="000000"/>
          <w:szCs w:val="21"/>
          <w:highlight w:val="none"/>
          <w:lang w:eastAsia="zh-CN"/>
        </w:rPr>
      </w:pPr>
    </w:p>
    <w:p w14:paraId="4DBBF07F">
      <w:pPr>
        <w:pStyle w:val="24"/>
        <w:rPr>
          <w:rFonts w:hint="eastAsia" w:ascii="宋体" w:hAnsi="宋体" w:cs="宋体"/>
          <w:color w:val="000000"/>
          <w:szCs w:val="21"/>
          <w:highlight w:val="none"/>
          <w:lang w:eastAsia="zh-CN"/>
        </w:rPr>
      </w:pPr>
    </w:p>
    <w:p w14:paraId="4333768D">
      <w:pPr>
        <w:pStyle w:val="24"/>
        <w:rPr>
          <w:rFonts w:hint="eastAsia" w:ascii="宋体" w:hAnsi="宋体" w:cs="宋体"/>
          <w:color w:val="000000"/>
          <w:szCs w:val="21"/>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1D08A445">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FF4240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B4C75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4"/>
        <w:rPr>
          <w:rFonts w:hint="eastAsia" w:ascii="宋体" w:hAnsi="宋体" w:cs="宋体"/>
          <w:color w:val="auto"/>
          <w:szCs w:val="21"/>
          <w:highlight w:val="none"/>
          <w:lang w:eastAsia="zh-CN"/>
        </w:rPr>
      </w:pPr>
    </w:p>
    <w:p w14:paraId="353A2C3B">
      <w:pPr>
        <w:pStyle w:val="24"/>
        <w:rPr>
          <w:rFonts w:hint="eastAsia" w:ascii="宋体" w:hAnsi="宋体" w:cs="宋体"/>
          <w:color w:val="auto"/>
          <w:szCs w:val="21"/>
          <w:highlight w:val="none"/>
          <w:lang w:eastAsia="zh-CN"/>
        </w:rPr>
      </w:pPr>
    </w:p>
    <w:p w14:paraId="597D2F6D">
      <w:pPr>
        <w:pStyle w:val="24"/>
        <w:rPr>
          <w:rFonts w:hint="eastAsia" w:ascii="宋体" w:hAnsi="宋体" w:cs="宋体"/>
          <w:color w:val="auto"/>
          <w:szCs w:val="21"/>
          <w:highlight w:val="none"/>
          <w:lang w:eastAsia="zh-CN"/>
        </w:rPr>
      </w:pPr>
    </w:p>
    <w:p w14:paraId="1C7B92FD">
      <w:pPr>
        <w:pStyle w:val="24"/>
        <w:rPr>
          <w:rFonts w:hint="eastAsia" w:ascii="宋体" w:hAnsi="宋体" w:cs="宋体"/>
          <w:color w:val="auto"/>
          <w:szCs w:val="21"/>
          <w:highlight w:val="none"/>
          <w:lang w:eastAsia="zh-CN"/>
        </w:rPr>
      </w:pPr>
    </w:p>
    <w:p w14:paraId="31B76AF5">
      <w:pPr>
        <w:pStyle w:val="24"/>
        <w:rPr>
          <w:rFonts w:hint="eastAsia" w:ascii="宋体" w:hAnsi="宋体" w:cs="宋体"/>
          <w:color w:val="auto"/>
          <w:szCs w:val="21"/>
          <w:highlight w:val="none"/>
          <w:lang w:eastAsia="zh-CN"/>
        </w:rPr>
      </w:pPr>
    </w:p>
    <w:p w14:paraId="26CFD62B">
      <w:pPr>
        <w:pStyle w:val="24"/>
        <w:rPr>
          <w:rFonts w:hint="eastAsia" w:ascii="宋体" w:hAnsi="宋体" w:cs="宋体"/>
          <w:color w:val="auto"/>
          <w:szCs w:val="21"/>
          <w:highlight w:val="none"/>
          <w:lang w:eastAsia="zh-CN"/>
        </w:rPr>
      </w:pPr>
    </w:p>
    <w:p w14:paraId="286D41B8">
      <w:pPr>
        <w:pStyle w:val="24"/>
        <w:rPr>
          <w:rFonts w:hint="eastAsia" w:ascii="宋体" w:hAnsi="宋体" w:cs="宋体"/>
          <w:color w:val="auto"/>
          <w:szCs w:val="21"/>
          <w:highlight w:val="none"/>
          <w:lang w:eastAsia="zh-CN"/>
        </w:rPr>
      </w:pPr>
    </w:p>
    <w:p w14:paraId="4B53192C">
      <w:pPr>
        <w:pStyle w:val="24"/>
        <w:rPr>
          <w:rFonts w:hint="eastAsia" w:ascii="宋体" w:hAnsi="宋体" w:cs="宋体"/>
          <w:color w:val="auto"/>
          <w:szCs w:val="21"/>
          <w:highlight w:val="none"/>
          <w:lang w:eastAsia="zh-CN"/>
        </w:rPr>
      </w:pPr>
    </w:p>
    <w:p w14:paraId="29A1E61B">
      <w:pPr>
        <w:pStyle w:val="24"/>
        <w:rPr>
          <w:rFonts w:hint="eastAsia" w:ascii="宋体" w:hAnsi="宋体" w:cs="宋体"/>
          <w:color w:val="auto"/>
          <w:szCs w:val="21"/>
          <w:highlight w:val="none"/>
          <w:lang w:eastAsia="zh-CN"/>
        </w:rPr>
      </w:pPr>
    </w:p>
    <w:p w14:paraId="43E12E36">
      <w:pPr>
        <w:pStyle w:val="24"/>
        <w:rPr>
          <w:rFonts w:hint="eastAsia" w:ascii="宋体" w:hAnsi="宋体" w:cs="宋体"/>
          <w:color w:val="auto"/>
          <w:szCs w:val="21"/>
          <w:highlight w:val="none"/>
          <w:lang w:eastAsia="zh-CN"/>
        </w:rPr>
      </w:pPr>
    </w:p>
    <w:p w14:paraId="5BEA32B5">
      <w:pPr>
        <w:pStyle w:val="24"/>
        <w:rPr>
          <w:rFonts w:hint="eastAsia" w:ascii="宋体" w:hAnsi="宋体" w:cs="宋体"/>
          <w:color w:val="auto"/>
          <w:szCs w:val="21"/>
          <w:highlight w:val="none"/>
          <w:lang w:eastAsia="zh-CN"/>
        </w:rPr>
      </w:pPr>
    </w:p>
    <w:p w14:paraId="58D8F17A">
      <w:pPr>
        <w:pStyle w:val="24"/>
        <w:rPr>
          <w:rFonts w:hint="eastAsia" w:ascii="宋体" w:hAnsi="宋体" w:cs="宋体"/>
          <w:color w:val="auto"/>
          <w:szCs w:val="21"/>
          <w:highlight w:val="none"/>
          <w:lang w:eastAsia="zh-CN"/>
        </w:rPr>
      </w:pPr>
    </w:p>
    <w:p w14:paraId="7C66C6FF">
      <w:pPr>
        <w:pStyle w:val="24"/>
        <w:rPr>
          <w:rFonts w:hint="eastAsia" w:ascii="宋体" w:hAnsi="宋体" w:cs="宋体"/>
          <w:color w:val="auto"/>
          <w:szCs w:val="21"/>
          <w:highlight w:val="none"/>
          <w:lang w:eastAsia="zh-CN"/>
        </w:rPr>
      </w:pPr>
    </w:p>
    <w:p w14:paraId="7334ADAF">
      <w:pPr>
        <w:pStyle w:val="24"/>
        <w:rPr>
          <w:rFonts w:hint="eastAsia" w:ascii="宋体" w:hAnsi="宋体" w:cs="宋体"/>
          <w:color w:val="auto"/>
          <w:szCs w:val="21"/>
          <w:highlight w:val="none"/>
          <w:lang w:eastAsia="zh-CN"/>
        </w:rPr>
      </w:pPr>
    </w:p>
    <w:p w14:paraId="39EDE0D7">
      <w:pPr>
        <w:pStyle w:val="24"/>
        <w:rPr>
          <w:rFonts w:hint="eastAsia" w:ascii="宋体" w:hAnsi="宋体" w:cs="宋体"/>
          <w:color w:val="auto"/>
          <w:szCs w:val="21"/>
          <w:highlight w:val="none"/>
          <w:lang w:eastAsia="zh-CN"/>
        </w:rPr>
      </w:pPr>
    </w:p>
    <w:p w14:paraId="6440A3C2">
      <w:pPr>
        <w:pStyle w:val="24"/>
        <w:rPr>
          <w:rFonts w:hint="eastAsia" w:ascii="宋体" w:hAnsi="宋体" w:cs="宋体"/>
          <w:color w:val="auto"/>
          <w:szCs w:val="21"/>
          <w:highlight w:val="none"/>
          <w:lang w:eastAsia="zh-CN"/>
        </w:rPr>
      </w:pPr>
    </w:p>
    <w:p w14:paraId="23F310D0">
      <w:pPr>
        <w:pStyle w:val="24"/>
        <w:rPr>
          <w:rFonts w:hint="eastAsia" w:ascii="宋体" w:hAnsi="宋体" w:cs="宋体"/>
          <w:color w:val="auto"/>
          <w:szCs w:val="21"/>
          <w:highlight w:val="none"/>
          <w:lang w:eastAsia="zh-CN"/>
        </w:rPr>
      </w:pPr>
    </w:p>
    <w:p w14:paraId="3961F9A0">
      <w:pPr>
        <w:pStyle w:val="24"/>
        <w:rPr>
          <w:rFonts w:hint="eastAsia" w:ascii="宋体" w:hAnsi="宋体" w:cs="宋体"/>
          <w:color w:val="auto"/>
          <w:szCs w:val="21"/>
          <w:highlight w:val="none"/>
          <w:lang w:eastAsia="zh-CN"/>
        </w:rPr>
      </w:pPr>
    </w:p>
    <w:p w14:paraId="67E11517">
      <w:pPr>
        <w:pStyle w:val="24"/>
        <w:rPr>
          <w:rFonts w:hint="eastAsia" w:ascii="宋体" w:hAnsi="宋体" w:cs="宋体"/>
          <w:color w:val="auto"/>
          <w:szCs w:val="21"/>
          <w:highlight w:val="none"/>
          <w:lang w:eastAsia="zh-CN"/>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3、危险废物经营许可证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由生态环境主管部门颁发的在有效期内的《危险废物经营许可证》且核准经营危险废物类别代码需包含本项目全部危险废物（详见比选邀请函）。(提供有效证书的复印件，加盖公章）</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E28FE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5DB9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80A41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B92D748">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4、《道路运输经营许可证》(经营范围包含危险货物运输)</w:t>
      </w:r>
    </w:p>
    <w:p w14:paraId="0A44ED3D">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bCs/>
          <w:sz w:val="32"/>
          <w:szCs w:val="32"/>
          <w:highlight w:val="none"/>
          <w:lang w:val="en-US" w:eastAsia="zh-CN"/>
        </w:rPr>
        <w:t>或《道路危险货物运输许可证》</w:t>
      </w:r>
    </w:p>
    <w:p w14:paraId="692CEB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满足以下条件之一：</w:t>
      </w:r>
    </w:p>
    <w:p w14:paraId="64C7268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（1）如响应人自身运输危险废物的，响应人须具备交通管理部门颁发的且在有效期内的《道路运输经营许可证》(经营范围包含危险货物运输)或《道路危险货物运输许可证》。</w:t>
      </w:r>
    </w:p>
    <w:p w14:paraId="6AECAD9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2）若响应人有合作运输单位的，须提供响应人与其合作运输单位的合作协议，以及合作运输单位在有效期内的《道路运输经营许可证》(经营范围包含危险货物运输)或《道路危险货物运输许可证》，上述证明材料复印件须加盖公章。</w:t>
      </w:r>
    </w:p>
    <w:p w14:paraId="3BE756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8138D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3DF9E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DE8C9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34A36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0F8113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F2525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150FB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DE78A5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7FDF4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378E88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78213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44C0E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80F21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6919B7C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B8BC20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5A96BBA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233162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5579FB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505828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1078C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7"/>
        <w:shd w:val="clear" w:color="auto" w:fill="FFFFFF"/>
        <w:rPr>
          <w:rFonts w:hint="eastAsia" w:ascii="仿宋" w:hAnsi="仿宋" w:eastAsia="仿宋" w:cs="仿宋"/>
          <w:sz w:val="21"/>
          <w:szCs w:val="21"/>
          <w:highlight w:val="none"/>
        </w:rPr>
      </w:pPr>
    </w:p>
    <w:p w14:paraId="11C090B5">
      <w:pPr>
        <w:pStyle w:val="7"/>
        <w:shd w:val="clear" w:color="auto" w:fill="FFFFFF"/>
        <w:rPr>
          <w:rFonts w:hint="eastAsia" w:ascii="仿宋" w:hAnsi="仿宋" w:eastAsia="仿宋" w:cs="仿宋"/>
          <w:sz w:val="21"/>
          <w:szCs w:val="21"/>
          <w:highlight w:val="none"/>
        </w:rPr>
      </w:pPr>
    </w:p>
    <w:p w14:paraId="77DB0D31">
      <w:pPr>
        <w:pStyle w:val="7"/>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8"/>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8"/>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8"/>
        <w:tabs>
          <w:tab w:val="left" w:pos="900"/>
        </w:tabs>
        <w:spacing w:line="400" w:lineRule="exact"/>
        <w:ind w:firstLine="0"/>
        <w:rPr>
          <w:rFonts w:hint="eastAsia" w:ascii="仿宋" w:hAnsi="仿宋" w:eastAsia="仿宋" w:cs="仿宋"/>
          <w:bCs/>
          <w:color w:val="000000"/>
          <w:highlight w:val="none"/>
          <w:lang w:val="en-US"/>
        </w:rPr>
      </w:pPr>
    </w:p>
    <w:p w14:paraId="419C208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4"/>
        <w:ind w:left="0" w:leftChars="0" w:firstLine="0" w:firstLineChars="0"/>
        <w:rPr>
          <w:rFonts w:hint="eastAsia" w:ascii="仿宋" w:hAnsi="仿宋" w:eastAsia="仿宋" w:cs="仿宋"/>
          <w:highlight w:val="none"/>
          <w:lang w:eastAsia="zh-CN"/>
        </w:rPr>
      </w:pPr>
    </w:p>
    <w:p w14:paraId="159EE8F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8"/>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8"/>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8"/>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4"/>
        <w:ind w:left="0" w:leftChars="0" w:firstLine="0" w:firstLineChars="0"/>
        <w:rPr>
          <w:rFonts w:hint="eastAsia" w:ascii="宋体" w:hAnsi="宋体" w:eastAsia="宋体" w:cs="仿宋_GB2312"/>
          <w:bCs/>
          <w:color w:val="000000"/>
          <w:sz w:val="30"/>
          <w:szCs w:val="30"/>
          <w:highlight w:val="none"/>
          <w:lang w:val="en-US"/>
        </w:rPr>
      </w:pPr>
    </w:p>
    <w:p w14:paraId="505620DC">
      <w:pPr>
        <w:pStyle w:val="24"/>
        <w:ind w:left="0" w:leftChars="0" w:firstLine="0" w:firstLineChars="0"/>
        <w:rPr>
          <w:rFonts w:hint="eastAsia" w:ascii="宋体" w:hAnsi="宋体" w:eastAsia="宋体" w:cs="宋体"/>
          <w:b/>
          <w:bCs/>
          <w:sz w:val="28"/>
          <w:szCs w:val="36"/>
          <w:highlight w:val="none"/>
          <w:lang w:eastAsia="zh-CN"/>
        </w:rPr>
      </w:pPr>
    </w:p>
    <w:p w14:paraId="7E872A26">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4"/>
        <w:ind w:left="0" w:leftChars="0" w:firstLine="0" w:firstLineChars="0"/>
        <w:rPr>
          <w:rFonts w:hint="eastAsia" w:ascii="宋体" w:hAnsi="宋体" w:eastAsia="宋体" w:cs="仿宋_GB2312"/>
          <w:bCs/>
          <w:color w:val="000000"/>
          <w:sz w:val="30"/>
          <w:szCs w:val="30"/>
          <w:highlight w:val="none"/>
          <w:lang w:val="en-US"/>
        </w:rPr>
      </w:pPr>
    </w:p>
    <w:p w14:paraId="00D71E44">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中山大学孙逸仙纪念医院</w:t>
      </w:r>
    </w:p>
    <w:p w14:paraId="03A3DD1F">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严格执行环保相关法律、法规，守法经营，安全处理处置危险废物。双方必须严格执行《中华人民共和国固体废物污染环境防治法》的规定，本合同涉及的危险废物必须执行国家危险废物转移联单管理制度。</w:t>
      </w:r>
    </w:p>
    <w:p w14:paraId="70D95A6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承诺，服务期内能保证采购人所有危险废物（包括但不限于：所有品种、所有数量）的正常处置；如果出现紧急情况（紧急情况为危险废物严重影响采购人正常医疗、教学、科研工作或其他特殊情况），经电话联系我方尽快上门协助应急处置。</w:t>
      </w:r>
    </w:p>
    <w:p w14:paraId="70CB3CB4">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（3）我方承诺承担本项目危险废物的运输、临时贮存以及处置过程中发生的全部安全责任。</w:t>
      </w:r>
    </w:p>
    <w:p w14:paraId="108C941F">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5"/>
        <w:rPr>
          <w:rFonts w:hint="eastAsia"/>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6940F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C0193D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7679BDF">
      <w:pPr>
        <w:rPr>
          <w:rFonts w:hint="eastAsia" w:ascii="黑体" w:hAnsi="黑体" w:eastAsia="黑体" w:cs="黑体"/>
          <w:b/>
          <w:bCs/>
          <w:sz w:val="40"/>
          <w:szCs w:val="40"/>
          <w:highlight w:val="none"/>
          <w:lang w:val="en-US" w:eastAsia="zh-CN"/>
        </w:rPr>
      </w:pPr>
    </w:p>
    <w:p w14:paraId="1F0599C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6"/>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069"/>
        <w:gridCol w:w="2034"/>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069" w:type="dxa"/>
            <w:vAlign w:val="center"/>
          </w:tcPr>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根据响应人自2022年1月1日（以合同签订时间为准）以来，完成同类项目业绩（危险废物收运、处理/处置服务）进行评分，每提供一个业绩得2分，本项最高得12分。</w:t>
            </w:r>
          </w:p>
        </w:tc>
        <w:tc>
          <w:tcPr>
            <w:tcW w:w="2034"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合同复印件（含签订合同双方的单位名称、合同项目内容、签订合同双方的落款盖章的关键页），并加盖公章。所提供资料未能体现符合业绩要求的不得分。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2A5F95B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069" w:type="dxa"/>
            <w:vAlign w:val="center"/>
          </w:tcPr>
          <w:p w14:paraId="66DE721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6分。不提供不得分。</w:t>
            </w:r>
          </w:p>
        </w:tc>
        <w:tc>
          <w:tcPr>
            <w:tcW w:w="2034" w:type="dxa"/>
            <w:vAlign w:val="center"/>
          </w:tcPr>
          <w:p w14:paraId="4B09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069" w:type="dxa"/>
            <w:vAlign w:val="center"/>
          </w:tcPr>
          <w:p w14:paraId="591BBA5F">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项目负责人资质（必须为响应人自身的人员）：</w:t>
            </w:r>
          </w:p>
          <w:p w14:paraId="255DCCB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具备环保相关专业中级及以上职称，得2分。</w:t>
            </w:r>
          </w:p>
        </w:tc>
        <w:tc>
          <w:tcPr>
            <w:tcW w:w="2034"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资格证书复印件（其中，运输人员提供有效期内的危险品准驾证，押运员提供有效期内的危险品押运证）及2025年1月以来任意一个月的响应人（如为运输人员或押运人员的，也可提供响应人合作运输单位）为其缴纳的社保证明材料复印件，缺一不可。如此处提供的响应人合作运输单位相关资料与资格审查中的合作运输单位不吻合，则该证明材料无效，不予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3069" w:type="dxa"/>
            <w:vMerge w:val="restart"/>
            <w:vAlign w:val="center"/>
          </w:tcPr>
          <w:p w14:paraId="6050180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项目团队人员配置（除项目负责人外）（允许项目团队人员为响应人自身的人员，也可以是响应人合作运输单位的人员）：</w:t>
            </w:r>
          </w:p>
          <w:p w14:paraId="55D3962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为本项目配置运输人员至少1人，在符合此要求下：每增加1名运输人员投入到本项目的，得2分，本项最高得4分。不提供或仅提供1名运输人员资料的，则本项不得分。</w:t>
            </w:r>
          </w:p>
          <w:p w14:paraId="31B3196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为本项目配置押运人员至少1人，在符合此要求下：每增加1名押运人员投入到本项目的，得2分，本项最高得4分。不提供或仅提供1名押运人员资料的，则本项不得分。</w:t>
            </w:r>
          </w:p>
        </w:tc>
        <w:tc>
          <w:tcPr>
            <w:tcW w:w="2034"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E961B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3DF1516B">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3069" w:type="dxa"/>
            <w:vMerge w:val="continue"/>
            <w:vAlign w:val="center"/>
          </w:tcPr>
          <w:p w14:paraId="76AA065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2034" w:type="dxa"/>
            <w:vMerge w:val="continue"/>
            <w:vAlign w:val="center"/>
          </w:tcPr>
          <w:p w14:paraId="2B61D1F8">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3F54DB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68ACD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38B5939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069" w:type="dxa"/>
            <w:vAlign w:val="center"/>
          </w:tcPr>
          <w:p w14:paraId="0C08D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w:t>
            </w:r>
            <w:r>
              <w:rPr>
                <w:rFonts w:hint="eastAsia" w:ascii="仿宋" w:hAnsi="仿宋" w:eastAsia="仿宋" w:cs="仿宋"/>
                <w:color w:val="000000"/>
                <w:sz w:val="21"/>
                <w:szCs w:val="21"/>
                <w:highlight w:val="none"/>
                <w:lang w:bidi="ar"/>
              </w:rPr>
              <w:t>质量管理体系认证证书</w:t>
            </w:r>
            <w:r>
              <w:rPr>
                <w:rFonts w:hint="eastAsia" w:ascii="仿宋" w:hAnsi="仿宋" w:eastAsia="仿宋" w:cs="仿宋"/>
                <w:color w:val="auto"/>
                <w:sz w:val="21"/>
                <w:szCs w:val="21"/>
                <w:highlight w:val="none"/>
                <w:lang w:val="en-US" w:eastAsia="zh-CN"/>
              </w:rPr>
              <w:t>得2分。</w:t>
            </w:r>
          </w:p>
        </w:tc>
        <w:tc>
          <w:tcPr>
            <w:tcW w:w="2034"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069" w:type="dxa"/>
            <w:vAlign w:val="center"/>
          </w:tcPr>
          <w:p w14:paraId="15225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响应人具有有效的环境管理体系认证证书得2分。</w:t>
            </w:r>
          </w:p>
        </w:tc>
        <w:tc>
          <w:tcPr>
            <w:tcW w:w="2034"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069" w:type="dxa"/>
            <w:vAlign w:val="center"/>
          </w:tcPr>
          <w:p w14:paraId="745E6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响应人具有有效的职业健康安全管理体系认证证书得2分。</w:t>
            </w:r>
          </w:p>
        </w:tc>
        <w:tc>
          <w:tcPr>
            <w:tcW w:w="2034"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069" w:type="dxa"/>
            <w:vAlign w:val="center"/>
          </w:tcPr>
          <w:p w14:paraId="6D563FF6">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根据响应人现有可用于危险废物运输的专用车辆数量评分，提供以下资料之一（四选一）：</w:t>
            </w:r>
          </w:p>
          <w:p w14:paraId="30DDBA1B">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（1）响应人自有运输车辆：提供危险废物运输车辆的《中华人民共和国道路运输证》(业户名称应为响应人的，经营范围包含危险货物运输)或《道路危险货物运输许可证》复印件；</w:t>
            </w:r>
          </w:p>
          <w:p w14:paraId="4ED6CAE0">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（2）响应人租赁运输车辆：提供危险废物运输车辆的《中华人民共和国道路运输证》(经营范围包含危险货物运输)或《道路危险货物运输许可证》复印件和有效期内的车辆租赁合同复印件；</w:t>
            </w:r>
          </w:p>
          <w:p w14:paraId="757B0CF7">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（3）响应人合作运输单位自有运输车辆：提供危险废物运输车辆的《中华人民共和国道路运输证》(业户名称应为响应人合作运输单位的，经营范围包含危险货物运输)或《道路危险货物运输许可证》复印件；</w:t>
            </w:r>
          </w:p>
          <w:p w14:paraId="01B06F00">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（4）响应人合作运输单位租赁运输车辆：提供危险废物运输车辆的《中华人民共和国道路运输证》(经营范围包含危险货物运输)或《道路危险货物运输许可证》复印件和有效期内的车辆租赁合同复印件。</w:t>
            </w:r>
          </w:p>
        </w:tc>
        <w:tc>
          <w:tcPr>
            <w:tcW w:w="2034" w:type="dxa"/>
            <w:vAlign w:val="center"/>
          </w:tcPr>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符合以上要求的运输车辆每台得2分，最多6分，不满足要求的不予认定给分。如此处提供的响应人合作运输单位相关资料与资格审查中的合作运输单位不吻合，则该证明材料无效，不予得分。</w:t>
            </w:r>
          </w:p>
        </w:tc>
        <w:tc>
          <w:tcPr>
            <w:tcW w:w="1510" w:type="dxa"/>
            <w:vAlign w:val="center"/>
          </w:tcPr>
          <w:p w14:paraId="28CF6A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ADB0FF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EDE023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42D19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02CB411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069" w:type="dxa"/>
            <w:vAlign w:val="center"/>
          </w:tcPr>
          <w:p w14:paraId="7A7A8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highlight w:val="none"/>
              </w:rPr>
              <w:t>响应人具有危险废物智能收集管理/危险废物贮存管理/危险废物运输管理等与本项目相关的系统软件著作权登记证书或者软著使用权证明材料，有1项得2分，最多得2分。</w:t>
            </w:r>
          </w:p>
        </w:tc>
        <w:tc>
          <w:tcPr>
            <w:tcW w:w="2034" w:type="dxa"/>
            <w:vAlign w:val="center"/>
          </w:tcPr>
          <w:p w14:paraId="5FFCA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000000"/>
                <w:sz w:val="18"/>
                <w:szCs w:val="18"/>
                <w:highlight w:val="none"/>
              </w:rPr>
              <w:t>注：提供有效期内的证书复印件，并加盖公章，未提供不得分。</w:t>
            </w:r>
          </w:p>
        </w:tc>
        <w:tc>
          <w:tcPr>
            <w:tcW w:w="1510" w:type="dxa"/>
            <w:vAlign w:val="center"/>
          </w:tcPr>
          <w:p w14:paraId="7511BAB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9BCB4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3C747AF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73DD1F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7257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F8418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3893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50182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95D91CC">
      <w:pPr>
        <w:pStyle w:val="21"/>
        <w:rPr>
          <w:rFonts w:hint="eastAsia"/>
          <w:highlight w:val="none"/>
          <w:lang w:eastAsia="zh-CN"/>
        </w:rPr>
      </w:pPr>
    </w:p>
    <w:p w14:paraId="295A5F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2559F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485CF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32689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EBB6D2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C159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4"/>
        <w:jc w:val="center"/>
        <w:rPr>
          <w:rFonts w:hint="eastAsia" w:ascii="宋体" w:hAnsi="宋体" w:eastAsia="宋体" w:cs="宋体"/>
          <w:b/>
          <w:bCs w:val="0"/>
          <w:sz w:val="32"/>
          <w:szCs w:val="32"/>
          <w:highlight w:val="none"/>
          <w:lang w:val="en-US" w:eastAsia="zh-CN"/>
        </w:rPr>
      </w:pPr>
    </w:p>
    <w:p w14:paraId="3113D7CD">
      <w:pPr>
        <w:pStyle w:val="24"/>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4"/>
        <w:rPr>
          <w:rFonts w:hint="eastAsia" w:ascii="宋体" w:hAnsi="宋体" w:eastAsia="宋体" w:cs="宋体"/>
          <w:b/>
          <w:bCs w:val="0"/>
          <w:sz w:val="32"/>
          <w:szCs w:val="32"/>
          <w:highlight w:val="none"/>
          <w:lang w:val="en-US" w:eastAsia="zh-CN"/>
        </w:rPr>
      </w:pPr>
    </w:p>
    <w:p w14:paraId="0A8ECA02">
      <w:pPr>
        <w:pStyle w:val="24"/>
        <w:jc w:val="center"/>
        <w:rPr>
          <w:rFonts w:hint="eastAsia" w:ascii="宋体" w:hAnsi="宋体" w:eastAsia="宋体" w:cs="宋体"/>
          <w:b/>
          <w:bCs w:val="0"/>
          <w:sz w:val="32"/>
          <w:szCs w:val="32"/>
          <w:highlight w:val="none"/>
          <w:lang w:val="en-US" w:eastAsia="zh-CN"/>
        </w:rPr>
      </w:pPr>
    </w:p>
    <w:p w14:paraId="10AA99AD">
      <w:pPr>
        <w:pStyle w:val="24"/>
        <w:jc w:val="center"/>
        <w:rPr>
          <w:rFonts w:hint="eastAsia" w:ascii="宋体" w:hAnsi="宋体" w:eastAsia="宋体" w:cs="宋体"/>
          <w:b/>
          <w:bCs w:val="0"/>
          <w:sz w:val="32"/>
          <w:szCs w:val="32"/>
          <w:highlight w:val="none"/>
          <w:lang w:val="en-US" w:eastAsia="zh-CN"/>
        </w:rPr>
      </w:pPr>
    </w:p>
    <w:p w14:paraId="670B031C">
      <w:pPr>
        <w:pStyle w:val="24"/>
        <w:jc w:val="center"/>
        <w:rPr>
          <w:rFonts w:hint="eastAsia" w:ascii="宋体" w:hAnsi="宋体" w:eastAsia="宋体" w:cs="宋体"/>
          <w:b/>
          <w:bCs w:val="0"/>
          <w:sz w:val="32"/>
          <w:szCs w:val="32"/>
          <w:highlight w:val="none"/>
          <w:lang w:val="en-US" w:eastAsia="zh-CN"/>
        </w:rPr>
      </w:pPr>
    </w:p>
    <w:p w14:paraId="0FBDBB4C">
      <w:pPr>
        <w:pStyle w:val="24"/>
        <w:jc w:val="center"/>
        <w:rPr>
          <w:rFonts w:hint="eastAsia" w:ascii="宋体" w:hAnsi="宋体" w:eastAsia="宋体" w:cs="宋体"/>
          <w:b/>
          <w:bCs w:val="0"/>
          <w:sz w:val="32"/>
          <w:szCs w:val="32"/>
          <w:highlight w:val="none"/>
          <w:lang w:val="en-US" w:eastAsia="zh-CN"/>
        </w:rPr>
      </w:pPr>
    </w:p>
    <w:p w14:paraId="6DED8C5D">
      <w:pPr>
        <w:pStyle w:val="24"/>
        <w:jc w:val="center"/>
        <w:rPr>
          <w:rFonts w:hint="eastAsia" w:ascii="宋体" w:hAnsi="宋体" w:eastAsia="宋体" w:cs="宋体"/>
          <w:b/>
          <w:bCs w:val="0"/>
          <w:sz w:val="32"/>
          <w:szCs w:val="32"/>
          <w:highlight w:val="none"/>
          <w:lang w:val="en-US" w:eastAsia="zh-CN"/>
        </w:rPr>
      </w:pPr>
    </w:p>
    <w:p w14:paraId="4CCD971A">
      <w:pPr>
        <w:pStyle w:val="24"/>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24"/>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4"/>
        <w:rPr>
          <w:rFonts w:hint="eastAsia" w:ascii="仿宋" w:hAnsi="仿宋" w:eastAsia="仿宋" w:cs="仿宋"/>
          <w:highlight w:val="none"/>
        </w:rPr>
      </w:pPr>
    </w:p>
    <w:p w14:paraId="07CF9398">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4"/>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6"/>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28"/>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28"/>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28"/>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0ABA48D4">
            <w:pPr>
              <w:pStyle w:val="28"/>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28"/>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F49320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B258F4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FD82ECF">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A0AB421">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EA5BE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439D3A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3B8D50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4"/>
        <w:numPr>
          <w:ilvl w:val="0"/>
          <w:numId w:val="0"/>
        </w:numPr>
        <w:jc w:val="both"/>
        <w:rPr>
          <w:rFonts w:hint="eastAsia" w:ascii="仿宋" w:hAnsi="仿宋" w:eastAsia="仿宋" w:cs="仿宋"/>
          <w:b/>
          <w:bCs w:val="0"/>
          <w:sz w:val="32"/>
          <w:szCs w:val="32"/>
          <w:highlight w:val="none"/>
          <w:lang w:val="en-US" w:eastAsia="zh-CN"/>
        </w:rPr>
      </w:pPr>
    </w:p>
    <w:p w14:paraId="77430D0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4、用户评价情况</w:t>
      </w:r>
      <w:r>
        <w:rPr>
          <w:rFonts w:hint="eastAsia" w:ascii="仿宋" w:hAnsi="仿宋" w:eastAsia="仿宋" w:cs="仿宋"/>
          <w:b/>
          <w:bCs w:val="0"/>
          <w:sz w:val="22"/>
          <w:szCs w:val="22"/>
          <w:highlight w:val="none"/>
          <w:lang w:val="en-US" w:eastAsia="zh-CN"/>
        </w:rPr>
        <w:t>（如有）</w:t>
      </w:r>
    </w:p>
    <w:p w14:paraId="3FEECD60">
      <w:pPr>
        <w:pStyle w:val="24"/>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29C651C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5、项目团队</w:t>
      </w:r>
      <w:r>
        <w:rPr>
          <w:rFonts w:hint="eastAsia" w:ascii="仿宋" w:hAnsi="仿宋" w:eastAsia="仿宋" w:cs="仿宋"/>
          <w:b/>
          <w:bCs w:val="0"/>
          <w:sz w:val="22"/>
          <w:szCs w:val="22"/>
          <w:highlight w:val="none"/>
          <w:lang w:val="en-US" w:eastAsia="zh-CN"/>
        </w:rPr>
        <w:t>（如有）</w:t>
      </w:r>
    </w:p>
    <w:p w14:paraId="7EEF13B4">
      <w:pPr>
        <w:pStyle w:val="5"/>
        <w:spacing w:line="240" w:lineRule="auto"/>
        <w:ind w:right="706" w:rightChars="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w:t>
      </w:r>
      <w:r>
        <w:rPr>
          <w:rFonts w:hint="eastAsia" w:ascii="仿宋" w:hAnsi="仿宋" w:eastAsia="仿宋" w:cs="仿宋"/>
          <w:highlight w:val="none"/>
        </w:rPr>
        <w:t>危险废物处置服务采购项目</w:t>
      </w:r>
    </w:p>
    <w:tbl>
      <w:tblPr>
        <w:tblStyle w:val="16"/>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30"/>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运输人员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押运人员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bl>
    <w:p w14:paraId="4888154D">
      <w:pPr>
        <w:pStyle w:val="24"/>
        <w:ind w:left="0" w:leftChars="0" w:firstLine="0" w:firstLineChars="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186D7645">
      <w:pPr>
        <w:pStyle w:val="24"/>
        <w:ind w:left="0" w:leftChars="0" w:firstLine="400" w:firstLineChars="200"/>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须提供以上相关人员有效期内的资格证书复印件（其中，运输人员提供有效期内的危险品准驾证，押运员提供有效期内的危险品押运证）及2025年1月以来任意一个月的响应人（如为运输人员或押运人员的，也可提供响应人合作运输单位）为其缴纳的社保证明材料复印件，缺一不可。如此处提供的响应人合作运输单位相关资料与资格审查中的合作运输单位不吻合，则该证明材料无效，不予得分。</w:t>
      </w:r>
    </w:p>
    <w:p w14:paraId="76151BB9">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16"/>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28"/>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28"/>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28"/>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28"/>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28"/>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28"/>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28"/>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29E0D16">
      <w:pPr>
        <w:pStyle w:val="21"/>
        <w:rPr>
          <w:rFonts w:hint="eastAsia"/>
          <w:highlight w:val="none"/>
          <w:lang w:val="en-US" w:eastAsia="zh-CN"/>
        </w:rPr>
      </w:pPr>
    </w:p>
    <w:p w14:paraId="653B518F">
      <w:pPr>
        <w:pStyle w:val="21"/>
        <w:rPr>
          <w:rFonts w:hint="eastAsia"/>
          <w:highlight w:val="none"/>
          <w:lang w:val="en-US" w:eastAsia="zh-CN"/>
        </w:rPr>
      </w:pPr>
    </w:p>
    <w:p w14:paraId="6823A151">
      <w:pPr>
        <w:pStyle w:val="24"/>
        <w:numPr>
          <w:ilvl w:val="0"/>
          <w:numId w:val="0"/>
        </w:numPr>
        <w:ind w:left="420"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kern w:val="2"/>
          <w:sz w:val="32"/>
          <w:szCs w:val="32"/>
          <w:highlight w:val="none"/>
          <w:lang w:val="en-US" w:eastAsia="zh-CN" w:bidi="ar-SA"/>
        </w:rPr>
        <w:t>7、</w:t>
      </w:r>
      <w:r>
        <w:rPr>
          <w:rFonts w:hint="eastAsia" w:ascii="仿宋" w:hAnsi="仿宋" w:eastAsia="仿宋" w:cs="仿宋"/>
          <w:b/>
          <w:bCs w:val="0"/>
          <w:sz w:val="32"/>
          <w:szCs w:val="32"/>
          <w:highlight w:val="none"/>
          <w:lang w:val="en-US" w:eastAsia="zh-CN"/>
        </w:rPr>
        <w:t>信息化水平评价</w:t>
      </w:r>
      <w:r>
        <w:rPr>
          <w:rFonts w:hint="eastAsia" w:ascii="仿宋" w:hAnsi="仿宋" w:eastAsia="仿宋" w:cs="仿宋"/>
          <w:b/>
          <w:bCs w:val="0"/>
          <w:sz w:val="22"/>
          <w:szCs w:val="22"/>
          <w:highlight w:val="none"/>
          <w:lang w:val="en-US" w:eastAsia="zh-CN"/>
        </w:rPr>
        <w:t>（如有）</w:t>
      </w:r>
    </w:p>
    <w:tbl>
      <w:tblPr>
        <w:tblStyle w:val="16"/>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1818"/>
        <w:gridCol w:w="2484"/>
      </w:tblGrid>
      <w:tr w14:paraId="6C6B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14:paraId="2D20B015">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409" w:type="dxa"/>
          </w:tcPr>
          <w:p w14:paraId="0E5293F9">
            <w:pPr>
              <w:keepNext w:val="0"/>
              <w:keepLines w:val="0"/>
              <w:widowControl w:val="0"/>
              <w:suppressLineNumbers w:val="0"/>
              <w:spacing w:before="81" w:beforeAutospacing="0" w:after="0" w:afterAutospacing="0"/>
              <w:ind w:left="724" w:right="0"/>
              <w:jc w:val="both"/>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软件名称</w:t>
            </w:r>
          </w:p>
        </w:tc>
        <w:tc>
          <w:tcPr>
            <w:tcW w:w="1818" w:type="dxa"/>
          </w:tcPr>
          <w:p w14:paraId="49B09B32">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登记号</w:t>
            </w:r>
          </w:p>
        </w:tc>
        <w:tc>
          <w:tcPr>
            <w:tcW w:w="2484" w:type="dxa"/>
          </w:tcPr>
          <w:p w14:paraId="74DA7584">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著作权人</w:t>
            </w:r>
          </w:p>
        </w:tc>
      </w:tr>
      <w:tr w14:paraId="7C06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5FBC4537">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14:paraId="6079A9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28A42BD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326EE051">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r w14:paraId="06C9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238B093E">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14:paraId="4F6D328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586836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19621163">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14:paraId="09D0DC45">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3798586C">
      <w:pPr>
        <w:numPr>
          <w:ilvl w:val="0"/>
          <w:numId w:val="15"/>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w:t>
      </w:r>
      <w:r>
        <w:rPr>
          <w:rFonts w:hint="eastAsia" w:ascii="仿宋" w:hAnsi="仿宋" w:eastAsia="仿宋" w:cs="仿宋"/>
          <w:b/>
          <w:bCs/>
          <w:color w:val="0000FF"/>
          <w:sz w:val="20"/>
          <w:szCs w:val="20"/>
          <w:highlight w:val="none"/>
        </w:rPr>
        <w:t>如有不适合供应商的实际情况，可根据自行划表填写</w:t>
      </w:r>
      <w:r>
        <w:rPr>
          <w:rFonts w:hint="eastAsia" w:ascii="仿宋" w:hAnsi="仿宋" w:eastAsia="仿宋" w:cs="仿宋"/>
          <w:sz w:val="20"/>
          <w:szCs w:val="20"/>
          <w:highlight w:val="none"/>
        </w:rPr>
        <w:t>。</w:t>
      </w:r>
    </w:p>
    <w:p w14:paraId="229A2C60">
      <w:pPr>
        <w:numPr>
          <w:ilvl w:val="0"/>
          <w:numId w:val="15"/>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提供有效期内的证书复印件，并加盖公章，未提供不得分。</w:t>
      </w:r>
    </w:p>
    <w:p w14:paraId="6EB5ED2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0C8C6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8447D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48E50F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A5F33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AADAC4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69D2A826">
      <w:pPr>
        <w:pStyle w:val="21"/>
        <w:rPr>
          <w:rFonts w:hint="eastAsia" w:ascii="仿宋" w:hAnsi="仿宋" w:eastAsia="仿宋" w:cs="仿宋"/>
          <w:color w:val="auto"/>
          <w:sz w:val="24"/>
          <w:szCs w:val="24"/>
          <w:highlight w:val="none"/>
        </w:rPr>
      </w:pPr>
    </w:p>
    <w:p w14:paraId="691A4D9A">
      <w:pPr>
        <w:pStyle w:val="21"/>
        <w:rPr>
          <w:rFonts w:hint="eastAsia" w:ascii="仿宋" w:hAnsi="仿宋" w:eastAsia="仿宋" w:cs="仿宋"/>
          <w:color w:val="auto"/>
          <w:sz w:val="24"/>
          <w:szCs w:val="24"/>
          <w:highlight w:val="none"/>
        </w:rPr>
      </w:pPr>
    </w:p>
    <w:p w14:paraId="3D7B5D8B">
      <w:pPr>
        <w:pStyle w:val="21"/>
        <w:rPr>
          <w:rFonts w:hint="eastAsia" w:ascii="仿宋" w:hAnsi="仿宋" w:eastAsia="仿宋" w:cs="仿宋"/>
          <w:color w:val="auto"/>
          <w:sz w:val="24"/>
          <w:szCs w:val="24"/>
          <w:highlight w:val="none"/>
        </w:rPr>
      </w:pPr>
    </w:p>
    <w:p w14:paraId="01B6FB82">
      <w:pPr>
        <w:pStyle w:val="21"/>
        <w:rPr>
          <w:rFonts w:hint="eastAsia" w:ascii="仿宋" w:hAnsi="仿宋" w:eastAsia="仿宋" w:cs="仿宋"/>
          <w:color w:val="auto"/>
          <w:sz w:val="24"/>
          <w:szCs w:val="24"/>
          <w:highlight w:val="none"/>
        </w:rPr>
      </w:pPr>
    </w:p>
    <w:p w14:paraId="07EA47E4">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8、拟投入本项目的危险废物运输车辆</w:t>
      </w:r>
      <w:r>
        <w:rPr>
          <w:rFonts w:hint="eastAsia" w:ascii="仿宋" w:hAnsi="仿宋" w:eastAsia="仿宋" w:cs="仿宋"/>
          <w:b/>
          <w:bCs w:val="0"/>
          <w:sz w:val="22"/>
          <w:szCs w:val="22"/>
          <w:highlight w:val="none"/>
          <w:lang w:val="en-US" w:eastAsia="zh-CN"/>
        </w:rPr>
        <w:t>（如有）</w:t>
      </w:r>
    </w:p>
    <w:p w14:paraId="0E71DE50">
      <w:pPr>
        <w:pStyle w:val="5"/>
        <w:spacing w:line="364" w:lineRule="auto"/>
        <w:ind w:right="706" w:rightChars="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w:t>
      </w:r>
      <w:r>
        <w:rPr>
          <w:rFonts w:hint="eastAsia" w:ascii="仿宋" w:hAnsi="仿宋" w:eastAsia="仿宋" w:cs="仿宋"/>
          <w:highlight w:val="none"/>
        </w:rPr>
        <w:t>危险废物处置服务采购项目</w:t>
      </w:r>
    </w:p>
    <w:tbl>
      <w:tblPr>
        <w:tblStyle w:val="16"/>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03D5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538015DB">
            <w:pPr>
              <w:pStyle w:val="28"/>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0A00DD1A">
            <w:pPr>
              <w:pStyle w:val="28"/>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D6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69805E62">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响应人自有的危险废物运输专用车辆</w:t>
            </w:r>
          </w:p>
        </w:tc>
        <w:tc>
          <w:tcPr>
            <w:tcW w:w="3157" w:type="dxa"/>
            <w:vAlign w:val="top"/>
          </w:tcPr>
          <w:p w14:paraId="1BA36936">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9EB8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2E3AA7B">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响应人租赁的危险废物运输专用车辆</w:t>
            </w:r>
          </w:p>
        </w:tc>
        <w:tc>
          <w:tcPr>
            <w:tcW w:w="3157" w:type="dxa"/>
            <w:vAlign w:val="top"/>
          </w:tcPr>
          <w:p w14:paraId="77AEAAAE">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0682BC84">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3FC2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6D4C353E">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响应人合作运输单位的自有运输车辆</w:t>
            </w:r>
          </w:p>
        </w:tc>
        <w:tc>
          <w:tcPr>
            <w:tcW w:w="3157" w:type="dxa"/>
            <w:vAlign w:val="top"/>
          </w:tcPr>
          <w:p w14:paraId="2F19AF9C">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1A46C5D4">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27D6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68A0F52">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响应人合作运输单位的租赁运输车辆</w:t>
            </w:r>
          </w:p>
        </w:tc>
        <w:tc>
          <w:tcPr>
            <w:tcW w:w="3157" w:type="dxa"/>
            <w:vAlign w:val="top"/>
          </w:tcPr>
          <w:p w14:paraId="2B1AD693">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7858D466">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468E8C0B">
      <w:pPr>
        <w:jc w:val="both"/>
        <w:rPr>
          <w:rFonts w:hint="eastAsia" w:ascii="仿宋" w:hAnsi="仿宋" w:eastAsia="仿宋" w:cs="仿宋"/>
          <w:sz w:val="20"/>
          <w:szCs w:val="20"/>
          <w:highlight w:val="none"/>
        </w:rPr>
      </w:pPr>
    </w:p>
    <w:p w14:paraId="619FB660">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6"/>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6"/>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提供有效期内的证书复印件，并加盖公章，未提供不得分。</w:t>
      </w:r>
    </w:p>
    <w:p w14:paraId="51663B27">
      <w:pPr>
        <w:numPr>
          <w:ilvl w:val="0"/>
          <w:numId w:val="16"/>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如此处提供的响应人合作运输单位相关资料与资格审查中的合作运输单位不吻合，则该证明材料无效，不予得分。</w:t>
      </w:r>
    </w:p>
    <w:p w14:paraId="5396978B">
      <w:pPr>
        <w:pStyle w:val="24"/>
        <w:jc w:val="center"/>
        <w:rPr>
          <w:rFonts w:hint="eastAsia" w:ascii="宋体" w:hAnsi="宋体" w:cs="宋体"/>
          <w:b/>
          <w:bCs w:val="0"/>
          <w:sz w:val="32"/>
          <w:szCs w:val="32"/>
          <w:highlight w:val="none"/>
          <w:lang w:val="en-US" w:eastAsia="zh-CN"/>
        </w:rPr>
      </w:pPr>
    </w:p>
    <w:p w14:paraId="3EE038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3F2FF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4568B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227A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0E3C2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00131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72EBF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06E5B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482BD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16"/>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14:textFill>
                  <w14:solidFill>
                    <w14:schemeClr w14:val="tx1"/>
                  </w14:solidFill>
                </w14:textFill>
              </w:rPr>
              <w:t>危险废物处置方案</w:t>
            </w:r>
          </w:p>
        </w:tc>
        <w:tc>
          <w:tcPr>
            <w:tcW w:w="5221" w:type="dxa"/>
            <w:vAlign w:val="top"/>
          </w:tcPr>
          <w:p w14:paraId="27E6E1B9">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人针对本项目特点提供的危险废物处置方案进行评审，包括以下方面：</w:t>
            </w:r>
          </w:p>
          <w:p w14:paraId="34930E91">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①危险废物</w:t>
            </w:r>
            <w:r>
              <w:rPr>
                <w:rFonts w:hint="eastAsia" w:ascii="仿宋" w:hAnsi="仿宋" w:eastAsia="仿宋" w:cs="仿宋"/>
                <w:color w:val="000000"/>
                <w:szCs w:val="21"/>
                <w:highlight w:val="none"/>
                <w:lang w:val="en-US" w:eastAsia="zh-CN"/>
              </w:rPr>
              <w:t>清运处置</w:t>
            </w:r>
            <w:r>
              <w:rPr>
                <w:rFonts w:hint="eastAsia" w:ascii="仿宋" w:hAnsi="仿宋" w:eastAsia="仿宋" w:cs="仿宋"/>
                <w:color w:val="000000"/>
                <w:szCs w:val="21"/>
                <w:highlight w:val="none"/>
              </w:rPr>
              <w:t>主要管理制度</w:t>
            </w:r>
            <w:r>
              <w:rPr>
                <w:rFonts w:hint="eastAsia" w:ascii="仿宋" w:hAnsi="仿宋" w:eastAsia="仿宋" w:cs="仿宋"/>
                <w:color w:val="000000"/>
                <w:szCs w:val="21"/>
                <w:highlight w:val="none"/>
                <w:lang w:eastAsia="zh-CN"/>
              </w:rPr>
              <w:t>；</w:t>
            </w:r>
          </w:p>
          <w:p w14:paraId="420FF887">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②危险废物处置工艺</w:t>
            </w:r>
            <w:r>
              <w:rPr>
                <w:rFonts w:hint="eastAsia" w:ascii="仿宋" w:hAnsi="仿宋" w:eastAsia="仿宋" w:cs="仿宋"/>
                <w:color w:val="000000"/>
                <w:szCs w:val="21"/>
                <w:highlight w:val="none"/>
                <w:lang w:eastAsia="zh-CN"/>
              </w:rPr>
              <w:t>；</w:t>
            </w:r>
          </w:p>
          <w:p w14:paraId="704567FA">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③项目处置质量管理措施</w:t>
            </w:r>
            <w:r>
              <w:rPr>
                <w:rFonts w:hint="eastAsia" w:ascii="仿宋" w:hAnsi="仿宋" w:eastAsia="仿宋" w:cs="仿宋"/>
                <w:color w:val="000000"/>
                <w:szCs w:val="21"/>
                <w:highlight w:val="none"/>
                <w:lang w:eastAsia="zh-CN"/>
              </w:rPr>
              <w:t>；</w:t>
            </w:r>
          </w:p>
          <w:p w14:paraId="632BDFD9">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④项目处置安全文明措施</w:t>
            </w:r>
            <w:r>
              <w:rPr>
                <w:rFonts w:hint="eastAsia" w:ascii="仿宋" w:hAnsi="仿宋" w:eastAsia="仿宋" w:cs="仿宋"/>
                <w:color w:val="000000"/>
                <w:szCs w:val="21"/>
                <w:highlight w:val="none"/>
                <w:lang w:eastAsia="zh-CN"/>
              </w:rPr>
              <w:t>。</w:t>
            </w:r>
          </w:p>
          <w:p w14:paraId="4613DF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2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highlight w:val="none"/>
              </w:rPr>
              <w:t>服务方案</w:t>
            </w:r>
          </w:p>
        </w:tc>
        <w:tc>
          <w:tcPr>
            <w:tcW w:w="5221" w:type="dxa"/>
            <w:vAlign w:val="center"/>
          </w:tcPr>
          <w:p w14:paraId="0764E08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人针对本项目特点提供的服务方案进行评审，包括以下方面：</w:t>
            </w:r>
          </w:p>
          <w:p w14:paraId="573049CE">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①作业设备</w:t>
            </w:r>
            <w:r>
              <w:rPr>
                <w:rFonts w:hint="eastAsia" w:ascii="仿宋" w:hAnsi="仿宋" w:eastAsia="仿宋" w:cs="仿宋"/>
                <w:color w:val="000000"/>
                <w:szCs w:val="21"/>
                <w:highlight w:val="none"/>
                <w:lang w:val="en-US" w:eastAsia="zh-CN"/>
              </w:rPr>
              <w:t>和运输</w:t>
            </w:r>
            <w:r>
              <w:rPr>
                <w:rFonts w:hint="eastAsia" w:ascii="仿宋" w:hAnsi="仿宋" w:eastAsia="仿宋" w:cs="仿宋"/>
                <w:color w:val="000000"/>
                <w:szCs w:val="21"/>
                <w:highlight w:val="none"/>
              </w:rPr>
              <w:t>管理</w:t>
            </w:r>
            <w:r>
              <w:rPr>
                <w:rFonts w:hint="eastAsia" w:ascii="仿宋" w:hAnsi="仿宋" w:eastAsia="仿宋" w:cs="仿宋"/>
                <w:color w:val="000000"/>
                <w:szCs w:val="21"/>
                <w:highlight w:val="none"/>
                <w:lang w:eastAsia="zh-CN"/>
              </w:rPr>
              <w:t>；</w:t>
            </w:r>
          </w:p>
          <w:p w14:paraId="31AD1B5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②现场清运的技术保障方案</w:t>
            </w:r>
            <w:r>
              <w:rPr>
                <w:rFonts w:hint="eastAsia" w:ascii="仿宋" w:hAnsi="仿宋" w:eastAsia="仿宋" w:cs="仿宋"/>
                <w:color w:val="000000"/>
                <w:szCs w:val="21"/>
                <w:highlight w:val="none"/>
                <w:lang w:val="en-US" w:eastAsia="zh-CN"/>
              </w:rPr>
              <w:t>；</w:t>
            </w:r>
          </w:p>
          <w:p w14:paraId="2BBDDD2F">
            <w:pPr>
              <w:pStyle w:val="4"/>
              <w:keepNext w:val="0"/>
              <w:keepLines w:val="0"/>
              <w:suppressLineNumbers w:val="0"/>
              <w:spacing w:before="0" w:beforeAutospacing="0" w:after="0" w:afterAutospacing="0"/>
              <w:ind w:left="0" w:right="0" w:firstLine="0" w:firstLineChars="0"/>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③紧急情况下危废清运处置的响应方案；</w:t>
            </w:r>
          </w:p>
          <w:p w14:paraId="7A5908A4">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④</w:t>
            </w:r>
            <w:r>
              <w:rPr>
                <w:rFonts w:hint="eastAsia" w:ascii="仿宋" w:hAnsi="仿宋" w:eastAsia="仿宋" w:cs="仿宋"/>
                <w:color w:val="000000"/>
                <w:szCs w:val="21"/>
                <w:highlight w:val="none"/>
              </w:rPr>
              <w:t>污染事故、泄漏事故</w:t>
            </w:r>
            <w:r>
              <w:rPr>
                <w:rFonts w:hint="eastAsia" w:ascii="仿宋" w:hAnsi="仿宋" w:eastAsia="仿宋" w:cs="仿宋"/>
                <w:color w:val="000000"/>
                <w:szCs w:val="21"/>
                <w:highlight w:val="none"/>
                <w:lang w:val="en-US" w:eastAsia="zh-CN"/>
              </w:rPr>
              <w:t>的处理方案</w:t>
            </w:r>
            <w:r>
              <w:rPr>
                <w:rFonts w:hint="eastAsia" w:ascii="仿宋" w:hAnsi="仿宋" w:eastAsia="仿宋" w:cs="仿宋"/>
                <w:color w:val="000000"/>
                <w:szCs w:val="21"/>
                <w:highlight w:val="none"/>
              </w:rPr>
              <w:t>（包括过程中发生危废泄露、环境污染或人员伤害等）</w:t>
            </w:r>
            <w:r>
              <w:rPr>
                <w:rFonts w:hint="eastAsia" w:ascii="仿宋" w:hAnsi="仿宋" w:eastAsia="仿宋" w:cs="仿宋"/>
                <w:color w:val="000000"/>
                <w:szCs w:val="21"/>
                <w:highlight w:val="none"/>
                <w:lang w:eastAsia="zh-CN"/>
              </w:rPr>
              <w:t>。</w:t>
            </w:r>
          </w:p>
          <w:p w14:paraId="7770B1C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6610D61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1、危险废物处置方案</w:t>
      </w:r>
      <w:r>
        <w:rPr>
          <w:rFonts w:hint="eastAsia" w:ascii="仿宋" w:hAnsi="仿宋" w:eastAsia="仿宋" w:cs="仿宋"/>
          <w:b/>
          <w:bCs w:val="0"/>
          <w:sz w:val="22"/>
          <w:szCs w:val="22"/>
          <w:highlight w:val="none"/>
          <w:lang w:val="en-US" w:eastAsia="zh-CN"/>
        </w:rPr>
        <w:t>（如有）</w:t>
      </w:r>
    </w:p>
    <w:p w14:paraId="366576DF">
      <w:pPr>
        <w:pStyle w:val="2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2FCF2B7B">
      <w:pPr>
        <w:pStyle w:val="21"/>
        <w:rPr>
          <w:rFonts w:hint="eastAsia" w:ascii="仿宋" w:hAnsi="仿宋" w:eastAsia="仿宋" w:cs="仿宋"/>
          <w:sz w:val="21"/>
          <w:szCs w:val="21"/>
          <w:highlight w:val="none"/>
        </w:rPr>
      </w:pPr>
    </w:p>
    <w:p w14:paraId="7160EE59">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079AD1B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①危险废物清运处置主要管理制度；</w:t>
      </w:r>
    </w:p>
    <w:p w14:paraId="531EBF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②危险废物处置工艺；</w:t>
      </w:r>
    </w:p>
    <w:p w14:paraId="701CEB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③项目处置质量管理措施；</w:t>
      </w:r>
    </w:p>
    <w:p w14:paraId="4DC225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1"/>
          <w:szCs w:val="21"/>
          <w:highlight w:val="none"/>
        </w:rPr>
        <w:t>④项目处置安全文明措施。</w:t>
      </w:r>
    </w:p>
    <w:p w14:paraId="0330C6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9F31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0F7E3B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129DD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136DEF4">
      <w:pPr>
        <w:pStyle w:val="21"/>
        <w:rPr>
          <w:rFonts w:hint="default" w:ascii="宋体" w:hAnsi="宋体" w:cs="宋体"/>
          <w:color w:val="auto"/>
          <w:sz w:val="24"/>
          <w:highlight w:val="none"/>
          <w:lang w:val="en-US" w:eastAsia="zh-CN"/>
        </w:rPr>
      </w:pPr>
    </w:p>
    <w:p w14:paraId="521C3257">
      <w:pPr>
        <w:pStyle w:val="21"/>
        <w:rPr>
          <w:rFonts w:hint="default" w:ascii="宋体" w:hAnsi="宋体" w:cs="宋体"/>
          <w:color w:val="auto"/>
          <w:sz w:val="24"/>
          <w:highlight w:val="none"/>
          <w:lang w:val="en-US" w:eastAsia="zh-CN"/>
        </w:rPr>
      </w:pPr>
    </w:p>
    <w:p w14:paraId="37A654AB">
      <w:pPr>
        <w:pStyle w:val="21"/>
        <w:rPr>
          <w:rFonts w:hint="default" w:ascii="宋体" w:hAnsi="宋体" w:cs="宋体"/>
          <w:color w:val="auto"/>
          <w:sz w:val="24"/>
          <w:highlight w:val="none"/>
          <w:lang w:val="en-US" w:eastAsia="zh-CN"/>
        </w:rPr>
      </w:pPr>
    </w:p>
    <w:p w14:paraId="5F30D1DD">
      <w:pPr>
        <w:pStyle w:val="21"/>
        <w:rPr>
          <w:rFonts w:hint="default" w:ascii="宋体" w:hAnsi="宋体" w:cs="宋体"/>
          <w:color w:val="auto"/>
          <w:sz w:val="24"/>
          <w:highlight w:val="none"/>
          <w:lang w:val="en-US" w:eastAsia="zh-CN"/>
        </w:rPr>
      </w:pPr>
    </w:p>
    <w:p w14:paraId="6B42043F">
      <w:pPr>
        <w:pStyle w:val="21"/>
        <w:rPr>
          <w:rFonts w:hint="default" w:ascii="宋体" w:hAnsi="宋体" w:cs="宋体"/>
          <w:color w:val="auto"/>
          <w:sz w:val="24"/>
          <w:highlight w:val="none"/>
          <w:lang w:val="en-US" w:eastAsia="zh-CN"/>
        </w:rPr>
      </w:pPr>
    </w:p>
    <w:p w14:paraId="725BC15C">
      <w:pPr>
        <w:pStyle w:val="21"/>
        <w:rPr>
          <w:rFonts w:hint="default" w:ascii="宋体" w:hAnsi="宋体" w:cs="宋体"/>
          <w:color w:val="auto"/>
          <w:sz w:val="24"/>
          <w:highlight w:val="none"/>
          <w:lang w:val="en-US" w:eastAsia="zh-CN"/>
        </w:rPr>
      </w:pPr>
    </w:p>
    <w:p w14:paraId="3D7A32DF">
      <w:pPr>
        <w:pStyle w:val="24"/>
        <w:jc w:val="center"/>
        <w:rPr>
          <w:rFonts w:hint="eastAsia" w:ascii="仿宋" w:hAnsi="仿宋" w:eastAsia="仿宋" w:cs="仿宋"/>
          <w:b/>
          <w:bCs w:val="0"/>
          <w:sz w:val="32"/>
          <w:szCs w:val="32"/>
          <w:highlight w:val="none"/>
          <w:lang w:val="en-US" w:eastAsia="zh-CN"/>
        </w:rPr>
      </w:pPr>
    </w:p>
    <w:p w14:paraId="1791739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2、服务方案</w:t>
      </w:r>
      <w:r>
        <w:rPr>
          <w:rFonts w:hint="eastAsia" w:ascii="仿宋" w:hAnsi="仿宋" w:eastAsia="仿宋" w:cs="仿宋"/>
          <w:b/>
          <w:bCs w:val="0"/>
          <w:sz w:val="22"/>
          <w:szCs w:val="22"/>
          <w:highlight w:val="none"/>
          <w:lang w:val="en-US" w:eastAsia="zh-CN"/>
        </w:rPr>
        <w:t>（如有）</w:t>
      </w:r>
    </w:p>
    <w:p w14:paraId="0D659380">
      <w:pPr>
        <w:pStyle w:val="2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8160D4D">
      <w:pPr>
        <w:pStyle w:val="21"/>
        <w:rPr>
          <w:rFonts w:hint="eastAsia" w:ascii="仿宋" w:hAnsi="仿宋" w:eastAsia="仿宋" w:cs="仿宋"/>
          <w:sz w:val="21"/>
          <w:szCs w:val="21"/>
          <w:highlight w:val="none"/>
        </w:rPr>
      </w:pPr>
    </w:p>
    <w:p w14:paraId="107B572D">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555588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①作业设备和运输管理；</w:t>
      </w:r>
    </w:p>
    <w:p w14:paraId="68DA378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②现场清运的技术保障方案；</w:t>
      </w:r>
    </w:p>
    <w:p w14:paraId="7F4B2C7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③紧急情况下危废清运处置的响应方案；</w:t>
      </w:r>
    </w:p>
    <w:p w14:paraId="38A904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④污染事故、泄漏事故的处理方案（包括过程中发生危废泄露、环境污染或人员伤害等）。</w:t>
      </w:r>
    </w:p>
    <w:p w14:paraId="6882766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234CDE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C3FCE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FCF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8256F7B">
      <w:pPr>
        <w:rPr>
          <w:highlight w:val="none"/>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67E11B-16DD-4290-A185-4B1E5E4611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3FBED29-4473-46FC-A9E6-F2BDAD5281C3}"/>
  </w:font>
  <w:font w:name="微软雅黑">
    <w:panose1 w:val="020B0503020204020204"/>
    <w:charset w:val="86"/>
    <w:family w:val="auto"/>
    <w:pitch w:val="default"/>
    <w:sig w:usb0="80000287" w:usb1="2ACF3C50" w:usb2="00000016" w:usb3="00000000" w:csb0="0004001F" w:csb1="00000000"/>
    <w:embedRegular r:id="rId3" w:fontKey="{5BF456DC-82F1-424F-B1B8-5A218973D7E6}"/>
  </w:font>
  <w:font w:name="方正仿宋简体">
    <w:panose1 w:val="02000000000000000000"/>
    <w:charset w:val="86"/>
    <w:family w:val="auto"/>
    <w:pitch w:val="default"/>
    <w:sig w:usb0="A00002BF" w:usb1="184F6CFA" w:usb2="00000012" w:usb3="00000000" w:csb0="00040001" w:csb1="00000000"/>
    <w:embedRegular r:id="rId4" w:fontKey="{4238F124-67C3-429A-A2C0-883EF8B027F6}"/>
  </w:font>
  <w:font w:name="仿宋">
    <w:panose1 w:val="02010609060101010101"/>
    <w:charset w:val="86"/>
    <w:family w:val="auto"/>
    <w:pitch w:val="default"/>
    <w:sig w:usb0="800002BF" w:usb1="38CF7CFA" w:usb2="00000016" w:usb3="00000000" w:csb0="00040001" w:csb1="00000000"/>
    <w:embedRegular r:id="rId5" w:fontKey="{583802AA-F5A4-4594-B263-81B4BB08435A}"/>
  </w:font>
  <w:font w:name="华文中宋">
    <w:panose1 w:val="02010600040101010101"/>
    <w:charset w:val="86"/>
    <w:family w:val="auto"/>
    <w:pitch w:val="default"/>
    <w:sig w:usb0="00000287" w:usb1="080F0000" w:usb2="00000000" w:usb3="00000000" w:csb0="0004009F" w:csb1="DFD70000"/>
    <w:embedRegular r:id="rId6" w:fontKey="{7B3E9722-6298-4257-AAF5-22817FA03B03}"/>
  </w:font>
  <w:font w:name="华文仿宋">
    <w:panose1 w:val="02010600040101010101"/>
    <w:charset w:val="86"/>
    <w:family w:val="auto"/>
    <w:pitch w:val="default"/>
    <w:sig w:usb0="00000287" w:usb1="080F0000" w:usb2="00000000" w:usb3="00000000" w:csb0="0004009F" w:csb1="DFD70000"/>
    <w:embedRegular r:id="rId7" w:fontKey="{71F3F3BD-61AA-4F9F-BD63-72CF0408AE24}"/>
  </w:font>
  <w:font w:name="Tahoma">
    <w:panose1 w:val="020B0604030504040204"/>
    <w:charset w:val="00"/>
    <w:family w:val="auto"/>
    <w:pitch w:val="default"/>
    <w:sig w:usb0="E1002EFF" w:usb1="C000605B" w:usb2="00000029" w:usb3="00000000" w:csb0="200101FF" w:csb1="20280000"/>
    <w:embedRegular r:id="rId8" w:fontKey="{4116223E-BB54-45D7-B388-88C5941AC699}"/>
  </w:font>
  <w:font w:name="Calibri Light">
    <w:panose1 w:val="020F0302020204030204"/>
    <w:charset w:val="00"/>
    <w:family w:val="swiss"/>
    <w:pitch w:val="default"/>
    <w:sig w:usb0="E0002AFF" w:usb1="C000247B" w:usb2="00000009" w:usb3="00000000" w:csb0="200001FF" w:csb1="00000000"/>
    <w:embedRegular r:id="rId9" w:fontKey="{48756095-0C80-41E8-A73E-5E58AFCFDE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0"/>
      <w:rPr>
        <w:rFonts w:hint="eastAsia"/>
        <w:sz w:val="18"/>
        <w:szCs w:val="24"/>
      </w:rPr>
    </w:pPr>
  </w:p>
  <w:p w14:paraId="4B963839">
    <w:pPr>
      <w:pStyle w:val="1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1"/>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B5A93"/>
    <w:multiLevelType w:val="singleLevel"/>
    <w:tmpl w:val="C4FB5A93"/>
    <w:lvl w:ilvl="0" w:tentative="0">
      <w:start w:val="1"/>
      <w:numFmt w:val="decimal"/>
      <w:suff w:val="nothing"/>
      <w:lvlText w:val="%1．"/>
      <w:lvlJc w:val="left"/>
      <w:pPr>
        <w:ind w:left="0" w:firstLine="400"/>
      </w:pPr>
      <w:rPr>
        <w:rFonts w:hint="default"/>
      </w:rPr>
    </w:lvl>
  </w:abstractNum>
  <w:abstractNum w:abstractNumId="1">
    <w:nsid w:val="E46C62B0"/>
    <w:multiLevelType w:val="singleLevel"/>
    <w:tmpl w:val="E46C62B0"/>
    <w:lvl w:ilvl="0" w:tentative="0">
      <w:start w:val="1"/>
      <w:numFmt w:val="decimal"/>
      <w:suff w:val="nothing"/>
      <w:lvlText w:val="%1．"/>
      <w:lvlJc w:val="left"/>
      <w:pPr>
        <w:ind w:left="0" w:firstLine="400"/>
      </w:pPr>
      <w:rPr>
        <w:rFonts w:hint="default"/>
      </w:rPr>
    </w:lvl>
  </w:abstractNum>
  <w:abstractNum w:abstractNumId="2">
    <w:nsid w:val="FD7557E0"/>
    <w:multiLevelType w:val="singleLevel"/>
    <w:tmpl w:val="FD7557E0"/>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481AEBD5"/>
    <w:multiLevelType w:val="singleLevel"/>
    <w:tmpl w:val="481AEBD5"/>
    <w:lvl w:ilvl="0" w:tentative="0">
      <w:start w:val="1"/>
      <w:numFmt w:val="decimal"/>
      <w:suff w:val="nothing"/>
      <w:lvlText w:val="%1、"/>
      <w:lvlJc w:val="left"/>
    </w:lvl>
  </w:abstractNum>
  <w:abstractNum w:abstractNumId="14">
    <w:nsid w:val="69B4CBAE"/>
    <w:multiLevelType w:val="singleLevel"/>
    <w:tmpl w:val="69B4CBAE"/>
    <w:lvl w:ilvl="0" w:tentative="0">
      <w:start w:val="1"/>
      <w:numFmt w:val="decimal"/>
      <w:suff w:val="nothing"/>
      <w:lvlText w:val="%1．"/>
      <w:lvlJc w:val="left"/>
      <w:pPr>
        <w:ind w:left="0" w:firstLine="400"/>
      </w:pPr>
      <w:rPr>
        <w:rFonts w:hint="default"/>
      </w:rPr>
    </w:lvl>
  </w:abstractNum>
  <w:abstractNum w:abstractNumId="15">
    <w:nsid w:val="7EA94121"/>
    <w:multiLevelType w:val="singleLevel"/>
    <w:tmpl w:val="7EA94121"/>
    <w:lvl w:ilvl="0" w:tentative="0">
      <w:start w:val="1"/>
      <w:numFmt w:val="decimal"/>
      <w:suff w:val="nothing"/>
      <w:lvlText w:val="%1．"/>
      <w:lvlJc w:val="left"/>
      <w:pPr>
        <w:ind w:left="0" w:firstLine="400"/>
      </w:pPr>
      <w:rPr>
        <w:rFonts w:hint="default"/>
      </w:rPr>
    </w:lvl>
  </w:abstractNum>
  <w:num w:numId="1">
    <w:abstractNumId w:val="13"/>
  </w:num>
  <w:num w:numId="2">
    <w:abstractNumId w:val="11"/>
  </w:num>
  <w:num w:numId="3">
    <w:abstractNumId w:val="12"/>
  </w:num>
  <w:num w:numId="4">
    <w:abstractNumId w:val="3"/>
  </w:num>
  <w:num w:numId="5">
    <w:abstractNumId w:val="14"/>
  </w:num>
  <w:num w:numId="6">
    <w:abstractNumId w:val="0"/>
  </w:num>
  <w:num w:numId="7">
    <w:abstractNumId w:val="4"/>
  </w:num>
  <w:num w:numId="8">
    <w:abstractNumId w:val="7"/>
  </w:num>
  <w:num w:numId="9">
    <w:abstractNumId w:val="10"/>
  </w:num>
  <w:num w:numId="10">
    <w:abstractNumId w:val="8"/>
  </w:num>
  <w:num w:numId="11">
    <w:abstractNumId w:val="5"/>
  </w:num>
  <w:num w:numId="12">
    <w:abstractNumId w:val="9"/>
  </w:num>
  <w:num w:numId="13">
    <w:abstractNumId w:val="15"/>
  </w:num>
  <w:num w:numId="14">
    <w:abstractNumId w:val="6"/>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1FEF"/>
    <w:rsid w:val="02C32E43"/>
    <w:rsid w:val="04837785"/>
    <w:rsid w:val="057B4072"/>
    <w:rsid w:val="06A04B76"/>
    <w:rsid w:val="07E54B5B"/>
    <w:rsid w:val="0ACB20C4"/>
    <w:rsid w:val="0BEB6D98"/>
    <w:rsid w:val="0C37580D"/>
    <w:rsid w:val="0E9B4C74"/>
    <w:rsid w:val="10790794"/>
    <w:rsid w:val="10A20470"/>
    <w:rsid w:val="145D0D13"/>
    <w:rsid w:val="175A0611"/>
    <w:rsid w:val="187C7E5D"/>
    <w:rsid w:val="18AE37F5"/>
    <w:rsid w:val="1F6E1960"/>
    <w:rsid w:val="20A9107A"/>
    <w:rsid w:val="20AC5498"/>
    <w:rsid w:val="23E375C9"/>
    <w:rsid w:val="31492EA1"/>
    <w:rsid w:val="32AA04CA"/>
    <w:rsid w:val="32FF4914"/>
    <w:rsid w:val="377F438B"/>
    <w:rsid w:val="404F553D"/>
    <w:rsid w:val="42CD0F08"/>
    <w:rsid w:val="432F13E8"/>
    <w:rsid w:val="53265F8B"/>
    <w:rsid w:val="53806DAF"/>
    <w:rsid w:val="5779242C"/>
    <w:rsid w:val="57AE1FEF"/>
    <w:rsid w:val="5B633A42"/>
    <w:rsid w:val="5F493FC0"/>
    <w:rsid w:val="5FAF4DAC"/>
    <w:rsid w:val="636F7E34"/>
    <w:rsid w:val="6B9876E6"/>
    <w:rsid w:val="6DC32953"/>
    <w:rsid w:val="71B31D58"/>
    <w:rsid w:val="72054A02"/>
    <w:rsid w:val="748C1DB2"/>
    <w:rsid w:val="76824065"/>
    <w:rsid w:val="78B638A1"/>
    <w:rsid w:val="79653A37"/>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next w:val="1"/>
    <w:qFormat/>
    <w:uiPriority w:val="0"/>
    <w:rPr>
      <w:sz w:val="24"/>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3">
    <w:name w:val="toc 2"/>
    <w:basedOn w:val="1"/>
    <w:next w:val="1"/>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rPr>
  </w:style>
  <w:style w:type="paragraph" w:styleId="15">
    <w:name w:val="Body Text First Indent"/>
    <w:basedOn w:val="5"/>
    <w:qFormat/>
    <w:uiPriority w:val="99"/>
    <w:pPr>
      <w:spacing w:after="120"/>
      <w:ind w:firstLine="420" w:firstLineChars="100"/>
    </w:pPr>
    <w:rPr>
      <w:sz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qFormat/>
    <w:uiPriority w:val="99"/>
    <w:rPr>
      <w:color w:val="0000FF"/>
      <w:u w:val="single"/>
    </w:rPr>
  </w:style>
  <w:style w:type="paragraph" w:customStyle="1" w:styleId="21">
    <w:name w:val="表格文字"/>
    <w:basedOn w:val="22"/>
    <w:autoRedefine/>
    <w:qFormat/>
    <w:uiPriority w:val="0"/>
    <w:pPr>
      <w:spacing w:before="25" w:after="25"/>
      <w:jc w:val="left"/>
    </w:pPr>
    <w:rPr>
      <w:bCs/>
      <w:spacing w:val="10"/>
      <w:kern w:val="0"/>
      <w:sz w:val="24"/>
      <w:szCs w:val="20"/>
    </w:rPr>
  </w:style>
  <w:style w:type="paragraph" w:customStyle="1" w:styleId="22">
    <w:name w:val="表格文字（两侧对齐）"/>
    <w:basedOn w:val="1"/>
    <w:autoRedefine/>
    <w:qFormat/>
    <w:uiPriority w:val="0"/>
    <w:pPr>
      <w:snapToGrid w:val="0"/>
    </w:pPr>
    <w:rPr>
      <w:kern w:val="0"/>
      <w:sz w:val="20"/>
    </w:rPr>
  </w:style>
  <w:style w:type="paragraph" w:customStyle="1" w:styleId="2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
    <w:name w:val="_Style 3"/>
    <w:basedOn w:val="1"/>
    <w:autoRedefine/>
    <w:qFormat/>
    <w:uiPriority w:val="0"/>
    <w:pPr>
      <w:ind w:firstLine="420" w:firstLineChars="200"/>
    </w:pPr>
    <w:rPr>
      <w:sz w:val="20"/>
    </w:rPr>
  </w:style>
  <w:style w:type="paragraph" w:customStyle="1" w:styleId="25">
    <w:name w:val="正文缩进1"/>
    <w:basedOn w:val="26"/>
    <w:next w:val="23"/>
    <w:autoRedefine/>
    <w:qFormat/>
    <w:uiPriority w:val="0"/>
    <w:pPr>
      <w:widowControl/>
      <w:ind w:firstLine="420"/>
      <w:jc w:val="left"/>
    </w:pPr>
    <w:rPr>
      <w:rFonts w:ascii="Calibri" w:hAnsi="Calibri"/>
      <w:kern w:val="0"/>
    </w:rPr>
  </w:style>
  <w:style w:type="paragraph" w:customStyle="1" w:styleId="26">
    <w:name w:val="正文_2"/>
    <w:next w:val="25"/>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8">
    <w:name w:val="Table Paragraph"/>
    <w:basedOn w:val="1"/>
    <w:autoRedefine/>
    <w:qFormat/>
    <w:uiPriority w:val="1"/>
    <w:rPr>
      <w:rFonts w:ascii="宋体" w:hAnsi="宋体" w:eastAsia="宋体" w:cs="宋体"/>
      <w:lang w:val="zh-CN" w:eastAsia="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31">
    <w:name w:val="font31"/>
    <w:basedOn w:val="18"/>
    <w:qFormat/>
    <w:uiPriority w:val="0"/>
    <w:rPr>
      <w:rFonts w:hint="eastAsia" w:ascii="宋体" w:hAnsi="宋体" w:eastAsia="宋体" w:cs="宋体"/>
      <w:color w:val="FF0000"/>
      <w:sz w:val="20"/>
      <w:szCs w:val="20"/>
      <w:u w:val="none"/>
    </w:rPr>
  </w:style>
  <w:style w:type="character" w:customStyle="1" w:styleId="32">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14508</Words>
  <Characters>15182</Characters>
  <Lines>0</Lines>
  <Paragraphs>0</Paragraphs>
  <TotalTime>25</TotalTime>
  <ScaleCrop>false</ScaleCrop>
  <LinksUpToDate>false</LinksUpToDate>
  <CharactersWithSpaces>15265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2025-07-21T08:17:00Z</dcterms:created>
  <dc:creator>梁凤娟</dc:creator>
  <cp:lastModifiedBy>梁凤娟</cp:lastModifiedBy>
  <dcterms:modified xsi:type="dcterms:W3CDTF">2025-09-25T02:40:33Z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BA8E2DCD60BA451090FDAB27E6B0A24C_13</vt:lpwstr>
  </property>
  <property fmtid="{D5CDD505-2E9C-101B-9397-08002B2CF9AE}" pid="4" name="KSOTemplateDocerSaveRecord">
    <vt:lpwstr>eyJoZGlkIjoiZGNiZjhiYWJkMzQ2ODliZDg0M2NkY2U3ZDYyYTQ3YzEiLCJ1c2VySWQiOiIzMTQ2MzM3NzQifQ==</vt:lpwstr>
  </property>
</Properties>
</file>