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4"/>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5"/>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5111</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中山大学孙逸仙纪念医院计量设备</w:t>
      </w:r>
      <w:r>
        <w:rPr>
          <w:rFonts w:hint="eastAsia" w:ascii="方正仿宋简体" w:hAnsi="方正仿宋简体" w:eastAsia="方正仿宋简体" w:cs="方正仿宋简体"/>
          <w:b/>
          <w:bCs/>
          <w:sz w:val="28"/>
          <w:szCs w:val="28"/>
          <w:highlight w:val="none"/>
          <w:u w:val="single"/>
          <w:lang w:eastAsia="zh-CN"/>
        </w:rPr>
        <w:t>依法</w:t>
      </w:r>
      <w:r>
        <w:rPr>
          <w:rFonts w:hint="eastAsia" w:ascii="方正仿宋简体" w:hAnsi="方正仿宋简体" w:eastAsia="方正仿宋简体" w:cs="方正仿宋简体"/>
          <w:b/>
          <w:bCs/>
          <w:sz w:val="28"/>
          <w:szCs w:val="28"/>
          <w:highlight w:val="none"/>
          <w:u w:val="single"/>
        </w:rPr>
        <w:t>检定服务</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5"/>
        <w:rPr>
          <w:rFonts w:hint="eastAsia"/>
          <w:highlight w:val="none"/>
        </w:rPr>
      </w:pPr>
    </w:p>
    <w:p w14:paraId="2B5FD362">
      <w:pPr>
        <w:pStyle w:val="24"/>
        <w:rPr>
          <w:rFonts w:hint="eastAsia"/>
          <w:highlight w:val="none"/>
        </w:rPr>
      </w:pPr>
    </w:p>
    <w:p w14:paraId="63B49C8E">
      <w:pPr>
        <w:pStyle w:val="24"/>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5"/>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17日</w:t>
      </w:r>
    </w:p>
    <w:p w14:paraId="5301B718">
      <w:pPr>
        <w:pStyle w:val="27"/>
        <w:rPr>
          <w:rFonts w:hint="eastAsia" w:ascii="宋体" w:hAnsi="宋体" w:cs="宋体"/>
          <w:b/>
          <w:bCs/>
          <w:color w:val="000000"/>
          <w:sz w:val="28"/>
          <w:szCs w:val="28"/>
          <w:highlight w:val="none"/>
        </w:rPr>
      </w:pPr>
    </w:p>
    <w:p w14:paraId="409BA9EA">
      <w:pPr>
        <w:pStyle w:val="27"/>
        <w:rPr>
          <w:rFonts w:hint="eastAsia" w:ascii="宋体" w:hAnsi="宋体" w:cs="宋体"/>
          <w:b/>
          <w:bCs/>
          <w:color w:val="000000"/>
          <w:sz w:val="28"/>
          <w:szCs w:val="28"/>
          <w:highlight w:val="none"/>
        </w:rPr>
      </w:pPr>
    </w:p>
    <w:p w14:paraId="04E8F0C8">
      <w:pPr>
        <w:pStyle w:val="27"/>
        <w:rPr>
          <w:rFonts w:hint="eastAsia" w:ascii="宋体" w:hAnsi="宋体" w:cs="宋体"/>
          <w:b/>
          <w:bCs/>
          <w:color w:val="000000"/>
          <w:sz w:val="28"/>
          <w:szCs w:val="28"/>
          <w:highlight w:val="none"/>
        </w:rPr>
      </w:pPr>
    </w:p>
    <w:p w14:paraId="1B88A998">
      <w:pPr>
        <w:pStyle w:val="27"/>
        <w:rPr>
          <w:rFonts w:hint="eastAsia" w:ascii="宋体" w:hAnsi="宋体" w:cs="宋体"/>
          <w:b/>
          <w:bCs/>
          <w:color w:val="000000"/>
          <w:sz w:val="28"/>
          <w:szCs w:val="28"/>
          <w:highlight w:val="none"/>
        </w:rPr>
      </w:pPr>
    </w:p>
    <w:p w14:paraId="41A415CB">
      <w:pPr>
        <w:pStyle w:val="27"/>
        <w:rPr>
          <w:rFonts w:hint="eastAsia" w:ascii="宋体" w:hAnsi="宋体" w:cs="宋体"/>
          <w:b/>
          <w:bCs/>
          <w:color w:val="000000"/>
          <w:sz w:val="28"/>
          <w:szCs w:val="28"/>
          <w:highlight w:val="none"/>
        </w:rPr>
      </w:pPr>
    </w:p>
    <w:p w14:paraId="113C161D">
      <w:pPr>
        <w:pStyle w:val="27"/>
        <w:rPr>
          <w:rFonts w:hint="eastAsia" w:ascii="宋体" w:hAnsi="宋体" w:cs="宋体"/>
          <w:b/>
          <w:bCs/>
          <w:color w:val="000000"/>
          <w:sz w:val="28"/>
          <w:szCs w:val="28"/>
          <w:highlight w:val="none"/>
        </w:rPr>
      </w:pPr>
    </w:p>
    <w:p w14:paraId="0B7E2E4B">
      <w:pPr>
        <w:pStyle w:val="27"/>
        <w:rPr>
          <w:rFonts w:hint="eastAsia" w:ascii="宋体" w:hAnsi="宋体" w:cs="宋体"/>
          <w:b/>
          <w:bCs/>
          <w:color w:val="000000"/>
          <w:sz w:val="28"/>
          <w:szCs w:val="28"/>
          <w:highlight w:val="none"/>
        </w:rPr>
      </w:pPr>
    </w:p>
    <w:p w14:paraId="5421F945">
      <w:pPr>
        <w:pStyle w:val="27"/>
        <w:rPr>
          <w:rFonts w:hint="eastAsia" w:ascii="宋体" w:hAnsi="宋体" w:cs="宋体"/>
          <w:b/>
          <w:bCs/>
          <w:color w:val="000000"/>
          <w:sz w:val="28"/>
          <w:szCs w:val="28"/>
          <w:highlight w:val="none"/>
        </w:rPr>
      </w:pPr>
    </w:p>
    <w:p w14:paraId="56C65A7C">
      <w:pPr>
        <w:pStyle w:val="27"/>
        <w:rPr>
          <w:rFonts w:hint="eastAsia" w:ascii="宋体" w:hAnsi="宋体" w:cs="宋体"/>
          <w:b/>
          <w:bCs/>
          <w:color w:val="000000"/>
          <w:sz w:val="28"/>
          <w:szCs w:val="28"/>
          <w:highlight w:val="none"/>
        </w:rPr>
      </w:pPr>
    </w:p>
    <w:p w14:paraId="5CA44C55">
      <w:pPr>
        <w:pStyle w:val="27"/>
        <w:rPr>
          <w:rFonts w:hint="eastAsia" w:ascii="宋体" w:hAnsi="宋体" w:cs="宋体"/>
          <w:b/>
          <w:bCs/>
          <w:color w:val="000000"/>
          <w:sz w:val="28"/>
          <w:szCs w:val="28"/>
          <w:highlight w:val="none"/>
        </w:rPr>
      </w:pPr>
    </w:p>
    <w:p w14:paraId="6E2A97E8">
      <w:pPr>
        <w:pStyle w:val="27"/>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第一章</w:t>
      </w:r>
      <w:r>
        <w:rPr>
          <w:rStyle w:val="23"/>
          <w:rFonts w:hint="eastAsia" w:ascii="仿宋" w:hAnsi="仿宋" w:eastAsia="仿宋" w:cs="仿宋"/>
          <w:b/>
          <w:color w:val="000000"/>
          <w:sz w:val="32"/>
          <w:szCs w:val="32"/>
          <w:highlight w:val="none"/>
          <w:lang w:val="en-US" w:eastAsia="zh-CN"/>
        </w:rPr>
        <w:t xml:space="preserve"> 比选邀请</w:t>
      </w:r>
      <w:r>
        <w:rPr>
          <w:rStyle w:val="23"/>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第二章</w:t>
      </w:r>
      <w:r>
        <w:rPr>
          <w:rStyle w:val="23"/>
          <w:rFonts w:hint="eastAsia" w:ascii="仿宋" w:hAnsi="仿宋" w:eastAsia="仿宋" w:cs="仿宋"/>
          <w:b/>
          <w:color w:val="000000"/>
          <w:sz w:val="32"/>
          <w:szCs w:val="32"/>
          <w:highlight w:val="none"/>
          <w:lang w:val="en-US" w:eastAsia="zh-CN"/>
        </w:rPr>
        <w:t xml:space="preserve"> </w:t>
      </w:r>
      <w:r>
        <w:rPr>
          <w:rStyle w:val="23"/>
          <w:rFonts w:hint="eastAsia" w:ascii="仿宋" w:hAnsi="仿宋" w:eastAsia="仿宋" w:cs="仿宋"/>
          <w:b/>
          <w:color w:val="000000"/>
          <w:sz w:val="32"/>
          <w:szCs w:val="32"/>
          <w:highlight w:val="none"/>
          <w:lang w:eastAsia="zh-CN"/>
        </w:rPr>
        <w:t>用户</w:t>
      </w:r>
      <w:r>
        <w:rPr>
          <w:rStyle w:val="23"/>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3"/>
          <w:rFonts w:hint="eastAsia" w:ascii="仿宋" w:hAnsi="仿宋" w:eastAsia="仿宋" w:cs="仿宋"/>
          <w:b/>
          <w:color w:val="000000"/>
          <w:sz w:val="32"/>
          <w:szCs w:val="32"/>
          <w:highlight w:val="none"/>
        </w:rPr>
        <w:t>第三章</w:t>
      </w:r>
      <w:r>
        <w:rPr>
          <w:rStyle w:val="23"/>
          <w:rFonts w:hint="eastAsia" w:ascii="仿宋" w:hAnsi="仿宋" w:eastAsia="仿宋" w:cs="仿宋"/>
          <w:b/>
          <w:color w:val="000000"/>
          <w:sz w:val="32"/>
          <w:szCs w:val="32"/>
          <w:highlight w:val="none"/>
          <w:lang w:val="en-US" w:eastAsia="zh-CN"/>
        </w:rPr>
        <w:t xml:space="preserve"> 响应</w:t>
      </w:r>
      <w:r>
        <w:rPr>
          <w:rStyle w:val="23"/>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7"/>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pgNumType w:fmt="decimal"/>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4"/>
        <w:rPr>
          <w:rFonts w:hint="eastAsia"/>
          <w:highlight w:val="none"/>
        </w:rPr>
      </w:pPr>
    </w:p>
    <w:p w14:paraId="69D6D8DC">
      <w:pPr>
        <w:rPr>
          <w:color w:val="000000"/>
          <w:highlight w:val="none"/>
        </w:rPr>
      </w:pPr>
    </w:p>
    <w:p w14:paraId="0844E894">
      <w:pPr>
        <w:pStyle w:val="27"/>
        <w:rPr>
          <w:color w:val="000000"/>
          <w:highlight w:val="none"/>
        </w:rPr>
      </w:pPr>
    </w:p>
    <w:p w14:paraId="257E9C11">
      <w:pPr>
        <w:pStyle w:val="27"/>
        <w:rPr>
          <w:color w:val="000000"/>
          <w:highlight w:val="none"/>
        </w:rPr>
      </w:pPr>
    </w:p>
    <w:p w14:paraId="484185A9">
      <w:pPr>
        <w:pStyle w:val="27"/>
        <w:rPr>
          <w:color w:val="000000"/>
          <w:highlight w:val="none"/>
        </w:rPr>
      </w:pPr>
    </w:p>
    <w:p w14:paraId="25781AD5">
      <w:pPr>
        <w:pStyle w:val="27"/>
        <w:rPr>
          <w:color w:val="000000"/>
          <w:highlight w:val="none"/>
        </w:rPr>
      </w:pPr>
    </w:p>
    <w:p w14:paraId="5BDD560E">
      <w:pPr>
        <w:pStyle w:val="27"/>
        <w:rPr>
          <w:color w:val="000000"/>
          <w:highlight w:val="none"/>
        </w:rPr>
      </w:pPr>
    </w:p>
    <w:p w14:paraId="5DA17303">
      <w:pPr>
        <w:pStyle w:val="27"/>
        <w:rPr>
          <w:color w:val="000000"/>
          <w:highlight w:val="none"/>
        </w:rPr>
      </w:pPr>
    </w:p>
    <w:p w14:paraId="7FDF95DF">
      <w:pPr>
        <w:pStyle w:val="27"/>
        <w:rPr>
          <w:color w:val="000000"/>
          <w:highlight w:val="none"/>
        </w:rPr>
      </w:pPr>
    </w:p>
    <w:p w14:paraId="24726310">
      <w:pPr>
        <w:pStyle w:val="27"/>
        <w:rPr>
          <w:color w:val="000000"/>
          <w:highlight w:val="none"/>
        </w:rPr>
      </w:pPr>
    </w:p>
    <w:p w14:paraId="103E28CA">
      <w:pPr>
        <w:pStyle w:val="27"/>
        <w:rPr>
          <w:color w:val="000000"/>
          <w:highlight w:val="none"/>
        </w:rPr>
      </w:pPr>
    </w:p>
    <w:p w14:paraId="59889958">
      <w:pPr>
        <w:pStyle w:val="27"/>
        <w:rPr>
          <w:color w:val="000000"/>
          <w:highlight w:val="none"/>
        </w:rPr>
      </w:pPr>
    </w:p>
    <w:p w14:paraId="0BCB1126">
      <w:pPr>
        <w:pStyle w:val="27"/>
        <w:rPr>
          <w:color w:val="000000"/>
          <w:highlight w:val="none"/>
        </w:rPr>
      </w:pPr>
    </w:p>
    <w:p w14:paraId="4877ADD8">
      <w:pPr>
        <w:pStyle w:val="27"/>
        <w:rPr>
          <w:color w:val="000000"/>
          <w:highlight w:val="none"/>
        </w:rPr>
      </w:pPr>
    </w:p>
    <w:p w14:paraId="7B7E1FFA">
      <w:pPr>
        <w:pStyle w:val="27"/>
        <w:rPr>
          <w:color w:val="000000"/>
          <w:highlight w:val="none"/>
        </w:rPr>
      </w:pPr>
    </w:p>
    <w:p w14:paraId="23CD036E">
      <w:pPr>
        <w:pStyle w:val="27"/>
        <w:ind w:left="0" w:leftChars="0" w:firstLine="0" w:firstLineChars="0"/>
        <w:rPr>
          <w:color w:val="000000"/>
          <w:highlight w:val="none"/>
        </w:rPr>
      </w:pPr>
    </w:p>
    <w:p w14:paraId="696D0A22">
      <w:pPr>
        <w:pStyle w:val="27"/>
        <w:rPr>
          <w:color w:val="000000"/>
          <w:highlight w:val="none"/>
        </w:rPr>
      </w:pPr>
    </w:p>
    <w:p w14:paraId="2BF55A84">
      <w:pPr>
        <w:pStyle w:val="27"/>
        <w:rPr>
          <w:color w:val="000000"/>
          <w:highlight w:val="none"/>
        </w:rPr>
      </w:pPr>
    </w:p>
    <w:p w14:paraId="03B0C041">
      <w:pPr>
        <w:pStyle w:val="27"/>
        <w:rPr>
          <w:color w:val="000000"/>
          <w:highlight w:val="none"/>
        </w:rPr>
      </w:pPr>
    </w:p>
    <w:p w14:paraId="449508C9">
      <w:pPr>
        <w:pStyle w:val="27"/>
        <w:rPr>
          <w:color w:val="000000"/>
          <w:highlight w:val="none"/>
        </w:rPr>
      </w:pPr>
    </w:p>
    <w:p w14:paraId="7A1A06F1">
      <w:pPr>
        <w:pStyle w:val="27"/>
        <w:rPr>
          <w:color w:val="000000"/>
          <w:highlight w:val="none"/>
        </w:rPr>
      </w:pPr>
    </w:p>
    <w:p w14:paraId="28267644">
      <w:pPr>
        <w:pStyle w:val="27"/>
        <w:rPr>
          <w:color w:val="000000"/>
          <w:highlight w:val="none"/>
        </w:rPr>
      </w:pPr>
    </w:p>
    <w:p w14:paraId="4CB52CDD">
      <w:pPr>
        <w:pStyle w:val="27"/>
        <w:rPr>
          <w:color w:val="000000"/>
          <w:highlight w:val="none"/>
        </w:rPr>
      </w:pPr>
    </w:p>
    <w:p w14:paraId="085F5639">
      <w:pPr>
        <w:pStyle w:val="27"/>
        <w:rPr>
          <w:color w:val="000000"/>
          <w:highlight w:val="none"/>
        </w:rPr>
      </w:pPr>
    </w:p>
    <w:p w14:paraId="6CD57F8C">
      <w:pPr>
        <w:pStyle w:val="27"/>
        <w:rPr>
          <w:color w:val="000000"/>
          <w:highlight w:val="none"/>
        </w:rPr>
      </w:pPr>
    </w:p>
    <w:p w14:paraId="066664FF">
      <w:pPr>
        <w:pStyle w:val="27"/>
        <w:rPr>
          <w:color w:val="000000"/>
          <w:highlight w:val="none"/>
        </w:rPr>
      </w:pPr>
    </w:p>
    <w:p w14:paraId="6406EBA9">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50691018"/>
      <w:bookmarkStart w:id="2" w:name="_Toc50736465"/>
      <w:bookmarkStart w:id="3" w:name="_Toc50737285"/>
      <w:bookmarkStart w:id="4" w:name="_Toc385939527"/>
      <w:bookmarkStart w:id="5" w:name="_Toc50737317"/>
      <w:bookmarkStart w:id="6" w:name="_Toc38594086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7"/>
        <w:rPr>
          <w:color w:val="000000"/>
          <w:highlight w:val="none"/>
        </w:rPr>
      </w:pPr>
    </w:p>
    <w:p w14:paraId="32E715E1">
      <w:pPr>
        <w:pStyle w:val="27"/>
        <w:rPr>
          <w:color w:val="000000"/>
          <w:highlight w:val="none"/>
        </w:rPr>
      </w:pPr>
    </w:p>
    <w:p w14:paraId="54448988">
      <w:pPr>
        <w:pStyle w:val="27"/>
        <w:rPr>
          <w:color w:val="000000"/>
          <w:highlight w:val="none"/>
        </w:rPr>
      </w:pPr>
    </w:p>
    <w:p w14:paraId="2AEA74C1">
      <w:pPr>
        <w:pStyle w:val="27"/>
        <w:rPr>
          <w:color w:val="000000"/>
          <w:highlight w:val="none"/>
        </w:rPr>
      </w:pPr>
    </w:p>
    <w:p w14:paraId="61BE7C16">
      <w:pPr>
        <w:pStyle w:val="27"/>
        <w:rPr>
          <w:color w:val="000000"/>
          <w:highlight w:val="none"/>
        </w:rPr>
      </w:pPr>
    </w:p>
    <w:p w14:paraId="60D06DB7">
      <w:pPr>
        <w:pStyle w:val="27"/>
        <w:rPr>
          <w:color w:val="000000"/>
          <w:highlight w:val="none"/>
        </w:rPr>
      </w:pPr>
    </w:p>
    <w:p w14:paraId="70B6352E">
      <w:pPr>
        <w:pStyle w:val="27"/>
        <w:rPr>
          <w:color w:val="000000"/>
          <w:highlight w:val="none"/>
        </w:rPr>
      </w:pPr>
    </w:p>
    <w:p w14:paraId="3E73432F">
      <w:pPr>
        <w:pStyle w:val="27"/>
        <w:rPr>
          <w:color w:val="000000"/>
          <w:highlight w:val="none"/>
        </w:rPr>
      </w:pPr>
    </w:p>
    <w:p w14:paraId="777CBB49">
      <w:pPr>
        <w:pStyle w:val="27"/>
        <w:rPr>
          <w:color w:val="000000"/>
          <w:highlight w:val="none"/>
        </w:rPr>
      </w:pPr>
    </w:p>
    <w:p w14:paraId="6BC2A4F5">
      <w:pPr>
        <w:pStyle w:val="27"/>
        <w:rPr>
          <w:color w:val="000000"/>
          <w:highlight w:val="none"/>
        </w:rPr>
      </w:pPr>
    </w:p>
    <w:p w14:paraId="746ED7EA">
      <w:pPr>
        <w:pStyle w:val="27"/>
        <w:rPr>
          <w:color w:val="000000"/>
          <w:highlight w:val="none"/>
        </w:rPr>
      </w:pPr>
    </w:p>
    <w:p w14:paraId="5A501B29">
      <w:pPr>
        <w:pStyle w:val="27"/>
        <w:rPr>
          <w:color w:val="000000"/>
          <w:highlight w:val="none"/>
        </w:rPr>
      </w:pPr>
    </w:p>
    <w:p w14:paraId="2A6FF7BF">
      <w:pPr>
        <w:pStyle w:val="27"/>
        <w:rPr>
          <w:color w:val="000000"/>
          <w:highlight w:val="none"/>
        </w:rPr>
      </w:pPr>
    </w:p>
    <w:p w14:paraId="07687E97">
      <w:pPr>
        <w:pStyle w:val="27"/>
        <w:rPr>
          <w:color w:val="000000"/>
          <w:highlight w:val="none"/>
        </w:rPr>
      </w:pPr>
    </w:p>
    <w:p w14:paraId="1001E486">
      <w:pPr>
        <w:pStyle w:val="27"/>
        <w:rPr>
          <w:color w:val="000000"/>
          <w:highlight w:val="none"/>
        </w:rPr>
      </w:pPr>
    </w:p>
    <w:p w14:paraId="02CD458A">
      <w:pPr>
        <w:pStyle w:val="27"/>
        <w:rPr>
          <w:color w:val="000000"/>
          <w:highlight w:val="none"/>
        </w:rPr>
      </w:pPr>
    </w:p>
    <w:p w14:paraId="630EA551">
      <w:pPr>
        <w:pStyle w:val="27"/>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现对中山大学孙逸仙纪念医院计量设备依法检定服务项目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ZCB-2025111</w:t>
      </w:r>
    </w:p>
    <w:p w14:paraId="6499695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：中山大学孙逸仙纪念医院计量设备</w:t>
      </w:r>
      <w:r>
        <w:rPr>
          <w:rFonts w:hint="eastAsia" w:ascii="仿宋" w:hAnsi="仿宋" w:eastAsia="仿宋" w:cs="仿宋"/>
          <w:b/>
          <w:bCs w:val="0"/>
          <w:color w:val="000000"/>
          <w:sz w:val="24"/>
          <w:szCs w:val="24"/>
          <w:highlight w:val="none"/>
          <w:lang w:val="en-US" w:eastAsia="zh-CN"/>
        </w:rPr>
        <w:t>依法</w:t>
      </w:r>
      <w:r>
        <w:rPr>
          <w:rFonts w:hint="eastAsia" w:ascii="仿宋" w:hAnsi="仿宋" w:eastAsia="仿宋" w:cs="仿宋"/>
          <w:b/>
          <w:bCs w:val="0"/>
          <w:color w:val="000000"/>
          <w:sz w:val="24"/>
          <w:szCs w:val="24"/>
          <w:highlight w:val="none"/>
          <w:lang w:eastAsia="zh-CN"/>
        </w:rPr>
        <w:t>检定服务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8"/>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0"/>
        <w:gridCol w:w="1273"/>
        <w:gridCol w:w="2549"/>
        <w:gridCol w:w="228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4"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计量设备</w:t>
            </w:r>
            <w:r>
              <w:rPr>
                <w:rFonts w:hint="eastAsia" w:ascii="仿宋" w:hAnsi="仿宋" w:eastAsia="仿宋" w:cs="仿宋"/>
                <w:sz w:val="24"/>
                <w:szCs w:val="24"/>
                <w:highlight w:val="none"/>
                <w:lang w:val="en-US" w:eastAsia="zh-CN"/>
              </w:rPr>
              <w:t>依法</w:t>
            </w:r>
            <w:r>
              <w:rPr>
                <w:rFonts w:hint="eastAsia" w:ascii="仿宋" w:hAnsi="仿宋" w:eastAsia="仿宋" w:cs="仿宋"/>
                <w:sz w:val="24"/>
                <w:szCs w:val="24"/>
                <w:highlight w:val="none"/>
                <w:lang w:val="zh-CN"/>
              </w:rPr>
              <w:t>检定服务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12个月</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4"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650000</w:t>
            </w:r>
            <w:r>
              <w:rPr>
                <w:rFonts w:hint="eastAsia" w:ascii="仿宋" w:hAnsi="仿宋" w:eastAsia="仿宋" w:cs="仿宋"/>
                <w:sz w:val="24"/>
                <w:szCs w:val="24"/>
                <w:highlight w:val="none"/>
              </w:rPr>
              <w:t>元</w:t>
            </w:r>
          </w:p>
        </w:tc>
      </w:tr>
    </w:tbl>
    <w:p w14:paraId="66F076F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20BDDD9A">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Cs/>
          <w:color w:val="000000"/>
          <w:sz w:val="24"/>
          <w:szCs w:val="24"/>
          <w:highlight w:val="none"/>
          <w:lang w:val="en-US" w:eastAsia="zh-CN"/>
        </w:rPr>
        <w:t>服务地点：</w:t>
      </w:r>
    </w:p>
    <w:p w14:paraId="2AC21A61">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（1）中山大学孙逸仙纪念医院北院区，地址：广州市越秀区沿江西路107号；</w:t>
      </w:r>
    </w:p>
    <w:p w14:paraId="47285842">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（2）中山大学孙逸仙纪念医院南院区，地址：广州市海珠区盈丰路33号；</w:t>
      </w:r>
    </w:p>
    <w:p w14:paraId="03B88EBF">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1"/>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1"/>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1"/>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计量设备依法检定服务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1"/>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1"/>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106F1523">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7、本项目特定要求：</w:t>
      </w:r>
    </w:p>
    <w:p w14:paraId="7581A74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应取得法定计量检定机构出具的《计量授权证书》，授权范围必须覆盖广州地区（提供证书扫描件且需含授权区域页），授权项目覆盖本项目受检设备。</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电子邮箱：linjwei3@mail.sysu.edu.cn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2025年9月26日中午12:00，广州市越秀区长堤大马路171号一方长堤健康产业中心（原威力斯大楼）907室。</w:t>
      </w:r>
    </w:p>
    <w:p w14:paraId="5A2623A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27"/>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7"/>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17</w:t>
      </w:r>
      <w:bookmarkStart w:id="22" w:name="_GoBack"/>
      <w:bookmarkEnd w:id="22"/>
      <w:r>
        <w:rPr>
          <w:rFonts w:hint="eastAsia" w:ascii="仿宋" w:hAnsi="仿宋" w:eastAsia="仿宋" w:cs="仿宋"/>
          <w:color w:val="000000"/>
          <w:sz w:val="24"/>
          <w:szCs w:val="24"/>
          <w:highlight w:val="none"/>
          <w:lang w:val="en-US" w:eastAsia="zh-CN"/>
        </w:rPr>
        <w:t>日</w:t>
      </w:r>
    </w:p>
    <w:p w14:paraId="55E200B0">
      <w:pPr>
        <w:pStyle w:val="27"/>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5DEAF48E">
      <w:pPr>
        <w:rPr>
          <w:rFonts w:hint="eastAsia" w:ascii="微软雅黑" w:hAnsi="微软雅黑" w:eastAsia="微软雅黑" w:cs="微软雅黑"/>
          <w:color w:val="000000"/>
          <w:highlight w:val="none"/>
        </w:rPr>
      </w:pPr>
      <w:bookmarkStart w:id="8" w:name="_Toc76354916"/>
      <w:bookmarkStart w:id="9" w:name="_Toc50737288"/>
      <w:bookmarkStart w:id="10" w:name="_Toc50736468"/>
      <w:bookmarkStart w:id="11" w:name="_Toc50691021"/>
      <w:bookmarkStart w:id="12" w:name="_Toc50737320"/>
      <w:bookmarkStart w:id="13" w:name="_Toc385940869"/>
      <w:bookmarkStart w:id="14" w:name="_Toc385939528"/>
      <w:bookmarkStart w:id="15" w:name="_Toc417914518"/>
    </w:p>
    <w:p w14:paraId="124FFFE1">
      <w:pPr>
        <w:rPr>
          <w:rFonts w:hint="eastAsia" w:ascii="微软雅黑" w:hAnsi="微软雅黑" w:eastAsia="微软雅黑" w:cs="微软雅黑"/>
          <w:color w:val="000000"/>
          <w:highlight w:val="none"/>
        </w:rPr>
      </w:pPr>
    </w:p>
    <w:p w14:paraId="4D59AFEC">
      <w:pPr>
        <w:rPr>
          <w:rFonts w:hint="eastAsia" w:ascii="微软雅黑" w:hAnsi="微软雅黑" w:eastAsia="微软雅黑" w:cs="微软雅黑"/>
          <w:color w:val="000000"/>
          <w:highlight w:val="none"/>
        </w:rPr>
      </w:pPr>
    </w:p>
    <w:p w14:paraId="06DBD1D7">
      <w:pPr>
        <w:rPr>
          <w:rFonts w:hint="eastAsia" w:ascii="微软雅黑" w:hAnsi="微软雅黑" w:eastAsia="微软雅黑" w:cs="微软雅黑"/>
          <w:color w:val="000000"/>
          <w:highlight w:val="none"/>
        </w:rPr>
      </w:pPr>
    </w:p>
    <w:p w14:paraId="4927151C">
      <w:pPr>
        <w:rPr>
          <w:rFonts w:hint="eastAsia" w:ascii="微软雅黑" w:hAnsi="微软雅黑" w:eastAsia="微软雅黑" w:cs="微软雅黑"/>
          <w:color w:val="000000"/>
          <w:highlight w:val="none"/>
        </w:rPr>
      </w:pPr>
    </w:p>
    <w:p w14:paraId="59FB2E75">
      <w:pPr>
        <w:rPr>
          <w:rFonts w:hint="eastAsia" w:ascii="微软雅黑" w:hAnsi="微软雅黑" w:eastAsia="微软雅黑" w:cs="微软雅黑"/>
          <w:color w:val="000000"/>
          <w:highlight w:val="none"/>
        </w:rPr>
      </w:pPr>
    </w:p>
    <w:p w14:paraId="7702A759">
      <w:pPr>
        <w:rPr>
          <w:rFonts w:hint="eastAsia" w:ascii="微软雅黑" w:hAnsi="微软雅黑" w:eastAsia="微软雅黑" w:cs="微软雅黑"/>
          <w:color w:val="000000"/>
          <w:highlight w:val="none"/>
        </w:rPr>
      </w:pPr>
    </w:p>
    <w:p w14:paraId="64B82A5E">
      <w:pPr>
        <w:rPr>
          <w:rFonts w:hint="eastAsia" w:ascii="微软雅黑" w:hAnsi="微软雅黑" w:eastAsia="微软雅黑" w:cs="微软雅黑"/>
          <w:color w:val="000000"/>
          <w:highlight w:val="none"/>
        </w:rPr>
      </w:pPr>
    </w:p>
    <w:p w14:paraId="4AFFC818">
      <w:pPr>
        <w:rPr>
          <w:rFonts w:hint="eastAsia" w:ascii="微软雅黑" w:hAnsi="微软雅黑" w:eastAsia="微软雅黑" w:cs="微软雅黑"/>
          <w:color w:val="000000"/>
          <w:highlight w:val="none"/>
        </w:rPr>
      </w:pPr>
    </w:p>
    <w:p w14:paraId="57E28F62">
      <w:pPr>
        <w:rPr>
          <w:rFonts w:hint="eastAsia" w:ascii="微软雅黑" w:hAnsi="微软雅黑" w:eastAsia="微软雅黑" w:cs="微软雅黑"/>
          <w:color w:val="000000"/>
          <w:highlight w:val="none"/>
        </w:rPr>
      </w:pPr>
    </w:p>
    <w:p w14:paraId="13FF147F">
      <w:pPr>
        <w:rPr>
          <w:rFonts w:hint="eastAsia" w:ascii="微软雅黑" w:hAnsi="微软雅黑" w:eastAsia="微软雅黑" w:cs="微软雅黑"/>
          <w:color w:val="000000"/>
          <w:highlight w:val="none"/>
        </w:rPr>
      </w:pPr>
    </w:p>
    <w:p w14:paraId="7276771A">
      <w:pPr>
        <w:rPr>
          <w:rFonts w:hint="eastAsia" w:ascii="微软雅黑" w:hAnsi="微软雅黑" w:eastAsia="微软雅黑" w:cs="微软雅黑"/>
          <w:color w:val="000000"/>
          <w:highlight w:val="none"/>
        </w:rPr>
      </w:pPr>
    </w:p>
    <w:p w14:paraId="22E95F4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7"/>
        <w:rPr>
          <w:color w:val="000000"/>
          <w:highlight w:val="none"/>
        </w:rPr>
      </w:pPr>
    </w:p>
    <w:p w14:paraId="2970EAC8">
      <w:pPr>
        <w:pStyle w:val="27"/>
        <w:rPr>
          <w:color w:val="000000"/>
          <w:highlight w:val="none"/>
        </w:rPr>
      </w:pPr>
    </w:p>
    <w:p w14:paraId="2BC3BC82">
      <w:pPr>
        <w:pStyle w:val="27"/>
        <w:rPr>
          <w:color w:val="000000"/>
          <w:highlight w:val="none"/>
        </w:rPr>
      </w:pPr>
    </w:p>
    <w:p w14:paraId="75580613">
      <w:pPr>
        <w:pStyle w:val="27"/>
        <w:rPr>
          <w:color w:val="000000"/>
          <w:highlight w:val="none"/>
        </w:rPr>
      </w:pPr>
    </w:p>
    <w:p w14:paraId="63094DE4">
      <w:pPr>
        <w:pStyle w:val="27"/>
        <w:rPr>
          <w:color w:val="000000"/>
          <w:highlight w:val="none"/>
        </w:rPr>
      </w:pPr>
    </w:p>
    <w:p w14:paraId="5DE5BFA6">
      <w:pPr>
        <w:pStyle w:val="27"/>
        <w:rPr>
          <w:color w:val="000000"/>
          <w:highlight w:val="none"/>
        </w:rPr>
      </w:pPr>
    </w:p>
    <w:p w14:paraId="6BB78249">
      <w:pPr>
        <w:pStyle w:val="27"/>
        <w:rPr>
          <w:color w:val="000000"/>
          <w:highlight w:val="none"/>
        </w:rPr>
      </w:pPr>
    </w:p>
    <w:p w14:paraId="77100BE0">
      <w:pPr>
        <w:pStyle w:val="27"/>
        <w:rPr>
          <w:color w:val="000000"/>
          <w:highlight w:val="none"/>
        </w:rPr>
      </w:pPr>
    </w:p>
    <w:p w14:paraId="31FE32FD">
      <w:pPr>
        <w:pStyle w:val="27"/>
        <w:rPr>
          <w:color w:val="000000"/>
          <w:highlight w:val="none"/>
        </w:rPr>
      </w:pPr>
    </w:p>
    <w:p w14:paraId="6F3FB45B">
      <w:pPr>
        <w:pStyle w:val="27"/>
        <w:rPr>
          <w:color w:val="000000"/>
          <w:highlight w:val="none"/>
        </w:rPr>
      </w:pPr>
    </w:p>
    <w:p w14:paraId="52E1B1E4">
      <w:pPr>
        <w:pStyle w:val="27"/>
        <w:rPr>
          <w:color w:val="000000"/>
          <w:highlight w:val="none"/>
        </w:rPr>
      </w:pPr>
    </w:p>
    <w:p w14:paraId="0C4906CE">
      <w:pPr>
        <w:pStyle w:val="27"/>
        <w:rPr>
          <w:color w:val="000000"/>
          <w:highlight w:val="none"/>
        </w:rPr>
      </w:pPr>
    </w:p>
    <w:p w14:paraId="0499B7B7">
      <w:pPr>
        <w:pStyle w:val="27"/>
        <w:rPr>
          <w:color w:val="000000"/>
          <w:highlight w:val="none"/>
        </w:rPr>
      </w:pPr>
    </w:p>
    <w:p w14:paraId="4AC295E9">
      <w:pPr>
        <w:pStyle w:val="27"/>
        <w:rPr>
          <w:color w:val="000000"/>
          <w:highlight w:val="none"/>
        </w:rPr>
      </w:pPr>
    </w:p>
    <w:p w14:paraId="4100EAFF">
      <w:pPr>
        <w:pStyle w:val="27"/>
        <w:rPr>
          <w:color w:val="000000"/>
          <w:highlight w:val="none"/>
        </w:rPr>
      </w:pPr>
    </w:p>
    <w:p w14:paraId="36927FAC">
      <w:pPr>
        <w:pStyle w:val="27"/>
        <w:rPr>
          <w:color w:val="000000"/>
          <w:highlight w:val="none"/>
        </w:rPr>
      </w:pPr>
    </w:p>
    <w:p w14:paraId="306FD583">
      <w:pPr>
        <w:pStyle w:val="27"/>
        <w:rPr>
          <w:color w:val="000000"/>
          <w:highlight w:val="none"/>
        </w:rPr>
      </w:pPr>
    </w:p>
    <w:p w14:paraId="25B4571C">
      <w:pPr>
        <w:pStyle w:val="27"/>
        <w:rPr>
          <w:color w:val="000000"/>
          <w:highlight w:val="none"/>
        </w:rPr>
      </w:pPr>
    </w:p>
    <w:p w14:paraId="02457180">
      <w:pPr>
        <w:pStyle w:val="27"/>
        <w:rPr>
          <w:color w:val="000000"/>
          <w:highlight w:val="none"/>
        </w:rPr>
      </w:pPr>
    </w:p>
    <w:p w14:paraId="0C01F081">
      <w:pPr>
        <w:pStyle w:val="27"/>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7"/>
        <w:rPr>
          <w:rFonts w:hint="eastAsia"/>
          <w:color w:val="000000"/>
          <w:highlight w:val="none"/>
        </w:rPr>
      </w:pPr>
    </w:p>
    <w:p w14:paraId="0F4B3724">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24517B5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（一）采购项目一览表</w:t>
      </w:r>
    </w:p>
    <w:tbl>
      <w:tblPr>
        <w:tblStyle w:val="18"/>
        <w:tblW w:w="36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40"/>
        <w:gridCol w:w="1576"/>
        <w:gridCol w:w="2561"/>
      </w:tblGrid>
      <w:tr w14:paraId="2C53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1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4D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采购内容</w:t>
            </w:r>
          </w:p>
        </w:tc>
        <w:tc>
          <w:tcPr>
            <w:tcW w:w="1083" w:type="pct"/>
            <w:tcBorders>
              <w:top w:val="single" w:color="000000" w:sz="8" w:space="0"/>
              <w:left w:val="single" w:color="000000" w:sz="8" w:space="0"/>
              <w:bottom w:val="single" w:color="000000" w:sz="8" w:space="0"/>
              <w:right w:val="single" w:color="000000" w:sz="8" w:space="0"/>
            </w:tcBorders>
            <w:shd w:val="clear" w:color="auto" w:fill="auto"/>
            <w:vAlign w:val="top"/>
          </w:tcPr>
          <w:p w14:paraId="1505473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服务期限</w:t>
            </w:r>
          </w:p>
        </w:tc>
        <w:tc>
          <w:tcPr>
            <w:tcW w:w="1759" w:type="pct"/>
            <w:tcBorders>
              <w:top w:val="single" w:color="000000" w:sz="8" w:space="0"/>
              <w:left w:val="single" w:color="000000" w:sz="8" w:space="0"/>
              <w:bottom w:val="single" w:color="000000" w:sz="8" w:space="0"/>
              <w:right w:val="single" w:color="000000" w:sz="8" w:space="0"/>
            </w:tcBorders>
            <w:shd w:val="clear" w:color="auto" w:fill="auto"/>
            <w:vAlign w:val="top"/>
          </w:tcPr>
          <w:p w14:paraId="43937397">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b/>
                <w:bCs/>
                <w:i w:val="0"/>
                <w:iCs w:val="0"/>
                <w:color w:val="000000" w:themeColor="text1"/>
                <w:sz w:val="22"/>
                <w:szCs w:val="22"/>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2"/>
                <w:szCs w:val="22"/>
                <w:highlight w:val="none"/>
                <w:u w:val="none"/>
                <w:lang w:val="en-US" w:eastAsia="zh-CN" w:bidi="ar"/>
                <w14:textFill>
                  <w14:solidFill>
                    <w14:schemeClr w14:val="tx1"/>
                  </w14:solidFill>
                </w14:textFill>
              </w:rPr>
              <w:t>采购预算（最高限价）</w:t>
            </w:r>
          </w:p>
        </w:tc>
      </w:tr>
      <w:tr w14:paraId="59EF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jc w:val="center"/>
        </w:trPr>
        <w:tc>
          <w:tcPr>
            <w:tcW w:w="2157" w:type="pct"/>
            <w:tcBorders>
              <w:top w:val="nil"/>
              <w:left w:val="single" w:color="000000" w:sz="8" w:space="0"/>
              <w:bottom w:val="single" w:color="000000" w:sz="8" w:space="0"/>
              <w:right w:val="single" w:color="000000" w:sz="8" w:space="0"/>
            </w:tcBorders>
            <w:shd w:val="clear" w:color="auto" w:fill="auto"/>
            <w:vAlign w:val="center"/>
          </w:tcPr>
          <w:p w14:paraId="3B9421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计量设备依法检定服务</w:t>
            </w:r>
          </w:p>
        </w:tc>
        <w:tc>
          <w:tcPr>
            <w:tcW w:w="1083" w:type="pct"/>
            <w:tcBorders>
              <w:top w:val="nil"/>
              <w:left w:val="single" w:color="000000" w:sz="8" w:space="0"/>
              <w:bottom w:val="single" w:color="000000" w:sz="8" w:space="0"/>
              <w:right w:val="single" w:color="000000" w:sz="8" w:space="0"/>
            </w:tcBorders>
            <w:shd w:val="clear" w:color="auto" w:fill="auto"/>
            <w:vAlign w:val="center"/>
          </w:tcPr>
          <w:p w14:paraId="79FD36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2"/>
                <w:szCs w:val="22"/>
                <w:highlight w:val="none"/>
                <w:u w:val="none"/>
                <w:lang w:val="en-US"/>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1年</w:t>
            </w:r>
          </w:p>
        </w:tc>
        <w:tc>
          <w:tcPr>
            <w:tcW w:w="1759" w:type="pct"/>
            <w:tcBorders>
              <w:top w:val="nil"/>
              <w:left w:val="single" w:color="000000" w:sz="8" w:space="0"/>
              <w:bottom w:val="single" w:color="000000" w:sz="8" w:space="0"/>
              <w:right w:val="single" w:color="000000" w:sz="8" w:space="0"/>
            </w:tcBorders>
            <w:shd w:val="clear" w:color="auto" w:fill="auto"/>
            <w:vAlign w:val="center"/>
          </w:tcPr>
          <w:p w14:paraId="61EDA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2"/>
                <w:szCs w:val="22"/>
                <w:highlight w:val="none"/>
                <w:u w:val="none"/>
                <w14:textFill>
                  <w14:solidFill>
                    <w14:schemeClr w14:val="tx1"/>
                  </w14:solidFill>
                </w14:textFill>
              </w:rPr>
            </w:pPr>
            <w:r>
              <w:rPr>
                <w:rFonts w:hint="eastAsia" w:ascii="仿宋" w:hAnsi="仿宋" w:eastAsia="仿宋" w:cs="仿宋"/>
                <w:i w:val="0"/>
                <w:iCs w:val="0"/>
                <w:color w:val="000000" w:themeColor="text1"/>
                <w:kern w:val="0"/>
                <w:sz w:val="22"/>
                <w:szCs w:val="22"/>
                <w:highlight w:val="none"/>
                <w:u w:val="none"/>
                <w:lang w:val="en-US" w:eastAsia="zh-CN" w:bidi="ar"/>
                <w14:textFill>
                  <w14:solidFill>
                    <w14:schemeClr w14:val="tx1"/>
                  </w14:solidFill>
                </w14:textFill>
              </w:rPr>
              <w:t>人民币650000元</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kern w:val="2"/>
          <w:sz w:val="24"/>
          <w:szCs w:val="24"/>
          <w:highlight w:val="none"/>
          <w:lang w:val="en-US" w:eastAsia="zh-CN" w:bidi="ar-SA"/>
        </w:rPr>
        <w:t>（二）</w:t>
      </w: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项目概况</w:t>
      </w:r>
    </w:p>
    <w:p w14:paraId="067A2555">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项目背景</w:t>
      </w:r>
    </w:p>
    <w:p w14:paraId="31BF8C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根据《中华人民共和国计量法》、《中华人民共和国计量法实施细则》等计量相关管理办法规定，采购人需将医用计量仪器如医用辐射源、医用超声源、医用激光源等委托取得相应授权的法定计量检定机构进行依法检定（以下简称“检测”）。</w:t>
      </w:r>
    </w:p>
    <w:p w14:paraId="7DF20E09">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w:t>
      </w:r>
    </w:p>
    <w:p w14:paraId="58FA817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中山大学孙逸仙纪念医院北院区，地址：广州市越秀区沿江西路107号；</w:t>
      </w:r>
    </w:p>
    <w:p w14:paraId="2820D4D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398" w:firstLineChars="166"/>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中山大学孙逸仙纪念医院南院区，地址：广州市海珠区盈丰路33号。</w:t>
      </w:r>
    </w:p>
    <w:p w14:paraId="23D82626">
      <w:pPr>
        <w:pStyle w:val="27"/>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服务时间：按采购人要求。</w:t>
      </w:r>
    </w:p>
    <w:p w14:paraId="1CEBD9D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服务期限：自合同签订之日起算，为期一年。</w:t>
      </w:r>
    </w:p>
    <w:p w14:paraId="64C05957">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服务要求</w:t>
      </w:r>
    </w:p>
    <w:p w14:paraId="7EF0711D">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成交供应商应在接到采购人通知后的约定时间内，到采购人指定的现场对需要依法检测的仪器（以下简称“仪器”）进行检测。</w:t>
      </w:r>
    </w:p>
    <w:p w14:paraId="0684DBBE">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须依据国家检定规程、检测规范或双方认可的检测方法对采购人的仪器进行检测。当国家检定规程、检测规范与双方认可的检测方法存在冲突时，以国家检定规程、检测规范为准，但双方可协商对部分特殊情况进行调整。</w:t>
      </w:r>
    </w:p>
    <w:p w14:paraId="6949E621">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现场检测时应与采购人相关科室协调合适的时间段进行，确保不影响临床工作。若因双方协调问题导致现场检测无法在约定时间内进行，双方应共同协商解决方案。</w:t>
      </w:r>
    </w:p>
    <w:p w14:paraId="0F5C338D">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在现场检测时应规范着装，佩戴工作证，文明用语，服务热情，行为得体，严格遵守医院管理部门各项规章制度及规定。</w:t>
      </w:r>
    </w:p>
    <w:p w14:paraId="34B8FF13">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现场检测完毕后，成交供应商应在不多于三十个工作日内出具证书。</w:t>
      </w:r>
    </w:p>
    <w:p w14:paraId="3DDD7098">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送检的仪器，正常情况下（标准器外送或其他特殊情况除外），成交供应商应在不多于十个工作日内完成仪器检测工作并出具相应证书，采购人验收、支付服务费并领取仪器及证书；标准类以及单次送检批量较大的仪器的检测周期另行协商。</w:t>
      </w:r>
    </w:p>
    <w:p w14:paraId="165ED6B3">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检测中发现不合格的仪器，需调试维修后才能检测的，成交供应商应知会采购人后方可进行调修，调修费用由采购人承担。</w:t>
      </w:r>
    </w:p>
    <w:p w14:paraId="5C6F4414">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采购人指派专业人员跟踪仪器的检测进度，检查证书内容是否符合要求，成交供应商应与采购人负责指派的专业人员及时沟通仪器的检测进度。</w:t>
      </w:r>
    </w:p>
    <w:p w14:paraId="1AB8D852">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成交供应商到采购人指定的现场工作时，需协助采购人在现场检测时做好协调工作，提前告知采购人需提供的仪器技术资料，以及现场检测所需的环境条件及辅助人员。</w:t>
      </w:r>
    </w:p>
    <w:p w14:paraId="4C7A3020">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对送检的仪器，若有需要，成交供应商应告知采购人需提供的仪器技术资料。</w:t>
      </w:r>
    </w:p>
    <w:p w14:paraId="5DD43648">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采购人对已完检的仪器及证书，按验收标准进行验收。</w:t>
      </w:r>
    </w:p>
    <w:p w14:paraId="2817B705">
      <w:pPr>
        <w:pStyle w:val="27"/>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供应商需提供服务方案，除以上要求，更要从技术力量配置、服务响应计划和时间安排、服务承诺等方面，充分结合本采购项目的特点和供应商自身优势，内容和程序详细清晰、有针对性、可行性强。</w:t>
      </w:r>
    </w:p>
    <w:p w14:paraId="2AA8F81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送检仪器检测前验收标准及方式</w:t>
      </w:r>
    </w:p>
    <w:p w14:paraId="0527C3A4">
      <w:pPr>
        <w:pStyle w:val="27"/>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验收标准：依据国家相关检定规程、检测规范，以及依据仪器的技术说明书的技术要求。当国家相关检定规程、检测规范与仪器技术说明书的技术要求不一致时，以更严格的标准作为验收依据。</w:t>
      </w:r>
    </w:p>
    <w:p w14:paraId="24ED53EE">
      <w:pPr>
        <w:pStyle w:val="27"/>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验收方式：</w:t>
      </w:r>
    </w:p>
    <w:p w14:paraId="36C18D9C">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成交供应商接收仪器时需检查仪器外观是否完好，检测时检查仪器性能是否正常，如有问题应及时联系采购人报告情况；</w:t>
      </w:r>
    </w:p>
    <w:p w14:paraId="7D6FB14A">
      <w:pPr>
        <w:pStyle w:val="27"/>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成交供应商对已完检的仪器按验收标准进行验收，双方在委托单上签名确认。双方在委托单上签名确认后，视为对仪器检测前状态的认可，该委托单具有法律效力。</w:t>
      </w:r>
    </w:p>
    <w:p w14:paraId="02DA5056">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报价要求</w:t>
      </w:r>
    </w:p>
    <w:p w14:paraId="5A30AE5A">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为综合单价包干按实结算项目：响应人报价应是比选文件所确定的采购范围内全部内容的价格表现。即包括但不限于检测、装卸、运输、处置、人工、税金、利润、完成合同所需的一切本身和不可或缺的所有工作开支等费用。</w:t>
      </w:r>
    </w:p>
    <w:p w14:paraId="7740B789">
      <w:pPr>
        <w:pStyle w:val="27"/>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有少报漏报的内容均已包含在总价内，成交供应商不得以任何的形式向采购人索要追加任何的费用，采购人也没有义务支付任何合同总价外的费用。成交供应商在报价时应充分了解项目需求，对报价内容的完整性和准确性负责，确保不存在少报漏报情况。</w:t>
      </w:r>
    </w:p>
    <w:p w14:paraId="6A062265">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结算方式</w:t>
      </w:r>
    </w:p>
    <w:p w14:paraId="64921213">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按照实际检测数量支付，根据成交单价按次按实结算，实际结算总价=“检定设备清单”中成交单价×实际检测数量，年度支付总额不超过采购预算65万。</w:t>
      </w:r>
    </w:p>
    <w:p w14:paraId="499F48E8">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成交供应商按成交单价实际计算每次检测应付的检测费，每次检测完毕，成交供应商出具纸质收费清单提交给采购人； </w:t>
      </w:r>
    </w:p>
    <w:p w14:paraId="5F9D1C6A">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采购人在确认检测费后，通知成交供应商开具发票；</w:t>
      </w:r>
    </w:p>
    <w:p w14:paraId="62B12F5B">
      <w:pPr>
        <w:pStyle w:val="27"/>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采购人原则上应当自收到发票且在满足支付条件的前提下30个工作日内支付结算款项。</w:t>
      </w:r>
    </w:p>
    <w:p w14:paraId="3D395702">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医用计量检定设备预估清单</w:t>
      </w:r>
    </w:p>
    <w:tbl>
      <w:tblPr>
        <w:tblStyle w:val="18"/>
        <w:tblpPr w:leftFromText="180" w:rightFromText="180" w:vertAnchor="text" w:horzAnchor="page" w:tblpX="2865" w:tblpY="5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70"/>
        <w:gridCol w:w="2265"/>
      </w:tblGrid>
      <w:tr w14:paraId="73F9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036D5D52">
            <w:pPr>
              <w:widowControl/>
              <w:jc w:val="center"/>
              <w:rPr>
                <w:rFonts w:hint="eastAsia" w:ascii="宋体" w:hAnsi="宋体" w:cs="宋体"/>
                <w:kern w:val="0"/>
                <w:szCs w:val="21"/>
                <w:highlight w:val="none"/>
              </w:rPr>
            </w:pPr>
            <w:r>
              <w:rPr>
                <w:rFonts w:hint="eastAsia" w:ascii="宋体" w:hAnsi="宋体" w:cs="宋体"/>
                <w:kern w:val="0"/>
                <w:szCs w:val="21"/>
                <w:highlight w:val="none"/>
              </w:rPr>
              <w:t>编号</w:t>
            </w:r>
          </w:p>
        </w:tc>
        <w:tc>
          <w:tcPr>
            <w:tcW w:w="2970" w:type="dxa"/>
            <w:noWrap/>
            <w:vAlign w:val="center"/>
          </w:tcPr>
          <w:p w14:paraId="1811844F">
            <w:pPr>
              <w:widowControl/>
              <w:jc w:val="center"/>
              <w:rPr>
                <w:rFonts w:hint="eastAsia" w:ascii="宋体" w:hAnsi="宋体" w:cs="宋体"/>
                <w:kern w:val="0"/>
                <w:szCs w:val="21"/>
                <w:highlight w:val="none"/>
              </w:rPr>
            </w:pPr>
            <w:r>
              <w:rPr>
                <w:rFonts w:hint="eastAsia" w:ascii="宋体" w:hAnsi="宋体" w:cs="宋体"/>
                <w:kern w:val="0"/>
                <w:szCs w:val="21"/>
                <w:highlight w:val="none"/>
              </w:rPr>
              <w:t>设备名称</w:t>
            </w:r>
          </w:p>
        </w:tc>
        <w:tc>
          <w:tcPr>
            <w:tcW w:w="2265" w:type="dxa"/>
            <w:noWrap w:val="0"/>
            <w:vAlign w:val="center"/>
          </w:tcPr>
          <w:p w14:paraId="1D9E6CA4">
            <w:pPr>
              <w:pStyle w:val="9"/>
              <w:adjustRightInd w:val="0"/>
              <w:snapToGrid w:val="0"/>
              <w:jc w:val="center"/>
              <w:rPr>
                <w:rFonts w:hint="eastAsia" w:hAnsi="宋体" w:cs="宋体"/>
                <w:highlight w:val="none"/>
              </w:rPr>
            </w:pPr>
            <w:r>
              <w:rPr>
                <w:rFonts w:hint="eastAsia" w:hAnsi="宋体" w:cs="宋体"/>
                <w:highlight w:val="none"/>
              </w:rPr>
              <w:t>预计数量（台）</w:t>
            </w:r>
          </w:p>
        </w:tc>
      </w:tr>
      <w:tr w14:paraId="6228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A2CC98A">
            <w:pPr>
              <w:widowControl/>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2970" w:type="dxa"/>
            <w:noWrap/>
            <w:vAlign w:val="center"/>
          </w:tcPr>
          <w:p w14:paraId="3B4982AC">
            <w:pPr>
              <w:widowControl/>
              <w:jc w:val="center"/>
              <w:rPr>
                <w:rFonts w:hint="eastAsia" w:ascii="宋体" w:hAnsi="宋体" w:cs="宋体"/>
                <w:szCs w:val="21"/>
                <w:highlight w:val="none"/>
              </w:rPr>
            </w:pPr>
            <w:r>
              <w:rPr>
                <w:rFonts w:hint="eastAsia" w:ascii="宋体" w:hAnsi="宋体" w:cs="宋体"/>
                <w:szCs w:val="21"/>
                <w:highlight w:val="none"/>
              </w:rPr>
              <w:t>CT机</w:t>
            </w:r>
          </w:p>
        </w:tc>
        <w:tc>
          <w:tcPr>
            <w:tcW w:w="2265" w:type="dxa"/>
            <w:noWrap w:val="0"/>
            <w:vAlign w:val="center"/>
          </w:tcPr>
          <w:p w14:paraId="07A28439">
            <w:pPr>
              <w:jc w:val="center"/>
              <w:rPr>
                <w:rFonts w:ascii="宋体" w:hAnsi="宋体" w:cs="宋体"/>
                <w:szCs w:val="21"/>
                <w:highlight w:val="none"/>
              </w:rPr>
            </w:pPr>
            <w:r>
              <w:rPr>
                <w:rFonts w:hint="eastAsia" w:ascii="宋体" w:hAnsi="宋体" w:cs="宋体"/>
                <w:szCs w:val="21"/>
                <w:highlight w:val="none"/>
              </w:rPr>
              <w:t>6</w:t>
            </w:r>
          </w:p>
        </w:tc>
      </w:tr>
      <w:tr w14:paraId="63E3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36AD2DDC">
            <w:pPr>
              <w:widowControl/>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2970" w:type="dxa"/>
            <w:noWrap/>
            <w:vAlign w:val="center"/>
          </w:tcPr>
          <w:p w14:paraId="3047F967">
            <w:pPr>
              <w:jc w:val="center"/>
              <w:rPr>
                <w:rFonts w:hint="eastAsia" w:ascii="宋体" w:hAnsi="宋体" w:cs="宋体"/>
                <w:szCs w:val="21"/>
                <w:highlight w:val="none"/>
              </w:rPr>
            </w:pPr>
            <w:r>
              <w:rPr>
                <w:rFonts w:hint="eastAsia" w:ascii="宋体" w:hAnsi="宋体" w:cs="宋体"/>
                <w:szCs w:val="21"/>
                <w:highlight w:val="none"/>
              </w:rPr>
              <w:t>DR/CR机</w:t>
            </w:r>
          </w:p>
        </w:tc>
        <w:tc>
          <w:tcPr>
            <w:tcW w:w="2265" w:type="dxa"/>
            <w:noWrap w:val="0"/>
            <w:vAlign w:val="center"/>
          </w:tcPr>
          <w:p w14:paraId="0B12B40F">
            <w:pPr>
              <w:jc w:val="center"/>
              <w:rPr>
                <w:rFonts w:ascii="宋体" w:hAnsi="宋体" w:cs="宋体"/>
                <w:szCs w:val="21"/>
                <w:highlight w:val="none"/>
              </w:rPr>
            </w:pPr>
            <w:r>
              <w:rPr>
                <w:rFonts w:hint="eastAsia" w:ascii="宋体" w:hAnsi="宋体" w:cs="宋体"/>
                <w:szCs w:val="21"/>
                <w:highlight w:val="none"/>
              </w:rPr>
              <w:t>20</w:t>
            </w:r>
          </w:p>
        </w:tc>
      </w:tr>
      <w:tr w14:paraId="5FC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14BB829">
            <w:pPr>
              <w:widowControl/>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2970" w:type="dxa"/>
            <w:noWrap/>
            <w:vAlign w:val="center"/>
          </w:tcPr>
          <w:p w14:paraId="7482CAE2">
            <w:pPr>
              <w:jc w:val="center"/>
              <w:rPr>
                <w:rFonts w:hint="eastAsia" w:ascii="宋体" w:hAnsi="宋体" w:cs="宋体"/>
                <w:szCs w:val="21"/>
                <w:highlight w:val="none"/>
              </w:rPr>
            </w:pPr>
            <w:r>
              <w:rPr>
                <w:rFonts w:hint="eastAsia" w:ascii="宋体" w:hAnsi="宋体" w:cs="宋体"/>
                <w:szCs w:val="21"/>
                <w:highlight w:val="none"/>
              </w:rPr>
              <w:t>DSA</w:t>
            </w:r>
          </w:p>
        </w:tc>
        <w:tc>
          <w:tcPr>
            <w:tcW w:w="2265" w:type="dxa"/>
            <w:noWrap w:val="0"/>
            <w:vAlign w:val="center"/>
          </w:tcPr>
          <w:p w14:paraId="1754C0AF">
            <w:pPr>
              <w:jc w:val="center"/>
              <w:rPr>
                <w:rFonts w:hint="eastAsia" w:ascii="宋体" w:hAnsi="宋体" w:cs="宋体"/>
                <w:szCs w:val="21"/>
                <w:highlight w:val="none"/>
              </w:rPr>
            </w:pPr>
            <w:r>
              <w:rPr>
                <w:rFonts w:hint="eastAsia" w:ascii="宋体" w:hAnsi="宋体" w:cs="宋体"/>
                <w:szCs w:val="21"/>
                <w:highlight w:val="none"/>
              </w:rPr>
              <w:t>6</w:t>
            </w:r>
          </w:p>
        </w:tc>
      </w:tr>
      <w:tr w14:paraId="07F0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4F99BC0">
            <w:pPr>
              <w:widowControl/>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970" w:type="dxa"/>
            <w:noWrap/>
            <w:vAlign w:val="center"/>
          </w:tcPr>
          <w:p w14:paraId="24525DE4">
            <w:pPr>
              <w:jc w:val="center"/>
              <w:rPr>
                <w:rFonts w:hint="eastAsia" w:ascii="宋体" w:hAnsi="宋体" w:cs="宋体"/>
                <w:szCs w:val="21"/>
                <w:highlight w:val="none"/>
              </w:rPr>
            </w:pPr>
            <w:r>
              <w:rPr>
                <w:rFonts w:hint="eastAsia" w:ascii="宋体" w:hAnsi="宋体" w:cs="宋体"/>
                <w:szCs w:val="21"/>
                <w:highlight w:val="none"/>
              </w:rPr>
              <w:t>移动式C/O形臂X光机</w:t>
            </w:r>
          </w:p>
        </w:tc>
        <w:tc>
          <w:tcPr>
            <w:tcW w:w="2265" w:type="dxa"/>
            <w:noWrap w:val="0"/>
            <w:vAlign w:val="center"/>
          </w:tcPr>
          <w:p w14:paraId="1FCF47E1">
            <w:pPr>
              <w:jc w:val="center"/>
              <w:rPr>
                <w:rFonts w:ascii="宋体" w:hAnsi="宋体" w:cs="宋体"/>
                <w:szCs w:val="21"/>
                <w:highlight w:val="none"/>
              </w:rPr>
            </w:pPr>
            <w:r>
              <w:rPr>
                <w:rFonts w:hint="eastAsia" w:ascii="宋体" w:hAnsi="宋体" w:cs="宋体"/>
                <w:szCs w:val="21"/>
                <w:highlight w:val="none"/>
              </w:rPr>
              <w:t>5</w:t>
            </w:r>
          </w:p>
        </w:tc>
      </w:tr>
      <w:tr w14:paraId="6D00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F358A7C">
            <w:pPr>
              <w:widowControl/>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2970" w:type="dxa"/>
            <w:noWrap/>
            <w:vAlign w:val="center"/>
          </w:tcPr>
          <w:p w14:paraId="0DD14343">
            <w:pPr>
              <w:jc w:val="center"/>
              <w:rPr>
                <w:rFonts w:hint="eastAsia" w:ascii="宋体" w:hAnsi="宋体" w:cs="宋体"/>
                <w:szCs w:val="21"/>
                <w:highlight w:val="none"/>
              </w:rPr>
            </w:pPr>
            <w:r>
              <w:rPr>
                <w:rFonts w:hint="eastAsia" w:ascii="宋体" w:hAnsi="宋体" w:cs="宋体"/>
                <w:szCs w:val="21"/>
                <w:highlight w:val="none"/>
              </w:rPr>
              <w:t>数字乳腺X射线机</w:t>
            </w:r>
          </w:p>
        </w:tc>
        <w:tc>
          <w:tcPr>
            <w:tcW w:w="2265" w:type="dxa"/>
            <w:noWrap w:val="0"/>
            <w:vAlign w:val="center"/>
          </w:tcPr>
          <w:p w14:paraId="2D85D6B6">
            <w:pPr>
              <w:jc w:val="center"/>
              <w:rPr>
                <w:rFonts w:hint="eastAsia" w:ascii="宋体" w:hAnsi="宋体" w:cs="宋体"/>
                <w:szCs w:val="21"/>
                <w:highlight w:val="none"/>
              </w:rPr>
            </w:pPr>
            <w:r>
              <w:rPr>
                <w:rFonts w:hint="eastAsia" w:ascii="宋体" w:hAnsi="宋体" w:cs="宋体"/>
                <w:szCs w:val="21"/>
                <w:highlight w:val="none"/>
              </w:rPr>
              <w:t>4</w:t>
            </w:r>
          </w:p>
        </w:tc>
      </w:tr>
      <w:tr w14:paraId="573D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30020E7">
            <w:pPr>
              <w:widowControl/>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2970" w:type="dxa"/>
            <w:noWrap/>
            <w:vAlign w:val="center"/>
          </w:tcPr>
          <w:p w14:paraId="7B8E1B6A">
            <w:pPr>
              <w:jc w:val="center"/>
              <w:rPr>
                <w:rFonts w:hint="eastAsia" w:ascii="宋体" w:hAnsi="宋体" w:cs="宋体"/>
                <w:szCs w:val="21"/>
                <w:highlight w:val="none"/>
              </w:rPr>
            </w:pPr>
            <w:r>
              <w:rPr>
                <w:rFonts w:hint="eastAsia" w:ascii="宋体" w:hAnsi="宋体" w:cs="宋体"/>
                <w:szCs w:val="21"/>
                <w:highlight w:val="none"/>
              </w:rPr>
              <w:t>牙科(口腔)CT机</w:t>
            </w:r>
          </w:p>
        </w:tc>
        <w:tc>
          <w:tcPr>
            <w:tcW w:w="2265" w:type="dxa"/>
            <w:noWrap w:val="0"/>
            <w:vAlign w:val="center"/>
          </w:tcPr>
          <w:p w14:paraId="60C3BEBA">
            <w:pPr>
              <w:jc w:val="center"/>
              <w:rPr>
                <w:rFonts w:hint="eastAsia" w:ascii="宋体" w:hAnsi="宋体" w:cs="宋体"/>
                <w:szCs w:val="21"/>
                <w:highlight w:val="none"/>
              </w:rPr>
            </w:pPr>
            <w:r>
              <w:rPr>
                <w:rFonts w:hint="eastAsia" w:ascii="宋体" w:hAnsi="宋体" w:cs="宋体"/>
                <w:szCs w:val="21"/>
                <w:highlight w:val="none"/>
              </w:rPr>
              <w:t>2</w:t>
            </w:r>
          </w:p>
        </w:tc>
      </w:tr>
      <w:tr w14:paraId="2CB7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CCE5D9E">
            <w:pPr>
              <w:widowControl/>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2970" w:type="dxa"/>
            <w:noWrap/>
            <w:vAlign w:val="center"/>
          </w:tcPr>
          <w:p w14:paraId="100F4381">
            <w:pPr>
              <w:jc w:val="center"/>
              <w:rPr>
                <w:rFonts w:hint="eastAsia" w:ascii="宋体" w:hAnsi="宋体" w:cs="宋体"/>
                <w:szCs w:val="21"/>
                <w:highlight w:val="none"/>
              </w:rPr>
            </w:pPr>
            <w:r>
              <w:rPr>
                <w:rFonts w:hint="eastAsia" w:ascii="宋体" w:hAnsi="宋体" w:cs="宋体"/>
                <w:szCs w:val="21"/>
                <w:highlight w:val="none"/>
              </w:rPr>
              <w:t>B超机/彩超机</w:t>
            </w:r>
          </w:p>
        </w:tc>
        <w:tc>
          <w:tcPr>
            <w:tcW w:w="2265" w:type="dxa"/>
            <w:noWrap w:val="0"/>
            <w:vAlign w:val="center"/>
          </w:tcPr>
          <w:p w14:paraId="595CADA7">
            <w:pPr>
              <w:jc w:val="center"/>
              <w:rPr>
                <w:rFonts w:ascii="宋体" w:hAnsi="宋体" w:cs="宋体"/>
                <w:szCs w:val="21"/>
                <w:highlight w:val="none"/>
              </w:rPr>
            </w:pPr>
            <w:r>
              <w:rPr>
                <w:rFonts w:hint="eastAsia" w:ascii="宋体" w:hAnsi="宋体" w:cs="宋体"/>
                <w:szCs w:val="21"/>
                <w:highlight w:val="none"/>
              </w:rPr>
              <w:t>319</w:t>
            </w:r>
          </w:p>
        </w:tc>
      </w:tr>
      <w:tr w14:paraId="56D8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1E9B976">
            <w:pPr>
              <w:widowControl/>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2970" w:type="dxa"/>
            <w:noWrap/>
            <w:vAlign w:val="center"/>
          </w:tcPr>
          <w:p w14:paraId="2BFBFB4B">
            <w:pPr>
              <w:jc w:val="center"/>
              <w:rPr>
                <w:rFonts w:hint="eastAsia" w:ascii="宋体" w:hAnsi="宋体" w:cs="宋体"/>
                <w:szCs w:val="21"/>
                <w:highlight w:val="none"/>
              </w:rPr>
            </w:pPr>
            <w:r>
              <w:rPr>
                <w:rFonts w:hint="eastAsia" w:ascii="宋体" w:hAnsi="宋体" w:cs="宋体"/>
                <w:szCs w:val="21"/>
                <w:highlight w:val="none"/>
              </w:rPr>
              <w:t>胎儿监护仪</w:t>
            </w:r>
          </w:p>
        </w:tc>
        <w:tc>
          <w:tcPr>
            <w:tcW w:w="2265" w:type="dxa"/>
            <w:noWrap w:val="0"/>
            <w:vAlign w:val="center"/>
          </w:tcPr>
          <w:p w14:paraId="7E0BCD83">
            <w:pPr>
              <w:jc w:val="center"/>
              <w:rPr>
                <w:rFonts w:ascii="宋体" w:hAnsi="宋体" w:cs="宋体"/>
                <w:szCs w:val="21"/>
                <w:highlight w:val="none"/>
              </w:rPr>
            </w:pPr>
            <w:r>
              <w:rPr>
                <w:rFonts w:hint="eastAsia" w:ascii="宋体" w:hAnsi="宋体" w:cs="宋体"/>
                <w:szCs w:val="21"/>
                <w:highlight w:val="none"/>
              </w:rPr>
              <w:t>19</w:t>
            </w:r>
          </w:p>
        </w:tc>
      </w:tr>
      <w:tr w14:paraId="233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2CF4B5F">
            <w:pPr>
              <w:widowControl/>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2970" w:type="dxa"/>
            <w:noWrap/>
            <w:vAlign w:val="center"/>
          </w:tcPr>
          <w:p w14:paraId="41040921">
            <w:pPr>
              <w:jc w:val="center"/>
              <w:rPr>
                <w:rFonts w:hint="eastAsia" w:ascii="宋体" w:hAnsi="宋体" w:cs="宋体"/>
                <w:szCs w:val="21"/>
                <w:highlight w:val="none"/>
              </w:rPr>
            </w:pPr>
            <w:r>
              <w:rPr>
                <w:rFonts w:hint="eastAsia" w:ascii="宋体" w:hAnsi="宋体" w:cs="宋体"/>
                <w:szCs w:val="21"/>
                <w:highlight w:val="none"/>
              </w:rPr>
              <w:t>多普勒胎心音仪</w:t>
            </w:r>
          </w:p>
        </w:tc>
        <w:tc>
          <w:tcPr>
            <w:tcW w:w="2265" w:type="dxa"/>
            <w:noWrap w:val="0"/>
            <w:vAlign w:val="center"/>
          </w:tcPr>
          <w:p w14:paraId="6D6E9B8B">
            <w:pPr>
              <w:jc w:val="center"/>
              <w:rPr>
                <w:rFonts w:ascii="宋体" w:hAnsi="宋体" w:cs="宋体"/>
                <w:szCs w:val="21"/>
                <w:highlight w:val="none"/>
              </w:rPr>
            </w:pPr>
            <w:r>
              <w:rPr>
                <w:rFonts w:hint="eastAsia" w:ascii="宋体" w:hAnsi="宋体" w:cs="宋体"/>
                <w:szCs w:val="21"/>
                <w:highlight w:val="none"/>
              </w:rPr>
              <w:t>13</w:t>
            </w:r>
          </w:p>
        </w:tc>
      </w:tr>
      <w:tr w14:paraId="7256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0E16B457">
            <w:pPr>
              <w:widowControl/>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2970" w:type="dxa"/>
            <w:noWrap/>
            <w:vAlign w:val="center"/>
          </w:tcPr>
          <w:p w14:paraId="2195A56D">
            <w:pPr>
              <w:jc w:val="center"/>
              <w:rPr>
                <w:rFonts w:hint="eastAsia" w:ascii="宋体" w:hAnsi="宋体" w:cs="宋体"/>
                <w:szCs w:val="21"/>
                <w:highlight w:val="none"/>
              </w:rPr>
            </w:pPr>
            <w:r>
              <w:rPr>
                <w:rFonts w:hint="eastAsia" w:ascii="宋体" w:hAnsi="宋体" w:cs="宋体"/>
                <w:szCs w:val="21"/>
                <w:highlight w:val="none"/>
              </w:rPr>
              <w:t>半导体激光机</w:t>
            </w:r>
          </w:p>
        </w:tc>
        <w:tc>
          <w:tcPr>
            <w:tcW w:w="2265" w:type="dxa"/>
            <w:noWrap w:val="0"/>
            <w:vAlign w:val="center"/>
          </w:tcPr>
          <w:p w14:paraId="0C8D63A2">
            <w:pPr>
              <w:jc w:val="center"/>
              <w:rPr>
                <w:rFonts w:hint="eastAsia" w:ascii="宋体" w:hAnsi="宋体" w:cs="宋体"/>
                <w:szCs w:val="21"/>
                <w:highlight w:val="none"/>
              </w:rPr>
            </w:pPr>
            <w:r>
              <w:rPr>
                <w:rFonts w:hint="eastAsia" w:ascii="宋体" w:hAnsi="宋体" w:cs="宋体"/>
                <w:szCs w:val="21"/>
                <w:highlight w:val="none"/>
              </w:rPr>
              <w:t>1</w:t>
            </w:r>
          </w:p>
        </w:tc>
      </w:tr>
      <w:tr w14:paraId="69B2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165D7B73">
            <w:pPr>
              <w:widowControl/>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970" w:type="dxa"/>
            <w:noWrap/>
            <w:vAlign w:val="center"/>
          </w:tcPr>
          <w:p w14:paraId="7F236F04">
            <w:pPr>
              <w:jc w:val="center"/>
              <w:rPr>
                <w:rFonts w:hint="eastAsia" w:ascii="宋体" w:hAnsi="宋体" w:cs="宋体"/>
                <w:szCs w:val="21"/>
                <w:highlight w:val="none"/>
              </w:rPr>
            </w:pPr>
            <w:r>
              <w:rPr>
                <w:rFonts w:hint="eastAsia" w:ascii="宋体" w:hAnsi="宋体" w:cs="宋体"/>
                <w:szCs w:val="21"/>
                <w:highlight w:val="none"/>
              </w:rPr>
              <w:t>氦氖激光机</w:t>
            </w:r>
          </w:p>
        </w:tc>
        <w:tc>
          <w:tcPr>
            <w:tcW w:w="2265" w:type="dxa"/>
            <w:noWrap w:val="0"/>
            <w:vAlign w:val="center"/>
          </w:tcPr>
          <w:p w14:paraId="27BBC7CE">
            <w:pPr>
              <w:jc w:val="center"/>
              <w:rPr>
                <w:rFonts w:hint="eastAsia" w:ascii="宋体" w:hAnsi="宋体" w:cs="宋体"/>
                <w:szCs w:val="21"/>
                <w:highlight w:val="none"/>
              </w:rPr>
            </w:pPr>
            <w:r>
              <w:rPr>
                <w:rFonts w:hint="eastAsia" w:ascii="宋体" w:hAnsi="宋体" w:cs="宋体"/>
                <w:szCs w:val="21"/>
                <w:highlight w:val="none"/>
              </w:rPr>
              <w:t>2</w:t>
            </w:r>
          </w:p>
        </w:tc>
      </w:tr>
      <w:tr w14:paraId="3A19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4E3D641F">
            <w:pPr>
              <w:widowControl/>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2970" w:type="dxa"/>
            <w:noWrap/>
            <w:vAlign w:val="center"/>
          </w:tcPr>
          <w:p w14:paraId="46D67D9D">
            <w:pPr>
              <w:jc w:val="center"/>
              <w:rPr>
                <w:rFonts w:hint="eastAsia" w:ascii="宋体" w:hAnsi="宋体" w:cs="宋体"/>
                <w:szCs w:val="21"/>
                <w:highlight w:val="none"/>
              </w:rPr>
            </w:pPr>
            <w:r>
              <w:rPr>
                <w:rFonts w:hint="eastAsia" w:ascii="宋体" w:hAnsi="宋体" w:cs="宋体"/>
                <w:szCs w:val="21"/>
                <w:highlight w:val="none"/>
              </w:rPr>
              <w:t>CO</w:t>
            </w:r>
            <w:r>
              <w:rPr>
                <w:rFonts w:hint="eastAsia" w:ascii="宋体" w:hAnsi="宋体" w:cs="宋体"/>
                <w:szCs w:val="21"/>
                <w:highlight w:val="none"/>
                <w:vertAlign w:val="subscript"/>
              </w:rPr>
              <w:t>2</w:t>
            </w:r>
            <w:r>
              <w:rPr>
                <w:rFonts w:hint="eastAsia" w:ascii="宋体" w:hAnsi="宋体" w:cs="宋体"/>
                <w:szCs w:val="21"/>
                <w:highlight w:val="none"/>
              </w:rPr>
              <w:t>激光机</w:t>
            </w:r>
          </w:p>
        </w:tc>
        <w:tc>
          <w:tcPr>
            <w:tcW w:w="2265" w:type="dxa"/>
            <w:noWrap w:val="0"/>
            <w:vAlign w:val="center"/>
          </w:tcPr>
          <w:p w14:paraId="682B44D1">
            <w:pPr>
              <w:jc w:val="center"/>
              <w:rPr>
                <w:rFonts w:hint="eastAsia" w:ascii="宋体" w:hAnsi="宋体" w:cs="宋体"/>
                <w:szCs w:val="21"/>
                <w:highlight w:val="none"/>
              </w:rPr>
            </w:pPr>
            <w:r>
              <w:rPr>
                <w:rFonts w:hint="eastAsia" w:ascii="宋体" w:hAnsi="宋体" w:cs="宋体"/>
                <w:szCs w:val="21"/>
                <w:highlight w:val="none"/>
              </w:rPr>
              <w:t>7</w:t>
            </w:r>
          </w:p>
        </w:tc>
      </w:tr>
      <w:tr w14:paraId="4AC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73923066">
            <w:pPr>
              <w:widowControl/>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2970" w:type="dxa"/>
            <w:noWrap/>
            <w:vAlign w:val="center"/>
          </w:tcPr>
          <w:p w14:paraId="314414C9">
            <w:pPr>
              <w:jc w:val="center"/>
              <w:rPr>
                <w:rFonts w:hint="eastAsia" w:ascii="宋体" w:hAnsi="宋体" w:cs="宋体"/>
                <w:szCs w:val="21"/>
                <w:highlight w:val="none"/>
              </w:rPr>
            </w:pPr>
            <w:r>
              <w:rPr>
                <w:rFonts w:hint="eastAsia" w:ascii="宋体" w:hAnsi="宋体" w:cs="宋体"/>
                <w:szCs w:val="21"/>
                <w:highlight w:val="none"/>
              </w:rPr>
              <w:t>YAG激光机</w:t>
            </w:r>
          </w:p>
        </w:tc>
        <w:tc>
          <w:tcPr>
            <w:tcW w:w="2265" w:type="dxa"/>
            <w:noWrap w:val="0"/>
            <w:vAlign w:val="center"/>
          </w:tcPr>
          <w:p w14:paraId="7511C27B">
            <w:pPr>
              <w:jc w:val="center"/>
              <w:rPr>
                <w:rFonts w:hint="eastAsia" w:ascii="宋体" w:hAnsi="宋体" w:cs="宋体"/>
                <w:szCs w:val="21"/>
                <w:highlight w:val="none"/>
              </w:rPr>
            </w:pPr>
            <w:r>
              <w:rPr>
                <w:rFonts w:hint="eastAsia" w:ascii="宋体" w:hAnsi="宋体" w:cs="宋体"/>
                <w:szCs w:val="21"/>
                <w:highlight w:val="none"/>
              </w:rPr>
              <w:t>4</w:t>
            </w:r>
          </w:p>
        </w:tc>
      </w:tr>
      <w:tr w14:paraId="65E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8061921">
            <w:pPr>
              <w:widowControl/>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970" w:type="dxa"/>
            <w:noWrap/>
            <w:vAlign w:val="center"/>
          </w:tcPr>
          <w:p w14:paraId="05F66B9D">
            <w:pPr>
              <w:jc w:val="center"/>
              <w:rPr>
                <w:rFonts w:hint="eastAsia" w:ascii="宋体" w:hAnsi="宋体" w:cs="宋体"/>
                <w:szCs w:val="21"/>
                <w:highlight w:val="none"/>
              </w:rPr>
            </w:pPr>
            <w:r>
              <w:rPr>
                <w:rFonts w:hint="eastAsia" w:ascii="宋体" w:hAnsi="宋体" w:cs="宋体"/>
                <w:szCs w:val="21"/>
                <w:highlight w:val="none"/>
              </w:rPr>
              <w:t>除颤监护仪</w:t>
            </w:r>
          </w:p>
        </w:tc>
        <w:tc>
          <w:tcPr>
            <w:tcW w:w="2265" w:type="dxa"/>
            <w:noWrap w:val="0"/>
            <w:vAlign w:val="center"/>
          </w:tcPr>
          <w:p w14:paraId="7D7F5257">
            <w:pPr>
              <w:jc w:val="center"/>
              <w:rPr>
                <w:rFonts w:ascii="宋体" w:hAnsi="宋体" w:cs="宋体"/>
                <w:szCs w:val="21"/>
                <w:highlight w:val="none"/>
              </w:rPr>
            </w:pPr>
            <w:r>
              <w:rPr>
                <w:rFonts w:hint="eastAsia" w:ascii="宋体" w:hAnsi="宋体" w:cs="宋体"/>
                <w:szCs w:val="21"/>
                <w:highlight w:val="none"/>
              </w:rPr>
              <w:t>124</w:t>
            </w:r>
          </w:p>
        </w:tc>
      </w:tr>
      <w:tr w14:paraId="17A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82031FA">
            <w:pPr>
              <w:widowControl/>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2970" w:type="dxa"/>
            <w:noWrap/>
            <w:vAlign w:val="center"/>
          </w:tcPr>
          <w:p w14:paraId="11C2A86E">
            <w:pPr>
              <w:jc w:val="center"/>
              <w:rPr>
                <w:rFonts w:hint="eastAsia" w:ascii="宋体" w:hAnsi="宋体" w:cs="宋体"/>
                <w:szCs w:val="21"/>
                <w:highlight w:val="none"/>
              </w:rPr>
            </w:pPr>
            <w:r>
              <w:rPr>
                <w:rFonts w:hint="eastAsia" w:ascii="宋体" w:hAnsi="宋体" w:cs="宋体"/>
                <w:szCs w:val="21"/>
                <w:highlight w:val="none"/>
              </w:rPr>
              <w:t>多参数监护仪</w:t>
            </w:r>
          </w:p>
        </w:tc>
        <w:tc>
          <w:tcPr>
            <w:tcW w:w="2265" w:type="dxa"/>
            <w:noWrap w:val="0"/>
            <w:vAlign w:val="center"/>
          </w:tcPr>
          <w:p w14:paraId="4A41598A">
            <w:pPr>
              <w:jc w:val="center"/>
              <w:rPr>
                <w:rFonts w:hint="eastAsia" w:ascii="宋体" w:hAnsi="宋体" w:cs="宋体"/>
                <w:szCs w:val="21"/>
                <w:highlight w:val="none"/>
              </w:rPr>
            </w:pPr>
            <w:r>
              <w:rPr>
                <w:rFonts w:hint="eastAsia" w:ascii="宋体" w:hAnsi="宋体" w:cs="宋体"/>
                <w:szCs w:val="21"/>
                <w:highlight w:val="none"/>
              </w:rPr>
              <w:t>20</w:t>
            </w:r>
          </w:p>
        </w:tc>
      </w:tr>
      <w:tr w14:paraId="699B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22E23ADE">
            <w:pPr>
              <w:widowControl/>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2970" w:type="dxa"/>
            <w:noWrap/>
            <w:vAlign w:val="center"/>
          </w:tcPr>
          <w:p w14:paraId="0CB6E5A0">
            <w:pPr>
              <w:jc w:val="center"/>
              <w:rPr>
                <w:rFonts w:hint="eastAsia" w:ascii="宋体" w:hAnsi="宋体" w:cs="宋体"/>
                <w:szCs w:val="21"/>
                <w:highlight w:val="none"/>
              </w:rPr>
            </w:pPr>
            <w:r>
              <w:rPr>
                <w:rFonts w:hint="eastAsia" w:ascii="宋体" w:hAnsi="宋体" w:cs="宋体"/>
                <w:szCs w:val="21"/>
                <w:highlight w:val="none"/>
              </w:rPr>
              <w:t>医用磁共振系统(MRI)</w:t>
            </w:r>
          </w:p>
        </w:tc>
        <w:tc>
          <w:tcPr>
            <w:tcW w:w="2265" w:type="dxa"/>
            <w:noWrap w:val="0"/>
            <w:vAlign w:val="center"/>
          </w:tcPr>
          <w:p w14:paraId="771D7350">
            <w:pPr>
              <w:jc w:val="center"/>
              <w:rPr>
                <w:rFonts w:ascii="宋体" w:hAnsi="宋体" w:cs="宋体"/>
                <w:szCs w:val="21"/>
                <w:highlight w:val="none"/>
              </w:rPr>
            </w:pPr>
            <w:r>
              <w:rPr>
                <w:rFonts w:hint="eastAsia" w:ascii="宋体" w:hAnsi="宋体" w:cs="宋体"/>
                <w:szCs w:val="21"/>
                <w:highlight w:val="none"/>
              </w:rPr>
              <w:t>10</w:t>
            </w:r>
          </w:p>
        </w:tc>
      </w:tr>
      <w:tr w14:paraId="45CD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993" w:type="dxa"/>
            <w:noWrap/>
            <w:vAlign w:val="center"/>
          </w:tcPr>
          <w:p w14:paraId="664AF756">
            <w:pPr>
              <w:widowControl/>
              <w:jc w:val="center"/>
              <w:rPr>
                <w:rFonts w:hint="eastAsia" w:ascii="宋体" w:hAnsi="宋体" w:cs="宋体"/>
                <w:kern w:val="0"/>
                <w:szCs w:val="21"/>
                <w:highlight w:val="none"/>
              </w:rPr>
            </w:pPr>
            <w:r>
              <w:rPr>
                <w:rFonts w:hint="eastAsia" w:ascii="宋体" w:hAnsi="宋体" w:cs="宋体"/>
                <w:kern w:val="0"/>
                <w:szCs w:val="21"/>
                <w:highlight w:val="none"/>
              </w:rPr>
              <w:t>17</w:t>
            </w:r>
          </w:p>
        </w:tc>
        <w:tc>
          <w:tcPr>
            <w:tcW w:w="2970" w:type="dxa"/>
            <w:noWrap/>
            <w:vAlign w:val="center"/>
          </w:tcPr>
          <w:p w14:paraId="1D159921">
            <w:pPr>
              <w:jc w:val="center"/>
              <w:rPr>
                <w:rFonts w:hint="eastAsia" w:ascii="宋体" w:hAnsi="宋体" w:cs="宋体"/>
                <w:szCs w:val="21"/>
                <w:highlight w:val="none"/>
              </w:rPr>
            </w:pPr>
            <w:r>
              <w:rPr>
                <w:rFonts w:hint="eastAsia" w:ascii="宋体" w:hAnsi="宋体" w:cs="宋体"/>
                <w:szCs w:val="21"/>
                <w:highlight w:val="none"/>
              </w:rPr>
              <w:t>心电图机</w:t>
            </w:r>
          </w:p>
        </w:tc>
        <w:tc>
          <w:tcPr>
            <w:tcW w:w="2265" w:type="dxa"/>
            <w:noWrap w:val="0"/>
            <w:vAlign w:val="center"/>
          </w:tcPr>
          <w:p w14:paraId="0FA3107E">
            <w:pPr>
              <w:jc w:val="center"/>
              <w:rPr>
                <w:rFonts w:hint="eastAsia" w:ascii="宋体" w:hAnsi="宋体" w:cs="宋体"/>
                <w:szCs w:val="21"/>
                <w:highlight w:val="none"/>
              </w:rPr>
            </w:pPr>
            <w:r>
              <w:rPr>
                <w:rFonts w:hint="eastAsia" w:ascii="宋体" w:hAnsi="宋体" w:cs="宋体"/>
                <w:szCs w:val="21"/>
                <w:highlight w:val="none"/>
              </w:rPr>
              <w:t>10</w:t>
            </w:r>
          </w:p>
        </w:tc>
      </w:tr>
    </w:tbl>
    <w:p w14:paraId="5F6319D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1D2FEB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BC70CF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1D5410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F4DAB0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2F0A86C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53D3E8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6518C0D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F4BB09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2DF087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4F0964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6963D18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0751A5C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7CA6A06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DE3477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15F2DAD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46A9601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C4BFAA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55786F5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p>
    <w:p w14:paraId="3AC786E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备注：以上清单设备仅供参考，具体按采购人实际通知为准。</w:t>
      </w:r>
    </w:p>
    <w:p w14:paraId="0F2A733D">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违约责任</w:t>
      </w:r>
    </w:p>
    <w:p w14:paraId="380A7F1D">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成交供应商若未按国家相关法律法规进行检测，由成交供应商承担全部责任。</w:t>
      </w:r>
    </w:p>
    <w:p w14:paraId="6C32733D">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成交供应商应按时积极进行检测工作，不得拖延。若未按时按质完成项目内容，经采购人三次通知整改仍未完成，采购人有权单方终止合同。</w:t>
      </w:r>
    </w:p>
    <w:p w14:paraId="66F98739">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因逾期开展检测活动、未能按约定的服务期限或项目进度出具检测报告而影响到采购人生产经营的，每逾期一日按照合同总金额的5‰支付违约金给采购人；若无故推迟出具检测报告，须向采购人支付合同总金额的10%的违约金。</w:t>
      </w:r>
    </w:p>
    <w:p w14:paraId="61977F33">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采购人若未如期履行付款义务的，每迟延一天按照本次检测仪器应付未付金额的千分之一支付违约金给成交供应商，违约金不超过应付未付金额的10%。</w:t>
      </w:r>
    </w:p>
    <w:p w14:paraId="62CB0418">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若成交供应商提供的“设备检测证书（报告）”不符合合同约定或相关检测规范要求，成交供应商应当赔偿损失（金额为不符合要求的报告数量乘以该报告所属设备的单价）。</w:t>
      </w:r>
    </w:p>
    <w:p w14:paraId="40EBE546">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供应商在支付违约金后，还应当履行应尽的义务。若违约金不足以弥补采购人损失的，供应商应另行赔偿损失。</w:t>
      </w:r>
    </w:p>
    <w:p w14:paraId="14E45897">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若成交供应商提供的服务不符合法律法规及采购文件要求的质量、服务标准或履约过程中有违约行为的，采购人有权保留除上述条款外，继续追究由此给采购人造成损失责任的权利。</w:t>
      </w:r>
    </w:p>
    <w:p w14:paraId="476B072E">
      <w:pPr>
        <w:pStyle w:val="27"/>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其它违约责任按《中华人民共和国民法典》处理。</w:t>
      </w:r>
    </w:p>
    <w:p w14:paraId="4B357E21">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技术（服务）方案要求</w:t>
      </w:r>
    </w:p>
    <w:p w14:paraId="2C4A3840">
      <w:pPr>
        <w:pStyle w:val="27"/>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项目重点难点分析、应对措施及相关的合理化建议</w:t>
      </w:r>
    </w:p>
    <w:p w14:paraId="1D0446D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针对本项目具体要求，提供项目重点难点分析以及对应的应对措施，对履约过程中可能存在问题的地方提供预案和合理化建议。同时，还应根据本项目要求提供质量控制方案。各方案应考虑周到、表述完整、科学可行，以确保顺利履约。具体要求如下：</w:t>
      </w:r>
    </w:p>
    <w:p w14:paraId="6300D349">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项目重点难点分析</w:t>
      </w:r>
    </w:p>
    <w:p w14:paraId="4711F39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医疗设备种类多、技术原理差异大，需针对性设计检测方法；设备使用场景分散（门诊、急救车、病房），现场环境（温湿度、电磁干扰）可能影响检测精度；部分设备缺乏标准化接口，数据采集与验证难度较高；用户对检测周期、停机时间敏感，需平衡效率与合规性。</w:t>
      </w:r>
    </w:p>
    <w:p w14:paraId="269BC589">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应对措施</w:t>
      </w:r>
    </w:p>
    <w:p w14:paraId="04031CE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供应商应在对项目重点难点分析之后，提供对应的应对措施，以妥善处理这些对履约至关重要的方面。</w:t>
      </w:r>
    </w:p>
    <w:p w14:paraId="0F003750">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合理化建议</w:t>
      </w:r>
    </w:p>
    <w:p w14:paraId="7C0137B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对履约过程中可能存在问题的地方提供预案和合理化建议，例如建议客户建立设备健康档案，记录使用频率、故障历史等数据，辅助动态调整检测周期；针对高频使用设备，提供检测服务计划；加强与设备厂商的技术协作，提前获取技术更新信息，优化检测方法。</w:t>
      </w:r>
    </w:p>
    <w:p w14:paraId="4C308451">
      <w:pPr>
        <w:pStyle w:val="27"/>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质量控制要求</w:t>
      </w:r>
    </w:p>
    <w:p w14:paraId="6E6E65C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严格遵循国家计量法规及行业指南，过程全程留痕（照片、视频、数据日志）；采用双人独立操作+交叉验证模式，关键参数需通过比对实验确认；检测证书明确标注依据标准、环境条件及不确定度说明；建立客户回访机制，对异常数据追溯原因并启动纠正预防程序（CAPA），确保服务闭环管理。</w:t>
      </w:r>
    </w:p>
    <w:p w14:paraId="0AF7A0CB">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其他要求</w:t>
      </w:r>
    </w:p>
    <w:p w14:paraId="4386761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应遵守劳动部门的相关规定，规范用工行为。成交供应商应与其派出的现场服务人员建立合法的劳动合同关系，并按照国家规定为其办理各类社会保险，同时承担全部的用工责任。成交供应商还需承担其派出的现场服务人员可能遭遇的意外、工伤等所有服务风险。若发生劳动争议、法律纠纷或经济纠纷，全部责任由成交供应商承担，与采购人无关。同时，若因供应商的技术服务人员不具备相关资质或违反安全作业规程而导致的人身伤亡及财产损失，以及非因采购人原因造成的任何伤亡及损失，责任也均由成交供应商承担。</w:t>
      </w:r>
    </w:p>
    <w:p w14:paraId="35DB972C">
      <w:pPr>
        <w:pStyle w:val="27"/>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其他</w:t>
      </w:r>
    </w:p>
    <w:p w14:paraId="664DF572">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5580790C">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0D0666E6">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于从另一方、其主管或雇员得知的，以及涉及另一方的计划、方案、仪器来源、仪器情况、仪器价格、检测流程、检测费用、检测设备、操作、客户、技术信息和经营信息和包括在此的特定条文的资料，包括技术资料、经验和数据，双方应将均视为机密，承担保密责任。在没有对方的书面同意下，不能向第三者公开。</w:t>
      </w:r>
    </w:p>
    <w:p w14:paraId="51563519">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保密期限：自合同签订之日起至本合同终止后2年内继续有效。但若采购人或成交供应商在该期限内将自身所掌握的保密信息公开，则保密期限自公开之日起终止。</w:t>
      </w:r>
    </w:p>
    <w:p w14:paraId="49A288B5">
      <w:pPr>
        <w:pStyle w:val="27"/>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泄密责任：依照国家相关法律法规承担责任。</w:t>
      </w:r>
    </w:p>
    <w:p w14:paraId="2122A38E">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highlight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如因国家相关政策发生变化，应以最新的国家相关政策为准并执行，如因国家相关政策发生变化而导致本次项目的合同无法继续执行，采购人不承担任何责任，响应人自行承担由此带来的任何风险及后果。</w:t>
      </w:r>
    </w:p>
    <w:p w14:paraId="06656883">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供应商管理认证：供应商应保障公司管理规范、合规，具备质量管理体系认证、医疗器械质量管理体系认证等相关体系认证，以提供长期、稳定、安全的维保服务，保障重要的医疗设备始终处于良好的运行状态。</w:t>
      </w:r>
    </w:p>
    <w:p w14:paraId="6F8917FA">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业绩及经验证明：供应商应具备2022年1月1日（以合同签订时间为准）以来承接的同类项目业绩（指与本项目计量设备周期检定服务内容一致的检测服务业绩、合同甲方应当是设备的使用单位，如医疗机构等），以确保具备履约所需的能力和经验。</w:t>
      </w:r>
    </w:p>
    <w:p w14:paraId="4A471428">
      <w:pPr>
        <w:pStyle w:val="27"/>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应建立完善的应急预案机制，将保障设备的正常使用作为最重要的任务。应急预案应充分考虑各种可能导致现场检测无法正常进行时的情况（包括水电气故障、人员误操作等情况），将保障检测的正常进行作为最重要的任务。主要内容为应急响应机制、故障处理流程，且包括但不限于以上内容。</w:t>
      </w:r>
    </w:p>
    <w:p w14:paraId="5F6E36CE">
      <w:pPr>
        <w:pStyle w:val="24"/>
        <w:keepNext w:val="0"/>
        <w:keepLines w:val="0"/>
        <w:pageBreakBefore w:val="0"/>
        <w:widowControl w:val="0"/>
        <w:kinsoku/>
        <w:wordWrap/>
        <w:overflowPunct/>
        <w:topLinePunct w:val="0"/>
        <w:autoSpaceDE/>
        <w:autoSpaceDN/>
        <w:bidi w:val="0"/>
        <w:snapToGrid w:val="0"/>
        <w:ind w:firstLine="520" w:firstLineChars="200"/>
        <w:textAlignment w:val="auto"/>
        <w:rPr>
          <w:rFonts w:hint="eastAsia"/>
          <w:highlight w:val="none"/>
        </w:rPr>
      </w:pPr>
    </w:p>
    <w:p w14:paraId="3C053B22">
      <w:pPr>
        <w:pStyle w:val="24"/>
        <w:rPr>
          <w:rFonts w:hint="eastAsia"/>
          <w:highlight w:val="none"/>
        </w:rPr>
      </w:pPr>
    </w:p>
    <w:p w14:paraId="2C26EC79">
      <w:pPr>
        <w:pStyle w:val="24"/>
        <w:rPr>
          <w:rFonts w:hint="eastAsia"/>
          <w:highlight w:val="none"/>
        </w:rPr>
      </w:pPr>
    </w:p>
    <w:p w14:paraId="06313F0A">
      <w:pPr>
        <w:pStyle w:val="24"/>
        <w:rPr>
          <w:rFonts w:hint="eastAsia"/>
          <w:highlight w:val="none"/>
        </w:rPr>
      </w:pPr>
    </w:p>
    <w:p w14:paraId="04C0DA00">
      <w:pPr>
        <w:pStyle w:val="24"/>
        <w:rPr>
          <w:rFonts w:hint="eastAsia"/>
          <w:highlight w:val="none"/>
        </w:rPr>
      </w:pPr>
    </w:p>
    <w:p w14:paraId="600F1031">
      <w:pPr>
        <w:pStyle w:val="24"/>
        <w:rPr>
          <w:rFonts w:hint="eastAsia"/>
          <w:highlight w:val="none"/>
        </w:rPr>
      </w:pPr>
    </w:p>
    <w:p w14:paraId="538B39E8">
      <w:pPr>
        <w:pStyle w:val="24"/>
        <w:rPr>
          <w:rFonts w:hint="eastAsia"/>
          <w:highlight w:val="none"/>
        </w:rPr>
      </w:pPr>
    </w:p>
    <w:p w14:paraId="61B73134">
      <w:pPr>
        <w:pStyle w:val="24"/>
        <w:rPr>
          <w:rFonts w:hint="eastAsia"/>
          <w:highlight w:val="none"/>
        </w:rPr>
      </w:pPr>
    </w:p>
    <w:p w14:paraId="704AB32E">
      <w:pPr>
        <w:pStyle w:val="24"/>
        <w:rPr>
          <w:rFonts w:hint="eastAsia"/>
          <w:highlight w:val="none"/>
        </w:rPr>
      </w:pPr>
    </w:p>
    <w:p w14:paraId="25CE66EE">
      <w:pPr>
        <w:pStyle w:val="24"/>
        <w:rPr>
          <w:rFonts w:hint="eastAsia"/>
          <w:highlight w:val="none"/>
        </w:rPr>
      </w:pPr>
    </w:p>
    <w:p w14:paraId="51B7A43D">
      <w:pPr>
        <w:pStyle w:val="24"/>
        <w:rPr>
          <w:rFonts w:hint="eastAsia"/>
          <w:highlight w:val="none"/>
        </w:rPr>
      </w:pPr>
    </w:p>
    <w:p w14:paraId="6E59920C">
      <w:pPr>
        <w:pStyle w:val="24"/>
        <w:rPr>
          <w:rFonts w:hint="eastAsia"/>
          <w:highlight w:val="none"/>
        </w:rPr>
      </w:pPr>
    </w:p>
    <w:p w14:paraId="5F5FAEDB">
      <w:pPr>
        <w:pStyle w:val="24"/>
        <w:rPr>
          <w:rFonts w:hint="eastAsia"/>
          <w:highlight w:val="none"/>
        </w:rPr>
      </w:pPr>
    </w:p>
    <w:p w14:paraId="166DFF15">
      <w:pPr>
        <w:pStyle w:val="24"/>
        <w:rPr>
          <w:rFonts w:hint="eastAsia"/>
          <w:highlight w:val="none"/>
        </w:rPr>
      </w:pPr>
    </w:p>
    <w:p w14:paraId="396CE78E">
      <w:pPr>
        <w:pStyle w:val="24"/>
        <w:rPr>
          <w:rFonts w:hint="eastAsia"/>
          <w:highlight w:val="none"/>
        </w:rPr>
      </w:pPr>
    </w:p>
    <w:p w14:paraId="4D0166C4">
      <w:pPr>
        <w:rPr>
          <w:rFonts w:hint="eastAsia"/>
          <w:highlight w:val="none"/>
        </w:rPr>
      </w:pPr>
    </w:p>
    <w:p w14:paraId="387E5E77">
      <w:pPr>
        <w:rPr>
          <w:rFonts w:hint="eastAsia"/>
          <w:highlight w:val="none"/>
        </w:rPr>
      </w:pPr>
    </w:p>
    <w:p w14:paraId="75E3E66E">
      <w:pPr>
        <w:rPr>
          <w:rFonts w:hint="eastAsia" w:ascii="微软雅黑" w:hAnsi="微软雅黑" w:eastAsia="微软雅黑" w:cs="微软雅黑"/>
          <w:color w:val="000000"/>
          <w:highlight w:val="none"/>
        </w:rPr>
      </w:pPr>
    </w:p>
    <w:p w14:paraId="6830CBF3">
      <w:pPr>
        <w:rPr>
          <w:rFonts w:hint="eastAsia" w:ascii="微软雅黑" w:hAnsi="微软雅黑" w:eastAsia="微软雅黑" w:cs="微软雅黑"/>
          <w:color w:val="000000"/>
          <w:highlight w:val="none"/>
        </w:rPr>
      </w:pPr>
    </w:p>
    <w:p w14:paraId="35705693">
      <w:pPr>
        <w:rPr>
          <w:rFonts w:hint="eastAsia" w:ascii="微软雅黑" w:hAnsi="微软雅黑" w:eastAsia="微软雅黑" w:cs="微软雅黑"/>
          <w:color w:val="000000"/>
          <w:highlight w:val="none"/>
        </w:rPr>
      </w:pPr>
    </w:p>
    <w:p w14:paraId="30512E31">
      <w:pPr>
        <w:rPr>
          <w:rFonts w:hint="eastAsia" w:ascii="微软雅黑" w:hAnsi="微软雅黑" w:eastAsia="微软雅黑" w:cs="微软雅黑"/>
          <w:color w:val="000000"/>
          <w:highlight w:val="none"/>
        </w:rPr>
      </w:pPr>
    </w:p>
    <w:p w14:paraId="52B8D40F">
      <w:pPr>
        <w:rPr>
          <w:rFonts w:hint="eastAsia" w:ascii="微软雅黑" w:hAnsi="微软雅黑" w:eastAsia="微软雅黑" w:cs="微软雅黑"/>
          <w:color w:val="000000"/>
          <w:highlight w:val="none"/>
        </w:rPr>
      </w:pPr>
    </w:p>
    <w:p w14:paraId="3DC9B4FA">
      <w:pPr>
        <w:rPr>
          <w:rFonts w:hint="eastAsia" w:ascii="微软雅黑" w:hAnsi="微软雅黑" w:eastAsia="微软雅黑" w:cs="微软雅黑"/>
          <w:color w:val="000000"/>
          <w:highlight w:val="none"/>
        </w:rPr>
      </w:pPr>
    </w:p>
    <w:p w14:paraId="2687BF68">
      <w:pPr>
        <w:rPr>
          <w:rFonts w:hint="eastAsia" w:ascii="微软雅黑" w:hAnsi="微软雅黑" w:eastAsia="微软雅黑" w:cs="微软雅黑"/>
          <w:color w:val="000000"/>
          <w:highlight w:val="none"/>
        </w:rPr>
      </w:pPr>
    </w:p>
    <w:p w14:paraId="60A5A3B0">
      <w:pPr>
        <w:rPr>
          <w:rFonts w:hint="eastAsia" w:ascii="微软雅黑" w:hAnsi="微软雅黑" w:eastAsia="微软雅黑" w:cs="微软雅黑"/>
          <w:color w:val="000000"/>
          <w:highlight w:val="none"/>
        </w:rPr>
      </w:pPr>
    </w:p>
    <w:p w14:paraId="05EEF583">
      <w:pPr>
        <w:rPr>
          <w:rFonts w:hint="eastAsia" w:ascii="微软雅黑" w:hAnsi="微软雅黑" w:eastAsia="微软雅黑" w:cs="微软雅黑"/>
          <w:color w:val="000000"/>
          <w:highlight w:val="none"/>
        </w:rPr>
      </w:pPr>
    </w:p>
    <w:p w14:paraId="44D2AE3E">
      <w:pPr>
        <w:rPr>
          <w:rFonts w:hint="eastAsia" w:ascii="微软雅黑" w:hAnsi="微软雅黑" w:eastAsia="微软雅黑" w:cs="微软雅黑"/>
          <w:color w:val="000000"/>
          <w:highlight w:val="none"/>
        </w:rPr>
      </w:pPr>
    </w:p>
    <w:p w14:paraId="68BD6BC4">
      <w:pPr>
        <w:rPr>
          <w:rFonts w:hint="eastAsia" w:ascii="微软雅黑" w:hAnsi="微软雅黑" w:eastAsia="微软雅黑" w:cs="微软雅黑"/>
          <w:color w:val="000000"/>
          <w:highlight w:val="none"/>
        </w:rPr>
      </w:pPr>
    </w:p>
    <w:p w14:paraId="6DFBF604">
      <w:pPr>
        <w:rPr>
          <w:rFonts w:hint="eastAsia" w:ascii="微软雅黑" w:hAnsi="微软雅黑" w:eastAsia="微软雅黑" w:cs="微软雅黑"/>
          <w:color w:val="000000"/>
          <w:highlight w:val="none"/>
        </w:rPr>
      </w:pPr>
    </w:p>
    <w:p w14:paraId="147B8B31">
      <w:pPr>
        <w:rPr>
          <w:rFonts w:hint="eastAsia" w:ascii="微软雅黑" w:hAnsi="微软雅黑" w:eastAsia="微软雅黑" w:cs="微软雅黑"/>
          <w:color w:val="000000"/>
          <w:highlight w:val="none"/>
        </w:rPr>
      </w:pPr>
    </w:p>
    <w:p w14:paraId="49FF0426">
      <w:pPr>
        <w:rPr>
          <w:rFonts w:hint="eastAsia" w:ascii="微软雅黑" w:hAnsi="微软雅黑" w:eastAsia="微软雅黑" w:cs="微软雅黑"/>
          <w:color w:val="000000"/>
          <w:highlight w:val="none"/>
        </w:rPr>
      </w:pPr>
    </w:p>
    <w:p w14:paraId="0B7EB25F">
      <w:pPr>
        <w:rPr>
          <w:rFonts w:hint="eastAsia" w:ascii="微软雅黑" w:hAnsi="微软雅黑" w:eastAsia="微软雅黑" w:cs="微软雅黑"/>
          <w:color w:val="000000"/>
          <w:highlight w:val="none"/>
        </w:rPr>
      </w:pPr>
    </w:p>
    <w:p w14:paraId="11555A7D">
      <w:pPr>
        <w:rPr>
          <w:rFonts w:hint="eastAsia" w:ascii="微软雅黑" w:hAnsi="微软雅黑" w:eastAsia="微软雅黑" w:cs="微软雅黑"/>
          <w:color w:val="000000"/>
          <w:highlight w:val="none"/>
        </w:rPr>
      </w:pPr>
    </w:p>
    <w:p w14:paraId="7EC745BC">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7"/>
        <w:rPr>
          <w:rFonts w:hint="eastAsia"/>
          <w:color w:val="000000"/>
          <w:highlight w:val="none"/>
        </w:rPr>
      </w:pPr>
    </w:p>
    <w:p w14:paraId="69F5B7E2">
      <w:pPr>
        <w:pStyle w:val="27"/>
        <w:rPr>
          <w:rFonts w:hint="eastAsia"/>
          <w:color w:val="000000"/>
          <w:highlight w:val="none"/>
        </w:rPr>
      </w:pPr>
    </w:p>
    <w:p w14:paraId="189E61D9">
      <w:pPr>
        <w:pStyle w:val="27"/>
        <w:rPr>
          <w:rFonts w:hint="eastAsia"/>
          <w:color w:val="000000"/>
          <w:highlight w:val="none"/>
        </w:rPr>
      </w:pPr>
    </w:p>
    <w:p w14:paraId="13E0DB19">
      <w:pPr>
        <w:pStyle w:val="27"/>
        <w:rPr>
          <w:rFonts w:hint="eastAsia"/>
          <w:color w:val="000000"/>
          <w:highlight w:val="none"/>
        </w:rPr>
      </w:pPr>
    </w:p>
    <w:p w14:paraId="7014139D">
      <w:pPr>
        <w:pStyle w:val="27"/>
        <w:rPr>
          <w:rFonts w:hint="eastAsia"/>
          <w:color w:val="000000"/>
          <w:highlight w:val="none"/>
        </w:rPr>
      </w:pPr>
    </w:p>
    <w:p w14:paraId="7D4DB952">
      <w:pPr>
        <w:pStyle w:val="27"/>
        <w:rPr>
          <w:rFonts w:hint="eastAsia"/>
          <w:color w:val="000000"/>
          <w:highlight w:val="none"/>
        </w:rPr>
      </w:pPr>
    </w:p>
    <w:p w14:paraId="182B1B64">
      <w:pPr>
        <w:pStyle w:val="27"/>
        <w:rPr>
          <w:rFonts w:hint="eastAsia"/>
          <w:color w:val="000000"/>
          <w:highlight w:val="none"/>
        </w:rPr>
      </w:pPr>
    </w:p>
    <w:p w14:paraId="2B1088A4">
      <w:pPr>
        <w:pStyle w:val="27"/>
        <w:rPr>
          <w:rFonts w:hint="eastAsia"/>
          <w:color w:val="000000"/>
          <w:highlight w:val="none"/>
        </w:rPr>
      </w:pPr>
    </w:p>
    <w:p w14:paraId="3F52C508">
      <w:pPr>
        <w:pStyle w:val="27"/>
        <w:rPr>
          <w:rFonts w:hint="eastAsia"/>
          <w:color w:val="000000"/>
          <w:highlight w:val="none"/>
        </w:rPr>
      </w:pPr>
    </w:p>
    <w:p w14:paraId="25589229">
      <w:pPr>
        <w:pStyle w:val="27"/>
        <w:rPr>
          <w:rFonts w:hint="eastAsia"/>
          <w:color w:val="000000"/>
          <w:highlight w:val="none"/>
        </w:rPr>
      </w:pPr>
    </w:p>
    <w:p w14:paraId="7179AE5A">
      <w:pPr>
        <w:pStyle w:val="27"/>
        <w:rPr>
          <w:rFonts w:hint="eastAsia"/>
          <w:color w:val="000000"/>
          <w:highlight w:val="none"/>
        </w:rPr>
      </w:pPr>
    </w:p>
    <w:p w14:paraId="6B0F4147">
      <w:pPr>
        <w:pStyle w:val="27"/>
        <w:rPr>
          <w:rFonts w:hint="eastAsia"/>
          <w:color w:val="000000"/>
          <w:highlight w:val="none"/>
        </w:rPr>
      </w:pPr>
    </w:p>
    <w:p w14:paraId="662325FF">
      <w:pPr>
        <w:pStyle w:val="27"/>
        <w:rPr>
          <w:rFonts w:hint="eastAsia"/>
          <w:color w:val="000000"/>
          <w:highlight w:val="none"/>
        </w:rPr>
      </w:pPr>
    </w:p>
    <w:p w14:paraId="1AEB18A1">
      <w:pPr>
        <w:pStyle w:val="27"/>
        <w:rPr>
          <w:rFonts w:hint="eastAsia"/>
          <w:color w:val="000000"/>
          <w:highlight w:val="none"/>
        </w:rPr>
      </w:pPr>
    </w:p>
    <w:p w14:paraId="4463CA19">
      <w:pPr>
        <w:pStyle w:val="27"/>
        <w:rPr>
          <w:rFonts w:hint="eastAsia"/>
          <w:color w:val="000000"/>
          <w:highlight w:val="none"/>
        </w:rPr>
      </w:pPr>
    </w:p>
    <w:p w14:paraId="1D5640CE">
      <w:pPr>
        <w:pStyle w:val="27"/>
        <w:rPr>
          <w:rFonts w:hint="eastAsia"/>
          <w:color w:val="000000"/>
          <w:highlight w:val="none"/>
        </w:rPr>
      </w:pPr>
    </w:p>
    <w:p w14:paraId="3BA62993">
      <w:pPr>
        <w:pStyle w:val="27"/>
        <w:rPr>
          <w:rFonts w:hint="eastAsia"/>
          <w:color w:val="000000"/>
          <w:highlight w:val="none"/>
        </w:rPr>
      </w:pPr>
    </w:p>
    <w:p w14:paraId="2FDD58ED">
      <w:pPr>
        <w:pStyle w:val="27"/>
        <w:rPr>
          <w:rFonts w:hint="eastAsia"/>
          <w:color w:val="000000"/>
          <w:highlight w:val="none"/>
        </w:rPr>
      </w:pPr>
    </w:p>
    <w:p w14:paraId="4A7A5B1D">
      <w:pPr>
        <w:pStyle w:val="27"/>
        <w:rPr>
          <w:rFonts w:hint="eastAsia"/>
          <w:color w:val="000000"/>
          <w:highlight w:val="none"/>
        </w:rPr>
      </w:pPr>
    </w:p>
    <w:p w14:paraId="7B7C09C4">
      <w:pPr>
        <w:pStyle w:val="27"/>
        <w:rPr>
          <w:rFonts w:hint="eastAsia"/>
          <w:color w:val="000000"/>
          <w:highlight w:val="none"/>
        </w:rPr>
      </w:pPr>
    </w:p>
    <w:p w14:paraId="0B8ED225">
      <w:pPr>
        <w:pStyle w:val="27"/>
        <w:rPr>
          <w:rFonts w:hint="eastAsia"/>
          <w:color w:val="000000"/>
          <w:highlight w:val="none"/>
        </w:rPr>
      </w:pPr>
    </w:p>
    <w:p w14:paraId="0368E220">
      <w:pPr>
        <w:pStyle w:val="27"/>
        <w:rPr>
          <w:rFonts w:hint="eastAsia"/>
          <w:color w:val="000000"/>
          <w:highlight w:val="none"/>
        </w:rPr>
      </w:pPr>
    </w:p>
    <w:p w14:paraId="5959B81F">
      <w:pPr>
        <w:pageBreakBefore w:val="0"/>
        <w:numPr>
          <w:ilvl w:val="0"/>
          <w:numId w:val="0"/>
        </w:numPr>
        <w:kinsoku/>
        <w:wordWrap/>
        <w:overflowPunct/>
        <w:topLinePunct w:val="0"/>
        <w:bidi w:val="0"/>
        <w:spacing w:line="360" w:lineRule="auto"/>
        <w:ind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8"/>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4"/>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须具备法定计量检定机构出具的《计量授权证书》，授权范围必须覆盖广州地区（提供证书扫描件且需含授权区域页），授权项目覆盖本项目受检设备。(提供有效证书的复印件，加盖公章）</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评分（24</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评分（46</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24分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46分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商务评审表（24分）</w:t>
      </w:r>
    </w:p>
    <w:tbl>
      <w:tblPr>
        <w:tblStyle w:val="1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6</w:t>
            </w:r>
          </w:p>
        </w:tc>
        <w:tc>
          <w:tcPr>
            <w:tcW w:w="7061" w:type="dxa"/>
            <w:shd w:val="clear" w:color="auto" w:fill="auto"/>
            <w:vAlign w:val="center"/>
          </w:tcPr>
          <w:p w14:paraId="764E3494">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4205071">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（1）质量管理体系认证证书，得3分；</w:t>
            </w:r>
          </w:p>
          <w:p w14:paraId="2EE88908">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（2）医疗器械质量管理体系认证，得3分；</w:t>
            </w:r>
          </w:p>
          <w:p w14:paraId="5F7F6796">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4"/>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12</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22</w:t>
            </w:r>
            <w:r>
              <w:rPr>
                <w:rFonts w:hint="eastAsia" w:ascii="仿宋" w:hAnsi="仿宋" w:eastAsia="仿宋" w:cs="仿宋"/>
                <w:bCs/>
                <w:color w:val="000000"/>
                <w:sz w:val="20"/>
                <w:szCs w:val="20"/>
                <w:highlight w:val="none"/>
              </w:rPr>
              <w:t>年1月1日（以合同签订时间为准）以来，完成同类项目业绩（指与本项目计量设备周期检定服务内容一致的检测服务业绩、合同甲方应当是设备的使用单位，如医疗机构等）进行评分，每提供一个业绩得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12</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suppressLineNumbers w:val="0"/>
              <w:spacing w:before="0" w:beforeAutospacing="0" w:after="0" w:afterAutospacing="0"/>
              <w:ind w:left="0" w:right="0"/>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提供上述有效同类项目业绩的用户评价证明材料。采购人评价为优或满意的，或评委认可的类似好评的用户评价（须提供用户单位的评价证明，格式自拟，并加盖用户单位公章），每提供一个得</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注：须提供与上述同类项目业绩吻合的履约评价情况，同一客户或同一项目提供多项用户满意度评价的，按一项计算。如提供用户评价的采购合同未被评审指标中“同类项目业绩”认可，则该履约评价无效。</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服务评审表（46分）</w:t>
      </w:r>
    </w:p>
    <w:tbl>
      <w:tblPr>
        <w:tblStyle w:val="18"/>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586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682F0F9">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default" w:ascii="仿宋" w:hAnsi="仿宋" w:eastAsia="仿宋" w:cs="仿宋"/>
                <w:color w:val="000000"/>
                <w:szCs w:val="21"/>
                <w:highlight w:val="none"/>
                <w:lang w:val="en-US" w:eastAsia="zh-CN"/>
              </w:rPr>
              <w:t>项目重点难点分析、应对措施及相关的合理化建议</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8AF7D7D">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19</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451F91D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根据投标人针对本项目提供的方案作为评审依据，包括以下内容：①项目重点难点分析②应对措施③合理化建议④质量控制方案。</w:t>
            </w:r>
          </w:p>
          <w:p w14:paraId="7254E450">
            <w:pPr>
              <w:pStyle w:val="5"/>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1.方案包含4项内容：①项目重点难点分析②应对措施③合理化建议④质量控制方案，每提供1项，得1.75分，满分6分。</w:t>
            </w:r>
          </w:p>
          <w:p w14:paraId="6B8A4891">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w:t>
            </w:r>
            <w:r>
              <w:rPr>
                <w:rFonts w:hint="eastAsia" w:ascii="仿宋" w:hAnsi="仿宋" w:eastAsia="仿宋" w:cs="仿宋"/>
                <w:color w:val="000000"/>
                <w:szCs w:val="21"/>
                <w:highlight w:val="none"/>
                <w:lang w:val="en-US" w:eastAsia="zh-CN"/>
              </w:rPr>
              <w:t>④</w:t>
            </w:r>
            <w:r>
              <w:rPr>
                <w:rFonts w:hint="eastAsia" w:ascii="仿宋" w:hAnsi="仿宋" w:eastAsia="仿宋" w:cs="仿宋"/>
                <w:color w:val="000000"/>
                <w:szCs w:val="21"/>
                <w:highlight w:val="none"/>
              </w:rPr>
              <w:t>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7F11BB0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注：每提供1项内容且表述完整、科学、可行的得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分，若提供的内容不完整、有瑕疵或可行性不足的每项得1分。不提供方案的不得分。</w:t>
            </w:r>
          </w:p>
        </w:tc>
      </w:tr>
      <w:tr w14:paraId="233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294EC2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B45F977">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szCs w:val="21"/>
                <w:highlight w:val="none"/>
                <w:lang w:val="en-US" w:eastAsia="zh-CN"/>
              </w:rPr>
              <w:t>18</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2DCBEA3">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根据投标人针对本项目提供的服务方案作为评审依据，包括以下内容：①项目实施进度②服务计划、服务频次③出具证书的时间。</w:t>
            </w:r>
          </w:p>
          <w:p w14:paraId="2EADED6C">
            <w:pPr>
              <w:pStyle w:val="5"/>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1.方案包含三项内容：①项目实施进度②服务计划、服务频次③出具证书的时间，每提供1项，得2分，满分6分。</w:t>
            </w:r>
          </w:p>
          <w:p w14:paraId="503AB773">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w:t>
            </w:r>
            <w:r>
              <w:rPr>
                <w:rFonts w:hint="eastAsia" w:ascii="仿宋" w:hAnsi="仿宋" w:eastAsia="仿宋" w:cs="仿宋"/>
                <w:color w:val="000000"/>
                <w:szCs w:val="21"/>
                <w:highlight w:val="none"/>
                <w:lang w:val="en-US" w:eastAsia="zh-CN"/>
              </w:rPr>
              <w:t>③</w:t>
            </w:r>
            <w:r>
              <w:rPr>
                <w:rFonts w:hint="eastAsia" w:ascii="仿宋" w:hAnsi="仿宋" w:eastAsia="仿宋" w:cs="仿宋"/>
                <w:color w:val="000000"/>
                <w:szCs w:val="21"/>
                <w:highlight w:val="none"/>
              </w:rPr>
              <w:t>的每项内容，完全满足或优于要求的，该项内容得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6073FEF9">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注：每提供1项内容且表述完整、科学、可行的得</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分，若提供的内容不完整、有瑕疵或可行性不足的每项得1分。不提供方案的不得分。</w:t>
            </w:r>
          </w:p>
        </w:tc>
      </w:tr>
      <w:tr w14:paraId="38BA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9E2E077">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应急服务能力</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0C1DA39">
            <w:pPr>
              <w:pStyle w:val="4"/>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506400CE">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应建立完善的应急预案机制，将保障设备的正常使用作为最重要的任务。应急预案应充分考虑各种可能导致设备无法正常使用时的情况（包括水电气故障、人员误操作等情况）。对供应商提供的应急预案进行综合评审：</w:t>
            </w:r>
          </w:p>
          <w:p w14:paraId="37CF83BF">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1.应急预案包含2项内容：①水电气故障情况、②人员误操作情况，每提供1项，得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分，满分</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14:paraId="03287444">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②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分。</w:t>
            </w:r>
          </w:p>
        </w:tc>
      </w:tr>
    </w:tbl>
    <w:p w14:paraId="05AE43E0">
      <w:pPr>
        <w:pStyle w:val="27"/>
        <w:keepNext w:val="0"/>
        <w:keepLines w:val="0"/>
        <w:pageBreakBefore w:val="0"/>
        <w:widowControl w:val="0"/>
        <w:numPr>
          <w:ilvl w:val="0"/>
          <w:numId w:val="2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27"/>
        <w:keepNext w:val="0"/>
        <w:keepLines w:val="0"/>
        <w:pageBreakBefore w:val="0"/>
        <w:widowControl w:val="0"/>
        <w:numPr>
          <w:ilvl w:val="0"/>
          <w:numId w:val="2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4"/>
        <w:rPr>
          <w:rFonts w:hint="eastAsia" w:ascii="微软雅黑" w:hAnsi="微软雅黑" w:eastAsia="微软雅黑" w:cs="微软雅黑"/>
          <w:color w:val="000000"/>
          <w:highlight w:val="none"/>
        </w:rPr>
      </w:pPr>
    </w:p>
    <w:p w14:paraId="25DE2C1E">
      <w:pPr>
        <w:pStyle w:val="24"/>
        <w:rPr>
          <w:rFonts w:hint="eastAsia" w:ascii="微软雅黑" w:hAnsi="微软雅黑" w:eastAsia="微软雅黑" w:cs="微软雅黑"/>
          <w:color w:val="000000"/>
          <w:highlight w:val="none"/>
        </w:rPr>
      </w:pPr>
    </w:p>
    <w:p w14:paraId="23DD2588">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E8B6BB6">
      <w:pPr>
        <w:rPr>
          <w:rFonts w:hint="eastAsia" w:ascii="微软雅黑" w:hAnsi="微软雅黑" w:eastAsia="微软雅黑" w:cs="微软雅黑"/>
          <w:color w:val="000000"/>
          <w:highlight w:val="none"/>
        </w:rPr>
      </w:pPr>
    </w:p>
    <w:p w14:paraId="0C5362A6">
      <w:pPr>
        <w:rPr>
          <w:rFonts w:hint="eastAsia" w:ascii="微软雅黑" w:hAnsi="微软雅黑" w:eastAsia="微软雅黑" w:cs="微软雅黑"/>
          <w:color w:val="000000"/>
          <w:highlight w:val="none"/>
        </w:rPr>
      </w:pPr>
    </w:p>
    <w:p w14:paraId="7A9E932F">
      <w:pPr>
        <w:rPr>
          <w:rFonts w:hint="eastAsia" w:ascii="微软雅黑" w:hAnsi="微软雅黑" w:eastAsia="微软雅黑" w:cs="微软雅黑"/>
          <w:color w:val="000000"/>
          <w:highlight w:val="none"/>
        </w:rPr>
      </w:pPr>
    </w:p>
    <w:p w14:paraId="13170D9A">
      <w:pPr>
        <w:rPr>
          <w:rFonts w:hint="eastAsia" w:ascii="微软雅黑" w:hAnsi="微软雅黑" w:eastAsia="微软雅黑" w:cs="微软雅黑"/>
          <w:color w:val="000000"/>
          <w:highlight w:val="none"/>
        </w:rPr>
      </w:pPr>
    </w:p>
    <w:p w14:paraId="6CAA8EF1">
      <w:pPr>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51023D5F">
      <w:pPr>
        <w:rPr>
          <w:rFonts w:hint="eastAsia" w:ascii="微软雅黑" w:hAnsi="微软雅黑" w:eastAsia="微软雅黑" w:cs="微软雅黑"/>
          <w:color w:val="000000"/>
          <w:highlight w:val="none"/>
        </w:rPr>
      </w:pPr>
    </w:p>
    <w:p w14:paraId="61435F6A">
      <w:pPr>
        <w:rPr>
          <w:rFonts w:hint="eastAsia" w:ascii="微软雅黑" w:hAnsi="微软雅黑" w:eastAsia="微软雅黑" w:cs="微软雅黑"/>
          <w:color w:val="000000"/>
          <w:highlight w:val="none"/>
        </w:rPr>
      </w:pPr>
    </w:p>
    <w:p w14:paraId="1A6CFEF2">
      <w:pPr>
        <w:rPr>
          <w:rFonts w:hint="eastAsia" w:ascii="微软雅黑" w:hAnsi="微软雅黑" w:eastAsia="微软雅黑" w:cs="微软雅黑"/>
          <w:color w:val="000000"/>
          <w:highlight w:val="none"/>
        </w:rPr>
      </w:pPr>
    </w:p>
    <w:p w14:paraId="12C31F60">
      <w:pPr>
        <w:rPr>
          <w:rFonts w:hint="eastAsia" w:ascii="微软雅黑" w:hAnsi="微软雅黑" w:eastAsia="微软雅黑" w:cs="微软雅黑"/>
          <w:color w:val="000000"/>
          <w:highlight w:val="none"/>
        </w:rPr>
      </w:pPr>
    </w:p>
    <w:p w14:paraId="0CDD7F13">
      <w:pPr>
        <w:rPr>
          <w:rFonts w:hint="eastAsia" w:ascii="微软雅黑" w:hAnsi="微软雅黑" w:eastAsia="微软雅黑" w:cs="微软雅黑"/>
          <w:color w:val="000000"/>
          <w:highlight w:val="none"/>
        </w:rPr>
      </w:pPr>
    </w:p>
    <w:p w14:paraId="47F5E32A">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4"/>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8"/>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4"/>
        <w:rPr>
          <w:rFonts w:hint="eastAsia"/>
          <w:highlight w:val="none"/>
        </w:rPr>
      </w:pPr>
    </w:p>
    <w:p w14:paraId="2730CA12">
      <w:pPr>
        <w:pStyle w:val="24"/>
        <w:rPr>
          <w:rFonts w:hint="eastAsia"/>
          <w:highlight w:val="none"/>
        </w:rPr>
      </w:pPr>
    </w:p>
    <w:p w14:paraId="33E3A88C">
      <w:pPr>
        <w:pStyle w:val="24"/>
        <w:rPr>
          <w:rFonts w:hint="eastAsia"/>
          <w:highlight w:val="none"/>
        </w:rPr>
      </w:pPr>
    </w:p>
    <w:p w14:paraId="0A2ECF9B">
      <w:pPr>
        <w:pStyle w:val="24"/>
        <w:rPr>
          <w:rFonts w:hint="eastAsia"/>
          <w:highlight w:val="none"/>
        </w:rPr>
      </w:pPr>
    </w:p>
    <w:p w14:paraId="27E0053E">
      <w:pPr>
        <w:pStyle w:val="27"/>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7E4B959">
      <w:pPr>
        <w:spacing w:line="440" w:lineRule="exact"/>
        <w:rPr>
          <w:rFonts w:hint="eastAsia" w:ascii="宋体" w:hAnsi="宋体"/>
          <w:szCs w:val="21"/>
          <w:highlight w:val="none"/>
        </w:rPr>
      </w:pPr>
    </w:p>
    <w:p w14:paraId="6F47FDF0">
      <w:pPr>
        <w:spacing w:line="440" w:lineRule="exact"/>
        <w:rPr>
          <w:rFonts w:hint="eastAsia" w:ascii="宋体" w:hAnsi="宋体"/>
          <w:szCs w:val="21"/>
          <w:highlight w:val="none"/>
          <w:u w:val="single"/>
        </w:rPr>
      </w:pPr>
      <w:r>
        <w:rPr>
          <w:rFonts w:hint="eastAsia" w:ascii="宋体" w:hAnsi="宋体"/>
          <w:szCs w:val="21"/>
          <w:highlight w:val="none"/>
        </w:rPr>
        <w:t>甲方：</w:t>
      </w:r>
      <w:r>
        <w:rPr>
          <w:rFonts w:hint="eastAsia" w:ascii="宋体" w:hAnsi="宋体"/>
          <w:b/>
          <w:bCs/>
          <w:szCs w:val="21"/>
          <w:highlight w:val="none"/>
          <w:u w:val="single"/>
        </w:rPr>
        <w:t xml:space="preserve"> 中山大学孙逸仙纪念医院</w:t>
      </w:r>
    </w:p>
    <w:p w14:paraId="1E53D20F">
      <w:pPr>
        <w:spacing w:line="440" w:lineRule="exact"/>
        <w:rPr>
          <w:rFonts w:hint="eastAsia" w:ascii="宋体" w:hAnsi="宋体"/>
          <w:szCs w:val="21"/>
          <w:highlight w:val="none"/>
        </w:rPr>
      </w:pPr>
    </w:p>
    <w:p w14:paraId="7C00A307">
      <w:pPr>
        <w:autoSpaceDE w:val="0"/>
        <w:autoSpaceDN w:val="0"/>
        <w:adjustRightInd w:val="0"/>
        <w:jc w:val="left"/>
        <w:rPr>
          <w:rFonts w:hint="default" w:ascii="宋体" w:hAnsi="宋体" w:eastAsia="宋体" w:cs="幼圆"/>
          <w:b/>
          <w:bCs/>
          <w:kern w:val="0"/>
          <w:szCs w:val="21"/>
          <w:highlight w:val="none"/>
          <w:lang w:val="en-US" w:eastAsia="zh-CN"/>
        </w:rPr>
      </w:pPr>
      <w:r>
        <w:rPr>
          <w:rFonts w:hint="eastAsia" w:ascii="宋体" w:hAnsi="宋体"/>
          <w:szCs w:val="21"/>
          <w:highlight w:val="none"/>
        </w:rPr>
        <w:t>乙方：</w:t>
      </w:r>
      <w:r>
        <w:rPr>
          <w:rFonts w:hint="eastAsia" w:ascii="宋体" w:hAnsi="宋体"/>
          <w:b/>
          <w:bCs/>
          <w:szCs w:val="21"/>
          <w:highlight w:val="none"/>
          <w:u w:val="single"/>
          <w:lang w:val="en-US" w:eastAsia="zh-CN"/>
        </w:rPr>
        <w:t xml:space="preserve">                         </w:t>
      </w:r>
    </w:p>
    <w:p w14:paraId="7195F6A3">
      <w:pPr>
        <w:autoSpaceDE w:val="0"/>
        <w:autoSpaceDN w:val="0"/>
        <w:adjustRightInd w:val="0"/>
        <w:jc w:val="left"/>
        <w:rPr>
          <w:rFonts w:hint="eastAsia" w:ascii="宋体" w:hAnsi="宋体"/>
          <w:szCs w:val="21"/>
          <w:highlight w:val="none"/>
        </w:rPr>
      </w:pPr>
    </w:p>
    <w:p w14:paraId="0BCC297A">
      <w:pPr>
        <w:spacing w:line="440" w:lineRule="exact"/>
        <w:rPr>
          <w:rFonts w:hint="eastAsia" w:ascii="宋体" w:hAnsi="宋体"/>
          <w:szCs w:val="21"/>
          <w:highlight w:val="none"/>
        </w:rPr>
      </w:pPr>
    </w:p>
    <w:p w14:paraId="6B08A4F8">
      <w:pPr>
        <w:spacing w:line="360" w:lineRule="auto"/>
        <w:ind w:left="840" w:leftChars="200" w:hanging="420" w:hangingChars="200"/>
        <w:rPr>
          <w:rFonts w:hint="eastAsia" w:ascii="宋体" w:hAnsi="宋体"/>
          <w:szCs w:val="21"/>
          <w:highlight w:val="none"/>
          <w:u w:val="single"/>
        </w:rPr>
      </w:pPr>
      <w:r>
        <w:rPr>
          <w:rFonts w:hint="eastAsia" w:ascii="宋体" w:hAnsi="宋体"/>
          <w:szCs w:val="21"/>
          <w:highlight w:val="none"/>
        </w:rPr>
        <w:t>依据《</w:t>
      </w:r>
      <w:r>
        <w:rPr>
          <w:rFonts w:ascii="Arial" w:hAnsi="Arial" w:cs="Arial"/>
          <w:szCs w:val="21"/>
          <w:highlight w:val="none"/>
          <w:shd w:val="clear" w:color="auto" w:fill="FFFFFF"/>
        </w:rPr>
        <w:t>中华人民共和国民法典</w:t>
      </w:r>
      <w:r>
        <w:rPr>
          <w:rFonts w:hint="eastAsia" w:ascii="宋体" w:hAnsi="宋体"/>
          <w:szCs w:val="21"/>
          <w:highlight w:val="none"/>
        </w:rPr>
        <w:t>》的有关规定，</w:t>
      </w:r>
      <w:r>
        <w:rPr>
          <w:rFonts w:hint="eastAsia" w:ascii="宋体" w:hAnsi="宋体"/>
          <w:b/>
          <w:bCs/>
          <w:szCs w:val="21"/>
          <w:highlight w:val="none"/>
          <w:u w:val="single"/>
        </w:rPr>
        <w:t xml:space="preserve"> 中山大学孙逸仙纪念医院（以下简称甲方）</w:t>
      </w:r>
      <w:r>
        <w:rPr>
          <w:rFonts w:hint="eastAsia" w:ascii="宋体" w:hAnsi="宋体"/>
          <w:szCs w:val="21"/>
          <w:highlight w:val="none"/>
        </w:rPr>
        <w:t>与</w:t>
      </w:r>
      <w:r>
        <w:rPr>
          <w:rFonts w:hint="eastAsia" w:ascii="宋体" w:hAnsi="宋体"/>
          <w:szCs w:val="21"/>
          <w:highlight w:val="none"/>
          <w:u w:val="single"/>
        </w:rPr>
        <w:t xml:space="preserve"> </w:t>
      </w:r>
    </w:p>
    <w:p w14:paraId="6C50A164">
      <w:pPr>
        <w:autoSpaceDE w:val="0"/>
        <w:autoSpaceDN w:val="0"/>
        <w:adjustRightInd w:val="0"/>
        <w:spacing w:line="360" w:lineRule="auto"/>
        <w:jc w:val="left"/>
        <w:rPr>
          <w:rFonts w:hint="eastAsia" w:ascii="宋体" w:hAnsi="宋体"/>
          <w:szCs w:val="21"/>
          <w:highlight w:val="none"/>
        </w:rPr>
      </w:pPr>
      <w:r>
        <w:rPr>
          <w:rFonts w:hint="eastAsia" w:ascii="宋体" w:hAnsi="宋体"/>
          <w:szCs w:val="21"/>
          <w:highlight w:val="none"/>
          <w:u w:val="single"/>
          <w:lang w:val="en-US" w:eastAsia="zh-CN"/>
        </w:rPr>
        <w:t xml:space="preserve">                   </w:t>
      </w:r>
      <w:r>
        <w:rPr>
          <w:rFonts w:hint="eastAsia" w:ascii="宋体" w:hAnsi="宋体"/>
          <w:b/>
          <w:bCs/>
          <w:szCs w:val="21"/>
          <w:highlight w:val="none"/>
          <w:u w:val="single"/>
        </w:rPr>
        <w:t>（以下简称乙方）</w:t>
      </w:r>
      <w:r>
        <w:rPr>
          <w:rFonts w:hint="eastAsia" w:ascii="宋体" w:hAnsi="宋体"/>
          <w:highlight w:val="none"/>
        </w:rPr>
        <w:t>就</w:t>
      </w:r>
      <w:r>
        <w:rPr>
          <w:rFonts w:hint="eastAsia" w:ascii="宋体" w:hAnsi="宋体"/>
          <w:highlight w:val="none"/>
          <w:u w:val="single"/>
        </w:rPr>
        <w:t xml:space="preserve"> </w:t>
      </w:r>
      <w:r>
        <w:rPr>
          <w:rFonts w:hint="eastAsia" w:ascii="宋体" w:hAnsi="宋体"/>
          <w:b/>
          <w:bCs/>
          <w:highlight w:val="none"/>
          <w:u w:val="single"/>
        </w:rPr>
        <w:t>甲方委托乙方为甲方计量器具进行</w:t>
      </w:r>
      <w:r>
        <w:rPr>
          <w:rFonts w:hint="eastAsia" w:ascii="宋体" w:hAnsi="宋体"/>
          <w:b/>
          <w:bCs/>
          <w:highlight w:val="none"/>
          <w:u w:val="single"/>
          <w:lang w:eastAsia="zh-CN"/>
        </w:rPr>
        <w:t>依法</w:t>
      </w:r>
      <w:r>
        <w:rPr>
          <w:rFonts w:hint="eastAsia" w:ascii="宋体" w:hAnsi="宋体"/>
          <w:b/>
          <w:bCs/>
          <w:highlight w:val="none"/>
          <w:u w:val="single"/>
        </w:rPr>
        <w:t>检定（以下</w:t>
      </w:r>
      <w:r>
        <w:rPr>
          <w:rFonts w:ascii="宋体" w:hAnsi="宋体"/>
          <w:b/>
          <w:bCs/>
          <w:highlight w:val="none"/>
          <w:u w:val="single"/>
        </w:rPr>
        <w:t>简称检测</w:t>
      </w:r>
      <w:r>
        <w:rPr>
          <w:rFonts w:hint="eastAsia" w:ascii="宋体" w:hAnsi="宋体"/>
          <w:b/>
          <w:bCs/>
          <w:highlight w:val="none"/>
          <w:u w:val="single"/>
        </w:rPr>
        <w:t>）服务</w:t>
      </w:r>
      <w:r>
        <w:rPr>
          <w:rFonts w:hint="eastAsia" w:ascii="宋体" w:hAnsi="宋体"/>
          <w:bCs/>
          <w:highlight w:val="none"/>
        </w:rPr>
        <w:t>的</w:t>
      </w:r>
      <w:r>
        <w:rPr>
          <w:rFonts w:hint="eastAsia" w:ascii="宋体" w:hAnsi="宋体"/>
          <w:highlight w:val="none"/>
        </w:rPr>
        <w:t>事宜，</w:t>
      </w:r>
      <w:r>
        <w:rPr>
          <w:rFonts w:hint="eastAsia" w:ascii="宋体" w:hAnsi="宋体"/>
          <w:szCs w:val="21"/>
          <w:highlight w:val="none"/>
        </w:rPr>
        <w:t>双方在平等互信、相互尊重的基础上达成如下协议:</w:t>
      </w:r>
    </w:p>
    <w:p w14:paraId="5AFFEE81">
      <w:pPr>
        <w:spacing w:line="440" w:lineRule="exact"/>
        <w:ind w:firstLine="19" w:firstLineChars="9"/>
        <w:rPr>
          <w:rFonts w:hint="eastAsia" w:ascii="宋体" w:hAnsi="宋体"/>
          <w:b/>
          <w:bCs/>
          <w:szCs w:val="21"/>
          <w:highlight w:val="none"/>
        </w:rPr>
      </w:pPr>
    </w:p>
    <w:p w14:paraId="56C2DC96">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szCs w:val="21"/>
          <w:highlight w:val="none"/>
        </w:rPr>
      </w:pPr>
      <w:r>
        <w:rPr>
          <w:rFonts w:hint="eastAsia" w:ascii="宋体" w:hAnsi="宋体"/>
          <w:b/>
          <w:bCs/>
          <w:szCs w:val="21"/>
          <w:highlight w:val="none"/>
        </w:rPr>
        <w:t>协议有效期</w:t>
      </w:r>
    </w:p>
    <w:p w14:paraId="31EEF87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本协议有效期限：从</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年</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月</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日</w:t>
      </w:r>
      <w:r>
        <w:rPr>
          <w:rFonts w:hint="eastAsia" w:ascii="宋体" w:hAnsi="宋体"/>
          <w:szCs w:val="21"/>
          <w:highlight w:val="none"/>
        </w:rPr>
        <w:t>至</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年</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月</w:t>
      </w:r>
      <w:r>
        <w:rPr>
          <w:rFonts w:hint="eastAsia" w:ascii="宋体" w:hAnsi="宋体"/>
          <w:b/>
          <w:bCs/>
          <w:szCs w:val="21"/>
          <w:highlight w:val="none"/>
          <w:u w:val="single"/>
          <w:lang w:val="en-US" w:eastAsia="zh-CN"/>
        </w:rPr>
        <w:t xml:space="preserve">    </w:t>
      </w:r>
      <w:r>
        <w:rPr>
          <w:rFonts w:hint="eastAsia" w:ascii="宋体" w:hAnsi="宋体"/>
          <w:b/>
          <w:bCs/>
          <w:szCs w:val="21"/>
          <w:highlight w:val="none"/>
        </w:rPr>
        <w:t>日</w:t>
      </w:r>
      <w:r>
        <w:rPr>
          <w:rFonts w:hint="eastAsia" w:ascii="宋体" w:hAnsi="宋体"/>
          <w:szCs w:val="21"/>
          <w:highlight w:val="none"/>
        </w:rPr>
        <w:t>止，期满双方协商续约。具体检测时间可根据</w:t>
      </w:r>
      <w:r>
        <w:rPr>
          <w:rFonts w:hint="eastAsia" w:ascii="宋体" w:hAnsi="宋体"/>
          <w:highlight w:val="none"/>
        </w:rPr>
        <w:t>甲方</w:t>
      </w:r>
      <w:r>
        <w:rPr>
          <w:rFonts w:hint="eastAsia" w:ascii="宋体" w:hAnsi="宋体"/>
          <w:szCs w:val="21"/>
          <w:highlight w:val="none"/>
        </w:rPr>
        <w:t>仪器的检测周期进行处理。</w:t>
      </w:r>
    </w:p>
    <w:p w14:paraId="17777BC2">
      <w:pPr>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p>
    <w:p w14:paraId="5761F242">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协议内容</w:t>
      </w:r>
    </w:p>
    <w:p w14:paraId="6AC6003A">
      <w:pPr>
        <w:keepNext w:val="0"/>
        <w:keepLines w:val="0"/>
        <w:pageBreakBefore w:val="0"/>
        <w:widowControl w:val="0"/>
        <w:numPr>
          <w:ilvl w:val="0"/>
          <w:numId w:val="2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highlight w:val="none"/>
        </w:rPr>
        <w:t>甲方将医用超声源、医用辐射源、医用激光源等计量器具委托乙方进行依法检测，费用以实际检测数量进行结算，器具类型及收费单价见附件。</w:t>
      </w:r>
    </w:p>
    <w:p w14:paraId="4DA29127">
      <w:pPr>
        <w:keepNext w:val="0"/>
        <w:keepLines w:val="0"/>
        <w:pageBreakBefore w:val="0"/>
        <w:widowControl w:val="0"/>
        <w:numPr>
          <w:ilvl w:val="0"/>
          <w:numId w:val="2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highlight w:val="none"/>
        </w:rPr>
        <w:t>乙方依据国家检定规程、校准规范或双方认可的检测方法对甲方计量器具进行检测，并出具符合相关规定的证书。</w:t>
      </w:r>
      <w:r>
        <w:rPr>
          <w:rFonts w:hint="eastAsia" w:ascii="宋体" w:hAnsi="宋体"/>
          <w:szCs w:val="21"/>
          <w:highlight w:val="none"/>
        </w:rPr>
        <w:t>当国家检定规程、检测规范与双方认可的检测方法存在冲突时，以国家检定规程、检测规范为准，但双方可协商对部分特殊情况进行调整。</w:t>
      </w:r>
    </w:p>
    <w:p w14:paraId="6EE85C4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4991D218">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双方义务</w:t>
      </w:r>
      <w:r>
        <w:rPr>
          <w:rFonts w:hint="eastAsia" w:ascii="宋体" w:hAnsi="宋体"/>
          <w:b/>
          <w:bCs/>
          <w:szCs w:val="21"/>
          <w:highlight w:val="none"/>
        </w:rPr>
        <w:tab/>
      </w:r>
    </w:p>
    <w:p w14:paraId="46C431D7">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甲方义务</w:t>
      </w:r>
    </w:p>
    <w:p w14:paraId="17614A8A">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甲方负责指派专业人员跟踪仪器的检测进度及质量，检查证书内容是否符合要求；</w:t>
      </w:r>
    </w:p>
    <w:p w14:paraId="0C346718">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乙方到甲方指定的现场工作时，甲方应提前与乙方约定检测日期，并在现场检测时做好内部协调工作，提供乙方检测所需的技术资料，以及现场检测所需的环境条件及辅助人员；</w:t>
      </w:r>
    </w:p>
    <w:p w14:paraId="1C76CB40">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对送检的仪器，若有需要，甲方应向乙方提供检测所需的仪器技术资料；</w:t>
      </w:r>
    </w:p>
    <w:p w14:paraId="516C8DE2">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对已完检的仪器及证书，按验收标准进行验收。</w:t>
      </w:r>
    </w:p>
    <w:p w14:paraId="263FCEAA">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乙方义务</w:t>
      </w:r>
    </w:p>
    <w:p w14:paraId="035E472E">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现场检测，乙方按约定时间到甲方指定的现场对需要检测的仪器进行检测，检测完毕后</w:t>
      </w:r>
      <w:r>
        <w:rPr>
          <w:rFonts w:hint="eastAsia" w:ascii="宋体" w:hAnsi="宋体"/>
          <w:highlight w:val="none"/>
          <w:lang w:val="en-US" w:eastAsia="zh-CN"/>
        </w:rPr>
        <w:t>不多于三</w:t>
      </w:r>
      <w:r>
        <w:rPr>
          <w:rFonts w:hint="eastAsia" w:ascii="宋体" w:hAnsi="宋体"/>
          <w:highlight w:val="none"/>
        </w:rPr>
        <w:t>十个工作日内出具证书；</w:t>
      </w:r>
    </w:p>
    <w:p w14:paraId="0F577B37">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甲方送检的仪器，正常情况下（标准器外送或其他特殊情况除外），乙方</w:t>
      </w:r>
      <w:r>
        <w:rPr>
          <w:rFonts w:hint="eastAsia" w:ascii="宋体" w:hAnsi="宋体"/>
          <w:highlight w:val="none"/>
          <w:lang w:val="en-US" w:eastAsia="zh-CN"/>
        </w:rPr>
        <w:t>不多于十</w:t>
      </w:r>
      <w:r>
        <w:rPr>
          <w:rFonts w:hint="eastAsia" w:ascii="宋体" w:hAnsi="宋体"/>
          <w:highlight w:val="none"/>
        </w:rPr>
        <w:t>个工作日内完成仪器检测工作并出具相应证书，甲方到乙方验收、缴款并领取仪器</w:t>
      </w:r>
      <w:r>
        <w:rPr>
          <w:rFonts w:hint="eastAsia" w:ascii="宋体" w:hAnsi="宋体"/>
          <w:highlight w:val="none"/>
          <w:lang w:val="en-US" w:eastAsia="zh-CN"/>
        </w:rPr>
        <w:t>及</w:t>
      </w:r>
      <w:r>
        <w:rPr>
          <w:rFonts w:hint="eastAsia" w:ascii="宋体" w:hAnsi="宋体"/>
          <w:highlight w:val="none"/>
        </w:rPr>
        <w:t>证书；标准类以及单次送检批量较大的仪器的检测周期另行协商；</w:t>
      </w:r>
    </w:p>
    <w:p w14:paraId="49E349A4">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现场检测时，乙方应与甲方相关科室协调合适的时间段进行，确保不影响临床工作。若因双方协调问题导致现场检测无法在约定时间内进行，双方应共同协商解决方案。</w:t>
      </w:r>
    </w:p>
    <w:p w14:paraId="77AF6712">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乙方在现场检测时应规范着装，佩戴工作证，文明用语，服务热情，行为得体，严格遵守医院管理部门各项规章制度及规定。</w:t>
      </w:r>
    </w:p>
    <w:p w14:paraId="2C440B93">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检测中发现不合格的仪器，需调试维修后才能检测的，乙方应知会甲方后方可进行调修，调修费用由乙方承担。</w:t>
      </w:r>
    </w:p>
    <w:p w14:paraId="6D8AC436">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乙方应与甲方负责指派的专业人员及时沟通仪器的检测进度。</w:t>
      </w:r>
    </w:p>
    <w:p w14:paraId="3D9D3857">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lang w:val="en-US" w:eastAsia="zh-CN"/>
        </w:rPr>
      </w:pPr>
      <w:r>
        <w:rPr>
          <w:rFonts w:hint="eastAsia" w:ascii="宋体" w:hAnsi="宋体"/>
          <w:highlight w:val="none"/>
          <w:lang w:val="en-US" w:eastAsia="zh-CN"/>
        </w:rPr>
        <w:t>乙方到甲方指定的现场工作时，需协助甲方在现场检测时做好协调工作，提前告知甲方需提供的仪器技术资料，以及现场检测所需的环境条件及辅助人员。</w:t>
      </w:r>
    </w:p>
    <w:p w14:paraId="2E0422ED">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highlight w:val="none"/>
          <w:lang w:val="en-US" w:eastAsia="zh-CN"/>
        </w:rPr>
      </w:pPr>
      <w:r>
        <w:rPr>
          <w:rFonts w:hint="eastAsia" w:ascii="宋体" w:hAnsi="宋体"/>
          <w:highlight w:val="none"/>
          <w:lang w:val="en-US" w:eastAsia="zh-CN"/>
        </w:rPr>
        <w:t>对送检的仪器，若有需要，乙方应告知甲方需提供的仪器技术资料。</w:t>
      </w:r>
    </w:p>
    <w:p w14:paraId="1CE49D6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6236AAA3">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验收标准及方式</w:t>
      </w:r>
    </w:p>
    <w:p w14:paraId="73130926">
      <w:pPr>
        <w:keepNext w:val="0"/>
        <w:keepLines w:val="0"/>
        <w:pageBreakBefore w:val="0"/>
        <w:widowControl w:val="0"/>
        <w:numPr>
          <w:ilvl w:val="0"/>
          <w:numId w:val="27"/>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验收标准：依据国家相关检定规程、校准规范；以及依据仪器的技术说明书的技术要求。当国家相关检定规程、检测规范与仪器技术说明书的技术要求不一致时，以更严格的标准作为验收依据。</w:t>
      </w:r>
    </w:p>
    <w:p w14:paraId="347A56FA">
      <w:pPr>
        <w:keepNext w:val="0"/>
        <w:keepLines w:val="0"/>
        <w:pageBreakBefore w:val="0"/>
        <w:widowControl w:val="0"/>
        <w:numPr>
          <w:ilvl w:val="0"/>
          <w:numId w:val="27"/>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验收方式</w:t>
      </w:r>
    </w:p>
    <w:p w14:paraId="09DBE9DF">
      <w:pPr>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乙方接收仪器时要检查仪器外观是否完好，检测时检查仪器性能是否正常，如有问题应及时联系甲方报告情况；</w:t>
      </w:r>
    </w:p>
    <w:p w14:paraId="05EAC8F1">
      <w:pPr>
        <w:keepNext w:val="0"/>
        <w:keepLines w:val="0"/>
        <w:pageBreakBefore w:val="0"/>
        <w:widowControl w:val="0"/>
        <w:numPr>
          <w:ilvl w:val="0"/>
          <w:numId w:val="28"/>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w:t>
      </w:r>
      <w:r>
        <w:rPr>
          <w:rFonts w:hint="eastAsia" w:ascii="宋体" w:hAnsi="宋体"/>
          <w:highlight w:val="none"/>
        </w:rPr>
        <w:t>方</w:t>
      </w:r>
      <w:r>
        <w:rPr>
          <w:rFonts w:hint="eastAsia" w:ascii="宋体" w:hAnsi="宋体"/>
          <w:szCs w:val="21"/>
          <w:highlight w:val="none"/>
        </w:rPr>
        <w:t>对已完检的仪器及证书按验收标准进行验收，双方在委托单上签名确认。双方在委托单上签名确认后，视为对仪器检测前状态的认可，该委托单具有法律效力。</w:t>
      </w:r>
    </w:p>
    <w:p w14:paraId="54FFE186">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0971664B">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结算方式</w:t>
      </w:r>
    </w:p>
    <w:p w14:paraId="6C58E75F">
      <w:pPr>
        <w:keepNext w:val="0"/>
        <w:keepLines w:val="0"/>
        <w:pageBreakBefore w:val="0"/>
        <w:widowControl w:val="0"/>
        <w:numPr>
          <w:ilvl w:val="0"/>
          <w:numId w:val="29"/>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highlight w:val="none"/>
        </w:rPr>
      </w:pPr>
      <w:r>
        <w:rPr>
          <w:rFonts w:hint="eastAsia" w:ascii="宋体" w:hAnsi="宋体"/>
          <w:highlight w:val="none"/>
        </w:rPr>
        <w:t>5.</w:t>
      </w:r>
      <w:r>
        <w:rPr>
          <w:rFonts w:hint="eastAsia" w:ascii="宋体" w:hAnsi="宋体"/>
          <w:highlight w:val="none"/>
          <w:lang w:val="en-US" w:eastAsia="zh-CN"/>
        </w:rPr>
        <w:t>1</w:t>
      </w:r>
      <w:r>
        <w:rPr>
          <w:rFonts w:hint="eastAsia" w:ascii="宋体" w:hAnsi="宋体"/>
          <w:highlight w:val="none"/>
        </w:rPr>
        <w:t xml:space="preserve"> 结算方式</w:t>
      </w:r>
    </w:p>
    <w:p w14:paraId="4B49DA2B">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szCs w:val="21"/>
          <w:highlight w:val="none"/>
          <w:lang w:val="en-US" w:eastAsia="zh-CN"/>
        </w:rPr>
      </w:pPr>
      <w:r>
        <w:rPr>
          <w:rFonts w:hint="default" w:ascii="宋体" w:hAnsi="宋体"/>
          <w:szCs w:val="21"/>
          <w:highlight w:val="none"/>
          <w:lang w:val="en-US" w:eastAsia="zh-CN"/>
        </w:rPr>
        <w:t>按照实际检测数量支付，根据成交单价按次按实结算，实际结算总价=“检定设备清单”中成交单价×实际检测数量，年度支付总额不超过采购预算65万</w:t>
      </w:r>
      <w:r>
        <w:rPr>
          <w:rFonts w:hint="eastAsia" w:ascii="宋体" w:hAnsi="宋体"/>
          <w:szCs w:val="21"/>
          <w:highlight w:val="none"/>
          <w:lang w:val="en-US" w:eastAsia="zh-CN"/>
        </w:rPr>
        <w:t>；</w:t>
      </w:r>
    </w:p>
    <w:p w14:paraId="27BDF412">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 xml:space="preserve">乙方按收费标准实际计算每次检测应付的检测费，每次检测完毕，乙方出具纸质收费清单提交给甲方； </w:t>
      </w:r>
    </w:p>
    <w:p w14:paraId="736D51A0">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甲方在确认检测费后</w:t>
      </w:r>
      <w:r>
        <w:rPr>
          <w:rFonts w:hint="eastAsia" w:ascii="宋体" w:hAnsi="宋体"/>
          <w:szCs w:val="21"/>
          <w:highlight w:val="none"/>
          <w:lang w:eastAsia="zh-CN"/>
        </w:rPr>
        <w:t>，</w:t>
      </w:r>
      <w:r>
        <w:rPr>
          <w:rFonts w:hint="eastAsia" w:ascii="宋体" w:hAnsi="宋体"/>
          <w:szCs w:val="21"/>
          <w:highlight w:val="none"/>
          <w:lang w:val="en-US" w:eastAsia="zh-CN"/>
        </w:rPr>
        <w:t>通知乙方开具发票；</w:t>
      </w:r>
    </w:p>
    <w:p w14:paraId="4ED6249E">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lang w:val="en-US" w:eastAsia="zh-CN"/>
        </w:rPr>
        <w:t>甲方</w:t>
      </w:r>
      <w:r>
        <w:rPr>
          <w:rFonts w:hint="eastAsia" w:ascii="宋体" w:hAnsi="宋体"/>
          <w:szCs w:val="21"/>
          <w:highlight w:val="none"/>
        </w:rPr>
        <w:t>原则上应当自收到发票且在满足支付条件的前提下 30 个工作日内支付检测费；</w:t>
      </w:r>
    </w:p>
    <w:p w14:paraId="68DDFEF5">
      <w:pPr>
        <w:keepNext w:val="0"/>
        <w:keepLines w:val="0"/>
        <w:pageBreakBefore w:val="0"/>
        <w:widowControl w:val="0"/>
        <w:numPr>
          <w:ilvl w:val="0"/>
          <w:numId w:val="3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甲方采用转账付款方式，则需将检测费用支付到乙方以下指定的银行账户：</w:t>
      </w:r>
    </w:p>
    <w:p w14:paraId="102A592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户    名：</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0E7BD23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54DC2459">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账    号：</w:t>
      </w:r>
      <w:r>
        <w:rPr>
          <w:rFonts w:hint="eastAsia" w:ascii="宋体" w:hAnsi="宋体"/>
          <w:szCs w:val="21"/>
          <w:highlight w:val="none"/>
          <w:u w:val="single"/>
          <w:lang w:val="en-US" w:eastAsia="zh-CN"/>
        </w:rPr>
        <w:t xml:space="preserve">                       </w:t>
      </w:r>
      <w:r>
        <w:rPr>
          <w:rFonts w:hint="eastAsia" w:ascii="宋体" w:hAnsi="宋体"/>
          <w:szCs w:val="21"/>
          <w:highlight w:val="none"/>
        </w:rPr>
        <w:t>。</w:t>
      </w:r>
    </w:p>
    <w:p w14:paraId="0B9025BA">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保密协议</w:t>
      </w:r>
    </w:p>
    <w:p w14:paraId="5FFD7B5D">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双方确定因履行本合同应遵守的保密义务如下：</w:t>
      </w:r>
    </w:p>
    <w:p w14:paraId="2A2F872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甲方：</w:t>
      </w:r>
    </w:p>
    <w:p w14:paraId="6D5E5F6E">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保密内容（包括技术信息和经营信息）</w:t>
      </w:r>
      <w:r>
        <w:rPr>
          <w:rFonts w:ascii="宋体" w:hAnsi="宋体"/>
          <w:szCs w:val="21"/>
          <w:highlight w:val="none"/>
        </w:rPr>
        <w:t>:</w:t>
      </w:r>
      <w:r>
        <w:rPr>
          <w:rFonts w:hint="eastAsia" w:ascii="宋体" w:hAnsi="宋体"/>
          <w:szCs w:val="21"/>
          <w:highlight w:val="none"/>
        </w:rPr>
        <w:t xml:space="preserve">  对于甲方从乙方获得的保密信息（包括但不限于技术</w:t>
      </w:r>
      <w:r>
        <w:rPr>
          <w:rFonts w:ascii="宋体" w:hAnsi="宋体"/>
          <w:szCs w:val="21"/>
          <w:highlight w:val="none"/>
        </w:rPr>
        <w:t>信</w:t>
      </w:r>
      <w:r>
        <w:rPr>
          <w:rFonts w:hint="eastAsia" w:ascii="宋体" w:hAnsi="宋体"/>
          <w:szCs w:val="21"/>
          <w:highlight w:val="none"/>
        </w:rPr>
        <w:t>息和经营信息），在未取得乙方事先书面同意时不得将该保密信息用于“本合同目的”以外的经营活动或向第三方公开或泄露。</w:t>
      </w:r>
    </w:p>
    <w:p w14:paraId="635996B0">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涉密人员范围</w:t>
      </w:r>
      <w:r>
        <w:rPr>
          <w:rFonts w:ascii="宋体" w:hAnsi="宋体"/>
          <w:szCs w:val="21"/>
          <w:highlight w:val="none"/>
        </w:rPr>
        <w:t>:</w:t>
      </w:r>
      <w:r>
        <w:rPr>
          <w:rFonts w:hint="eastAsia" w:ascii="宋体" w:hAnsi="宋体"/>
          <w:szCs w:val="21"/>
          <w:highlight w:val="none"/>
        </w:rPr>
        <w:t xml:space="preserve"> </w:t>
      </w:r>
      <w:r>
        <w:rPr>
          <w:rFonts w:hint="eastAsia" w:ascii="宋体" w:hAnsi="宋体"/>
          <w:szCs w:val="21"/>
          <w:highlight w:val="none"/>
          <w:u w:val="single"/>
        </w:rPr>
        <w:t xml:space="preserve"> 无限定。</w:t>
      </w:r>
    </w:p>
    <w:p w14:paraId="315EE759">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保密期限： 自本合同签订之日起至本合同终止后2年内继续有效。但若乙方在该期限内将保密信息公开，则保密期限自公开之日起终止。</w:t>
      </w:r>
    </w:p>
    <w:p w14:paraId="66A3B94C">
      <w:pPr>
        <w:keepNext w:val="0"/>
        <w:keepLines w:val="0"/>
        <w:pageBreakBefore w:val="0"/>
        <w:widowControl w:val="0"/>
        <w:numPr>
          <w:ilvl w:val="0"/>
          <w:numId w:val="31"/>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泄密责任： 依照国家相关法律法规承担责任。</w:t>
      </w:r>
    </w:p>
    <w:p w14:paraId="2A6CB47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乙方：</w:t>
      </w:r>
    </w:p>
    <w:p w14:paraId="273B04A2">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保密内容（包括技术信息和经营信息）</w:t>
      </w:r>
      <w:r>
        <w:rPr>
          <w:rFonts w:ascii="宋体" w:hAnsi="宋体"/>
          <w:szCs w:val="21"/>
          <w:highlight w:val="none"/>
        </w:rPr>
        <w:t>:</w:t>
      </w:r>
      <w:r>
        <w:rPr>
          <w:rFonts w:hint="eastAsia" w:ascii="宋体" w:hAnsi="宋体"/>
          <w:szCs w:val="21"/>
          <w:highlight w:val="none"/>
        </w:rPr>
        <w:t xml:space="preserve">  对于乙方从甲方获得的保密信息（包括但不限于技术信息和经营信息），在未取得甲方事先书面同意时不得将该保密信息用于“本合同目的”以外的经营活动或向第三方公开或泄露。</w:t>
      </w:r>
    </w:p>
    <w:p w14:paraId="3BEF7ED8">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涉密人员范围</w:t>
      </w:r>
      <w:r>
        <w:rPr>
          <w:rFonts w:ascii="宋体" w:hAnsi="宋体"/>
          <w:szCs w:val="21"/>
          <w:highlight w:val="none"/>
        </w:rPr>
        <w:t>:</w:t>
      </w:r>
      <w:r>
        <w:rPr>
          <w:rFonts w:hint="eastAsia" w:ascii="宋体" w:hAnsi="宋体"/>
          <w:szCs w:val="21"/>
          <w:highlight w:val="none"/>
        </w:rPr>
        <w:t xml:space="preserve"> </w:t>
      </w:r>
      <w:r>
        <w:rPr>
          <w:rFonts w:hint="eastAsia" w:ascii="宋体" w:hAnsi="宋体"/>
          <w:szCs w:val="21"/>
          <w:highlight w:val="none"/>
          <w:u w:val="single"/>
        </w:rPr>
        <w:t xml:space="preserve"> 现场检测工程师。</w:t>
      </w:r>
    </w:p>
    <w:p w14:paraId="4E60701D">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保密期限： 自本合同签订之日起至本合同终止后2年内继续有效。但若甲方在该期限内将保密信息公开，则保密期限自公开之日起终止。</w:t>
      </w:r>
    </w:p>
    <w:p w14:paraId="6AFE6172">
      <w:pPr>
        <w:keepNext w:val="0"/>
        <w:keepLines w:val="0"/>
        <w:pageBreakBefore w:val="0"/>
        <w:widowControl w:val="0"/>
        <w:numPr>
          <w:ilvl w:val="0"/>
          <w:numId w:val="32"/>
        </w:numPr>
        <w:kinsoku/>
        <w:wordWrap/>
        <w:overflowPunct/>
        <w:topLinePunct w:val="0"/>
        <w:autoSpaceDE/>
        <w:autoSpaceDN/>
        <w:bidi w:val="0"/>
        <w:adjustRightInd/>
        <w:snapToGrid/>
        <w:spacing w:line="440" w:lineRule="exact"/>
        <w:ind w:left="0" w:leftChars="0" w:firstLine="420" w:firstLineChars="200"/>
        <w:textAlignment w:val="auto"/>
        <w:rPr>
          <w:rFonts w:ascii="宋体" w:hAnsi="宋体"/>
          <w:szCs w:val="21"/>
          <w:highlight w:val="none"/>
        </w:rPr>
      </w:pPr>
      <w:r>
        <w:rPr>
          <w:rFonts w:hint="eastAsia" w:ascii="宋体" w:hAnsi="宋体"/>
          <w:szCs w:val="21"/>
          <w:highlight w:val="none"/>
        </w:rPr>
        <w:t>泄密责任： 依照国家相关法律法规承担责任。</w:t>
      </w:r>
    </w:p>
    <w:p w14:paraId="157D829C">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1E5DB8AD">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b/>
          <w:bCs/>
          <w:szCs w:val="21"/>
          <w:highlight w:val="none"/>
        </w:rPr>
      </w:pPr>
      <w:r>
        <w:rPr>
          <w:rFonts w:hint="eastAsia" w:ascii="宋体" w:hAnsi="宋体"/>
          <w:b/>
          <w:bCs/>
          <w:szCs w:val="21"/>
          <w:highlight w:val="none"/>
        </w:rPr>
        <w:t>违约责任</w:t>
      </w:r>
    </w:p>
    <w:p w14:paraId="7CAFADBC">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成交供应商若未按国家相关法律法规进行检测，由成交供应商承担全部责任。</w:t>
      </w:r>
    </w:p>
    <w:p w14:paraId="58A6724C">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成交供应商应按时积极进行检测工作，不得拖延。若未按时按质完成项目内容，经采购人三次通知整改仍未完成，采购人有权单方终止合同。</w:t>
      </w:r>
    </w:p>
    <w:p w14:paraId="2A16FAF2">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成交供应商因逾期开展检测活动、未能按约定的服务期限或项目进度出具检测报告而影响到采购人生产经营的，每逾期一日按照合同总金额的5‰支付违约金给采购人；若无故推迟出具检测报告，须向采购人支付合同</w:t>
      </w:r>
      <w:r>
        <w:rPr>
          <w:rFonts w:hint="eastAsia" w:ascii="宋体" w:hAnsi="宋体"/>
          <w:szCs w:val="21"/>
          <w:highlight w:val="none"/>
          <w:lang w:val="en-US" w:eastAsia="zh-CN"/>
        </w:rPr>
        <w:t>总</w:t>
      </w:r>
      <w:r>
        <w:rPr>
          <w:rFonts w:hint="eastAsia" w:ascii="宋体" w:hAnsi="宋体"/>
          <w:szCs w:val="21"/>
          <w:highlight w:val="none"/>
        </w:rPr>
        <w:t>金额的10%的违约金。</w:t>
      </w:r>
    </w:p>
    <w:p w14:paraId="7FD2A676">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采购人若未如期履行付款义务的，每迟延一天按照本次检测仪器应付未付金额的千分之一支付违约金给成交供应商，违约金不超过应付未付金额的10%。</w:t>
      </w:r>
    </w:p>
    <w:p w14:paraId="02002319">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若成交供应商提供的“设备检测证书（报告）”不符合合同约定或相关检测规范要求，成交供应商应当赔偿损失（金额为不符合要求的报告数量乘以该报告所属设备的单价）。</w:t>
      </w:r>
    </w:p>
    <w:p w14:paraId="7B67AF8B">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供应商在支付违约金后，还应当履行应尽的义务。若违约金不足以弥补采购人损失的，供应商应另行赔偿损失。</w:t>
      </w:r>
    </w:p>
    <w:p w14:paraId="4D568912">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若成交供应商提供的服务不符合法律法规及采购文件要求的质量、服务标准或履约过程中有违约行为的，采购人有权保留除上述条款外，继续追究由此给采购人造成损失责任的权利。</w:t>
      </w:r>
    </w:p>
    <w:p w14:paraId="17C6B9F8">
      <w:pPr>
        <w:keepNext w:val="0"/>
        <w:keepLines w:val="0"/>
        <w:pageBreakBefore w:val="0"/>
        <w:widowControl w:val="0"/>
        <w:numPr>
          <w:ilvl w:val="0"/>
          <w:numId w:val="33"/>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r>
        <w:rPr>
          <w:rFonts w:hint="eastAsia" w:ascii="宋体" w:hAnsi="宋体"/>
          <w:szCs w:val="21"/>
          <w:highlight w:val="none"/>
        </w:rPr>
        <w:t>其它违约责任按《中华人民共和国民法典》处理。</w:t>
      </w:r>
    </w:p>
    <w:p w14:paraId="616026A0">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szCs w:val="21"/>
          <w:highlight w:val="none"/>
        </w:rPr>
      </w:pPr>
    </w:p>
    <w:p w14:paraId="742253C4">
      <w:pPr>
        <w:keepNext w:val="0"/>
        <w:keepLines w:val="0"/>
        <w:pageBreakBefore w:val="0"/>
        <w:widowControl w:val="0"/>
        <w:numPr>
          <w:ilvl w:val="0"/>
          <w:numId w:val="22"/>
        </w:numPr>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其他事宜</w:t>
      </w:r>
    </w:p>
    <w:p w14:paraId="2E694226">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成交供应商在实际服务时，若被发现提供的服务未能达到比选文件中的有关要求和响应文件的承诺，将按有关法规进行处罚，采购人将有权单方面中止或终止合同的执行,并追究因成交供应商所提供的未达到所承诺准确率服务而产生的所有损失和责任。</w:t>
      </w:r>
    </w:p>
    <w:p w14:paraId="24A3BE80">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任何一方如确因不可抗力的原因，不能履行本合同时，应在不可抗力的事件发生之后三日内向对方通知不能履行或须延期履行、部分履行的理由。在取得有关证明后，本合同可以不履行或延期履行或部分履行，并免予承担违约责任。</w:t>
      </w:r>
    </w:p>
    <w:p w14:paraId="63E59A6E">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如因国家相关政策发生变化，应以最新的国家相关政策为准并执行，如因国家相关政策发生变化而导致本次项目的合同无法继续执行，采购人不承担任何责任，响应人自行承担由此带来的任何风险及后果。</w:t>
      </w:r>
    </w:p>
    <w:p w14:paraId="649A7204">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应遵守劳动部门的相关规定，规范用工行为。</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应与其派出的现场服务人员建立合法的劳动合同关系，并按照国家规定为其办理各类社会保险，同时承担全部的用工责任。</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还需承担其派出的现场服务人员可能遭遇的意外、工伤等所有服务风险。若发生劳动争议、法律纠纷或经济纠纷，全部责任由</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承担，与</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无关。同时，若因供应商的技术服务人员不具备相关资质或违反安全作业规程而导致的人身伤亡及财产损失，以及非因</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原因造成的任何伤亡及损失，责任也均由</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承担。</w:t>
      </w:r>
    </w:p>
    <w:p w14:paraId="693A74D1">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本协议其它未尽事宜，双方可协商后签订补充协议；</w:t>
      </w:r>
    </w:p>
    <w:p w14:paraId="2FB96002">
      <w:pPr>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本协议一式两份，甲乙双方各执一份，均具有同等的法律效力；</w:t>
      </w:r>
    </w:p>
    <w:p w14:paraId="2155251D">
      <w:pPr>
        <w:pStyle w:val="5"/>
        <w:keepNext w:val="0"/>
        <w:keepLines w:val="0"/>
        <w:pageBreakBefore w:val="0"/>
        <w:widowControl w:val="0"/>
        <w:numPr>
          <w:ilvl w:val="0"/>
          <w:numId w:val="34"/>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highlight w:val="none"/>
        </w:rPr>
      </w:pPr>
      <w:r>
        <w:rPr>
          <w:rFonts w:hint="eastAsia" w:ascii="宋体" w:hAnsi="宋体" w:eastAsia="宋体" w:cs="宋体"/>
          <w:sz w:val="21"/>
          <w:szCs w:val="21"/>
          <w:highlight w:val="none"/>
        </w:rPr>
        <w:t>在执行本协议过程中，如发生纠纷，双方应友好协商解决；协商不成，双方同意提交中国广州仲裁委员会申请仲裁。</w:t>
      </w:r>
    </w:p>
    <w:p w14:paraId="48163543">
      <w:pPr>
        <w:autoSpaceDE w:val="0"/>
        <w:autoSpaceDN w:val="0"/>
        <w:adjustRightInd w:val="0"/>
        <w:ind w:left="200"/>
        <w:jc w:val="left"/>
        <w:rPr>
          <w:rFonts w:hint="eastAsia" w:ascii="宋体" w:hAnsi="宋体"/>
          <w:szCs w:val="21"/>
          <w:highlight w:val="none"/>
        </w:rPr>
      </w:pPr>
    </w:p>
    <w:p w14:paraId="6C0059C0">
      <w:pPr>
        <w:autoSpaceDE w:val="0"/>
        <w:autoSpaceDN w:val="0"/>
        <w:adjustRightInd w:val="0"/>
        <w:ind w:left="200"/>
        <w:jc w:val="left"/>
        <w:rPr>
          <w:rFonts w:ascii="幼圆" w:eastAsia="幼圆" w:cs="幼圆"/>
          <w:b/>
          <w:bCs/>
          <w:kern w:val="0"/>
          <w:szCs w:val="21"/>
          <w:highlight w:val="none"/>
          <w:lang w:val="zh-CN"/>
        </w:rPr>
      </w:pPr>
      <w:r>
        <w:rPr>
          <w:rFonts w:hint="eastAsia" w:ascii="宋体" w:hAnsi="宋体"/>
          <w:szCs w:val="21"/>
          <w:highlight w:val="none"/>
        </w:rPr>
        <w:t>甲方：</w:t>
      </w:r>
      <w:r>
        <w:rPr>
          <w:rFonts w:hint="eastAsia" w:ascii="宋体" w:hAnsi="宋体"/>
          <w:b/>
          <w:bCs/>
          <w:szCs w:val="21"/>
          <w:highlight w:val="none"/>
        </w:rPr>
        <w:t xml:space="preserve">中山大学孙逸仙纪念医院              </w:t>
      </w:r>
      <w:r>
        <w:rPr>
          <w:rFonts w:hint="eastAsia" w:ascii="宋体" w:hAnsi="宋体"/>
          <w:szCs w:val="21"/>
          <w:highlight w:val="none"/>
        </w:rPr>
        <w:t>乙方：</w:t>
      </w:r>
      <w:r>
        <w:rPr>
          <w:rFonts w:hint="eastAsia" w:ascii="宋体" w:hAnsi="宋体"/>
          <w:b/>
          <w:bCs/>
          <w:szCs w:val="21"/>
          <w:highlight w:val="none"/>
          <w:lang w:val="en-US" w:eastAsia="zh-CN"/>
        </w:rPr>
        <w:t xml:space="preserve">   </w:t>
      </w:r>
      <w:r>
        <w:rPr>
          <w:rFonts w:hint="eastAsia" w:ascii="宋体" w:hAnsi="宋体"/>
          <w:b/>
          <w:bCs/>
          <w:szCs w:val="21"/>
          <w:highlight w:val="none"/>
        </w:rPr>
        <w:t xml:space="preserve">  </w:t>
      </w:r>
    </w:p>
    <w:p w14:paraId="675BBC8A">
      <w:pPr>
        <w:spacing w:line="440" w:lineRule="exac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14:paraId="7392A645">
      <w:pPr>
        <w:spacing w:line="440" w:lineRule="exact"/>
        <w:ind w:firstLine="420" w:firstLineChars="200"/>
        <w:jc w:val="left"/>
        <w:rPr>
          <w:rFonts w:hint="eastAsia" w:ascii="宋体" w:hAnsi="宋体"/>
          <w:szCs w:val="21"/>
          <w:highlight w:val="none"/>
        </w:rPr>
      </w:pPr>
      <w:r>
        <w:rPr>
          <w:rFonts w:hint="eastAsia" w:ascii="宋体" w:hAnsi="宋体"/>
          <w:szCs w:val="21"/>
          <w:highlight w:val="none"/>
        </w:rPr>
        <w:t>（盖章）</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（盖章）</w:t>
      </w:r>
    </w:p>
    <w:p w14:paraId="76EB0F1C">
      <w:pPr>
        <w:spacing w:line="440" w:lineRule="exact"/>
        <w:ind w:firstLine="1680" w:firstLineChars="800"/>
        <w:jc w:val="left"/>
        <w:rPr>
          <w:rFonts w:hint="eastAsia" w:ascii="宋体" w:hAnsi="宋体"/>
          <w:szCs w:val="21"/>
          <w:highlight w:val="none"/>
        </w:rPr>
      </w:pPr>
    </w:p>
    <w:p w14:paraId="13B608E9">
      <w:pPr>
        <w:spacing w:line="440" w:lineRule="exact"/>
        <w:jc w:val="left"/>
        <w:rPr>
          <w:rFonts w:hint="eastAsia" w:ascii="宋体" w:hAnsi="宋体"/>
          <w:szCs w:val="21"/>
          <w:highlight w:val="none"/>
        </w:rPr>
      </w:pPr>
      <w:r>
        <w:rPr>
          <w:rFonts w:hint="eastAsia" w:ascii="宋体" w:hAnsi="宋体"/>
          <w:szCs w:val="21"/>
          <w:highlight w:val="none"/>
        </w:rPr>
        <w:t xml:space="preserve">  甲方代表：                                 乙方代表： </w:t>
      </w:r>
    </w:p>
    <w:p w14:paraId="2BC9AFC2">
      <w:pPr>
        <w:autoSpaceDE w:val="0"/>
        <w:autoSpaceDN w:val="0"/>
        <w:adjustRightInd w:val="0"/>
        <w:ind w:left="200"/>
        <w:jc w:val="left"/>
        <w:rPr>
          <w:rFonts w:hint="eastAsia" w:ascii="宋体" w:hAnsi="宋体" w:cs="幼圆"/>
          <w:bCs/>
          <w:kern w:val="0"/>
          <w:szCs w:val="21"/>
          <w:highlight w:val="none"/>
          <w:lang w:val="zh-CN"/>
        </w:rPr>
      </w:pPr>
      <w:r>
        <w:rPr>
          <w:rFonts w:hint="eastAsia" w:ascii="宋体" w:hAnsi="宋体"/>
          <w:szCs w:val="21"/>
          <w:highlight w:val="none"/>
        </w:rPr>
        <w:t>地址：                                     地址：</w:t>
      </w:r>
      <w:r>
        <w:rPr>
          <w:rFonts w:hint="eastAsia" w:ascii="宋体" w:hAnsi="宋体"/>
          <w:szCs w:val="21"/>
          <w:highlight w:val="none"/>
          <w:lang w:val="en-US" w:eastAsia="zh-CN"/>
        </w:rPr>
        <w:t xml:space="preserve">   </w:t>
      </w:r>
      <w:r>
        <w:rPr>
          <w:rFonts w:hint="eastAsia" w:ascii="宋体" w:hAnsi="宋体"/>
          <w:szCs w:val="21"/>
          <w:highlight w:val="none"/>
        </w:rPr>
        <w:t xml:space="preserve">  </w:t>
      </w:r>
    </w:p>
    <w:p w14:paraId="62798DC3">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甲方联系人：                               乙方联系人：</w:t>
      </w:r>
    </w:p>
    <w:p w14:paraId="4974BDC5">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联系方式：                                 联系方式：</w:t>
      </w:r>
    </w:p>
    <w:p w14:paraId="16FA08EB">
      <w:pPr>
        <w:autoSpaceDE w:val="0"/>
        <w:autoSpaceDN w:val="0"/>
        <w:adjustRightInd w:val="0"/>
        <w:ind w:left="200"/>
        <w:jc w:val="left"/>
        <w:rPr>
          <w:rFonts w:hint="eastAsia" w:ascii="宋体" w:hAnsi="宋体"/>
          <w:szCs w:val="21"/>
          <w:highlight w:val="none"/>
        </w:rPr>
      </w:pPr>
      <w:r>
        <w:rPr>
          <w:rFonts w:hint="eastAsia" w:ascii="宋体" w:hAnsi="宋体"/>
          <w:szCs w:val="21"/>
          <w:highlight w:val="none"/>
        </w:rPr>
        <w:t>签约日期：                                 签约日期：</w:t>
      </w:r>
    </w:p>
    <w:p w14:paraId="39A98318">
      <w:pPr>
        <w:pStyle w:val="13"/>
        <w:tabs>
          <w:tab w:val="left" w:pos="1080"/>
        </w:tabs>
        <w:spacing w:line="440" w:lineRule="exact"/>
        <w:jc w:val="center"/>
        <w:rPr>
          <w:rFonts w:hint="eastAsia"/>
          <w:sz w:val="21"/>
          <w:szCs w:val="21"/>
          <w:highlight w:val="none"/>
        </w:rPr>
      </w:pPr>
      <w:r>
        <w:rPr>
          <w:rFonts w:hint="eastAsia"/>
          <w:sz w:val="21"/>
          <w:highlight w:val="none"/>
        </w:rPr>
        <w:t>（正文完）</w:t>
      </w:r>
    </w:p>
    <w:p w14:paraId="50A92290">
      <w:pPr>
        <w:spacing w:line="440" w:lineRule="exact"/>
        <w:ind w:right="899" w:rightChars="428"/>
        <w:jc w:val="left"/>
        <w:rPr>
          <w:rFonts w:hint="eastAsia" w:ascii="宋体" w:hAnsi="宋体"/>
          <w:b/>
          <w:bCs/>
          <w:sz w:val="24"/>
          <w:highlight w:val="none"/>
        </w:rPr>
      </w:pPr>
      <w:r>
        <w:rPr>
          <w:rFonts w:hint="eastAsia" w:ascii="宋体" w:hAnsi="宋体"/>
          <w:b/>
          <w:bCs/>
          <w:sz w:val="24"/>
          <w:highlight w:val="none"/>
        </w:rPr>
        <w:t>附件：器具类型及收费单价</w:t>
      </w:r>
    </w:p>
    <w:tbl>
      <w:tblPr>
        <w:tblStyle w:val="18"/>
        <w:tblW w:w="0" w:type="auto"/>
        <w:tblInd w:w="0" w:type="dxa"/>
        <w:tblLayout w:type="fixed"/>
        <w:tblCellMar>
          <w:top w:w="0" w:type="dxa"/>
          <w:left w:w="0" w:type="dxa"/>
          <w:bottom w:w="0" w:type="dxa"/>
          <w:right w:w="0" w:type="dxa"/>
        </w:tblCellMar>
      </w:tblPr>
      <w:tblGrid>
        <w:gridCol w:w="1089"/>
        <w:gridCol w:w="3551"/>
        <w:gridCol w:w="1831"/>
        <w:gridCol w:w="2739"/>
      </w:tblGrid>
      <w:tr w14:paraId="14D3986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5934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序号</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31F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设备名称</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7696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检测单价（元）</w:t>
            </w: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7AF3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备注</w:t>
            </w:r>
          </w:p>
        </w:tc>
      </w:tr>
      <w:tr w14:paraId="1D02AC5C">
        <w:tblPrEx>
          <w:tblCellMar>
            <w:top w:w="0" w:type="dxa"/>
            <w:left w:w="0" w:type="dxa"/>
            <w:bottom w:w="0" w:type="dxa"/>
            <w:right w:w="0" w:type="dxa"/>
          </w:tblCellMar>
        </w:tblPrEx>
        <w:trPr>
          <w:cantSplit/>
          <w:trHeight w:val="509"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BF58F">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DB3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螺旋CT</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E4E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00BBF">
            <w:pPr>
              <w:jc w:val="center"/>
              <w:rPr>
                <w:rFonts w:ascii="等线" w:hAnsi="等线" w:eastAsia="等线" w:cs="等线"/>
                <w:color w:val="000000"/>
                <w:szCs w:val="21"/>
                <w:highlight w:val="none"/>
              </w:rPr>
            </w:pPr>
          </w:p>
        </w:tc>
      </w:tr>
      <w:tr w14:paraId="7D30E8AC">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52EBD">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2</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329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DR</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95CE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B11BF">
            <w:pPr>
              <w:widowControl/>
              <w:jc w:val="center"/>
              <w:textAlignment w:val="center"/>
              <w:rPr>
                <w:rFonts w:ascii="等线" w:hAnsi="等线" w:eastAsia="等线" w:cs="等线"/>
                <w:color w:val="000000"/>
                <w:szCs w:val="21"/>
                <w:highlight w:val="none"/>
              </w:rPr>
            </w:pPr>
          </w:p>
        </w:tc>
      </w:tr>
      <w:tr w14:paraId="3DF625D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B81B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3</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0A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DSA</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57E41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DC67B">
            <w:pPr>
              <w:jc w:val="center"/>
              <w:rPr>
                <w:rFonts w:ascii="等线" w:hAnsi="等线" w:eastAsia="等线" w:cs="等线"/>
                <w:color w:val="000000"/>
                <w:szCs w:val="21"/>
                <w:highlight w:val="none"/>
              </w:rPr>
            </w:pPr>
          </w:p>
        </w:tc>
      </w:tr>
      <w:tr w14:paraId="5A512B1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D54F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4</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950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C/O形臂X射线机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A1AF8">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F02D95">
            <w:pPr>
              <w:jc w:val="center"/>
              <w:rPr>
                <w:rFonts w:ascii="等线" w:hAnsi="等线" w:eastAsia="等线" w:cs="等线"/>
                <w:color w:val="000000"/>
                <w:szCs w:val="21"/>
                <w:highlight w:val="none"/>
              </w:rPr>
            </w:pPr>
          </w:p>
        </w:tc>
      </w:tr>
      <w:tr w14:paraId="622CBE1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B9FB0D">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5</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B16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数字乳腺X射线摄影系统</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16394">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1CF84">
            <w:pPr>
              <w:jc w:val="center"/>
              <w:rPr>
                <w:rFonts w:ascii="等线" w:hAnsi="等线" w:eastAsia="等线" w:cs="等线"/>
                <w:color w:val="000000"/>
                <w:szCs w:val="21"/>
                <w:highlight w:val="none"/>
              </w:rPr>
            </w:pPr>
          </w:p>
        </w:tc>
      </w:tr>
      <w:tr w14:paraId="1606FA55">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24B1B">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6</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FD1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口腔CT（CBCT）</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4C14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27A6C3">
            <w:pPr>
              <w:jc w:val="center"/>
              <w:rPr>
                <w:rFonts w:ascii="等线" w:hAnsi="等线" w:eastAsia="等线" w:cs="等线"/>
                <w:color w:val="000000"/>
                <w:szCs w:val="21"/>
                <w:highlight w:val="none"/>
              </w:rPr>
            </w:pPr>
          </w:p>
        </w:tc>
      </w:tr>
      <w:tr w14:paraId="1539EAE5">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62C8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7</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E64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B超机/彩超机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7B54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DC765">
            <w:pPr>
              <w:widowControl/>
              <w:jc w:val="center"/>
              <w:textAlignment w:val="center"/>
              <w:rPr>
                <w:rFonts w:ascii="等线" w:hAnsi="等线" w:eastAsia="等线" w:cs="等线"/>
                <w:color w:val="000000"/>
                <w:szCs w:val="21"/>
                <w:highlight w:val="none"/>
              </w:rPr>
            </w:pPr>
          </w:p>
        </w:tc>
      </w:tr>
      <w:tr w14:paraId="7EC18343">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E0A84">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8</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AB7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超声多普勒胎儿监护仪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09BE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032AA">
            <w:pPr>
              <w:jc w:val="center"/>
              <w:rPr>
                <w:rFonts w:ascii="等线" w:hAnsi="等线" w:eastAsia="等线" w:cs="等线"/>
                <w:color w:val="000000"/>
                <w:szCs w:val="21"/>
                <w:highlight w:val="none"/>
              </w:rPr>
            </w:pPr>
          </w:p>
        </w:tc>
      </w:tr>
      <w:tr w14:paraId="35D4858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F2AAA">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9</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D97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超声多普勒胎心音仪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F64AA">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6D0F7">
            <w:pPr>
              <w:jc w:val="center"/>
              <w:rPr>
                <w:rFonts w:ascii="等线" w:hAnsi="等线" w:eastAsia="等线" w:cs="等线"/>
                <w:color w:val="000000"/>
                <w:szCs w:val="21"/>
                <w:highlight w:val="none"/>
              </w:rPr>
            </w:pPr>
          </w:p>
        </w:tc>
      </w:tr>
      <w:tr w14:paraId="455DAB60">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28787">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10</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A10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医用激光源</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E783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CCB3B">
            <w:pPr>
              <w:widowControl/>
              <w:jc w:val="center"/>
              <w:textAlignment w:val="center"/>
              <w:rPr>
                <w:rFonts w:ascii="等线" w:hAnsi="等线" w:eastAsia="等线" w:cs="等线"/>
                <w:color w:val="000000"/>
                <w:szCs w:val="21"/>
                <w:highlight w:val="none"/>
              </w:rPr>
            </w:pPr>
          </w:p>
        </w:tc>
      </w:tr>
      <w:tr w14:paraId="775A20AB">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BFA722">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11</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41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除颤监护仪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F086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35496">
            <w:pPr>
              <w:jc w:val="center"/>
              <w:rPr>
                <w:rFonts w:ascii="等线" w:hAnsi="等线" w:eastAsia="等线" w:cs="等线"/>
                <w:color w:val="000000"/>
                <w:szCs w:val="21"/>
                <w:highlight w:val="none"/>
              </w:rPr>
            </w:pPr>
          </w:p>
        </w:tc>
      </w:tr>
      <w:tr w14:paraId="35D17AC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9774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12</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59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医用磁共振成像系统(MRI)</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86D0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2CB760">
            <w:pPr>
              <w:jc w:val="center"/>
              <w:rPr>
                <w:rFonts w:ascii="等线" w:hAnsi="等线" w:eastAsia="等线" w:cs="等线"/>
                <w:color w:val="000000"/>
                <w:szCs w:val="21"/>
                <w:highlight w:val="none"/>
              </w:rPr>
            </w:pPr>
          </w:p>
        </w:tc>
      </w:tr>
      <w:tr w14:paraId="2DDA43C8">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CA94B">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13</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13A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骨密度仪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DFB20">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26481">
            <w:pPr>
              <w:jc w:val="center"/>
              <w:rPr>
                <w:rFonts w:ascii="等线" w:hAnsi="等线" w:eastAsia="等线" w:cs="等线"/>
                <w:color w:val="000000"/>
                <w:szCs w:val="21"/>
                <w:highlight w:val="none"/>
              </w:rPr>
            </w:pPr>
          </w:p>
        </w:tc>
      </w:tr>
      <w:tr w14:paraId="74165A86">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D0F425">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14</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6CF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超声多普勒血流分析仪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1FCC2">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3D6AA">
            <w:pPr>
              <w:jc w:val="center"/>
              <w:rPr>
                <w:rFonts w:ascii="等线" w:hAnsi="等线" w:eastAsia="等线" w:cs="等线"/>
                <w:color w:val="000000"/>
                <w:szCs w:val="21"/>
                <w:highlight w:val="none"/>
              </w:rPr>
            </w:pPr>
          </w:p>
        </w:tc>
      </w:tr>
      <w:tr w14:paraId="0943FEC4">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6186E">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15</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EA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多参数监护仪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CB987">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5B3AB1">
            <w:pPr>
              <w:jc w:val="center"/>
              <w:rPr>
                <w:rFonts w:ascii="等线" w:hAnsi="等线" w:eastAsia="等线" w:cs="等线"/>
                <w:color w:val="000000"/>
                <w:szCs w:val="21"/>
                <w:highlight w:val="none"/>
              </w:rPr>
            </w:pPr>
          </w:p>
        </w:tc>
      </w:tr>
      <w:tr w14:paraId="2735167A">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D6340">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16</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7CC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生命体征监测仪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A5AF1">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43E7C">
            <w:pPr>
              <w:jc w:val="center"/>
              <w:rPr>
                <w:rFonts w:ascii="等线" w:hAnsi="等线" w:eastAsia="等线" w:cs="等线"/>
                <w:color w:val="000000"/>
                <w:szCs w:val="21"/>
                <w:highlight w:val="none"/>
              </w:rPr>
            </w:pPr>
          </w:p>
        </w:tc>
      </w:tr>
      <w:tr w14:paraId="658B53E6">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2961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17</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807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数字心电图机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EF089">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11E94">
            <w:pPr>
              <w:jc w:val="center"/>
              <w:rPr>
                <w:rFonts w:ascii="等线" w:hAnsi="等线" w:eastAsia="等线" w:cs="等线"/>
                <w:color w:val="000000"/>
                <w:szCs w:val="21"/>
                <w:highlight w:val="none"/>
              </w:rPr>
            </w:pPr>
          </w:p>
        </w:tc>
      </w:tr>
      <w:tr w14:paraId="3991C368">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B1876C">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18</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DFB8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数字脑电图机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2401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B2E74">
            <w:pPr>
              <w:jc w:val="center"/>
              <w:rPr>
                <w:rFonts w:ascii="等线" w:hAnsi="等线" w:eastAsia="等线" w:cs="等线"/>
                <w:color w:val="000000"/>
                <w:szCs w:val="21"/>
                <w:highlight w:val="none"/>
              </w:rPr>
            </w:pPr>
          </w:p>
        </w:tc>
      </w:tr>
      <w:tr w14:paraId="7B7DD919">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0BE53">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19</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51F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动态血压测量仪</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D3397">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AF66CA">
            <w:pPr>
              <w:jc w:val="center"/>
              <w:rPr>
                <w:rFonts w:ascii="等线" w:hAnsi="等线" w:eastAsia="等线" w:cs="等线"/>
                <w:color w:val="000000"/>
                <w:szCs w:val="21"/>
                <w:highlight w:val="none"/>
              </w:rPr>
            </w:pPr>
          </w:p>
        </w:tc>
      </w:tr>
      <w:tr w14:paraId="54E510DF">
        <w:tblPrEx>
          <w:tblCellMar>
            <w:top w:w="0" w:type="dxa"/>
            <w:left w:w="0" w:type="dxa"/>
            <w:bottom w:w="0" w:type="dxa"/>
            <w:right w:w="0" w:type="dxa"/>
          </w:tblCellMar>
        </w:tblPrEx>
        <w:trPr>
          <w:cantSplit/>
          <w:trHeight w:val="375" w:hRule="atLeast"/>
        </w:trPr>
        <w:tc>
          <w:tcPr>
            <w:tcW w:w="1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ADBD1">
            <w:pPr>
              <w:widowControl/>
              <w:jc w:val="center"/>
              <w:textAlignment w:val="center"/>
              <w:rPr>
                <w:rFonts w:ascii="等线" w:hAnsi="等线" w:eastAsia="等线" w:cs="等线"/>
                <w:color w:val="000000"/>
                <w:szCs w:val="21"/>
                <w:highlight w:val="none"/>
              </w:rPr>
            </w:pPr>
            <w:r>
              <w:rPr>
                <w:rFonts w:ascii="等线" w:hAnsi="等线" w:eastAsia="等线" w:cs="等线"/>
                <w:color w:val="000000"/>
                <w:kern w:val="0"/>
                <w:szCs w:val="21"/>
                <w:highlight w:val="none"/>
                <w:lang w:bidi="ar"/>
              </w:rPr>
              <w:t>20</w:t>
            </w:r>
          </w:p>
        </w:tc>
        <w:tc>
          <w:tcPr>
            <w:tcW w:w="35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C8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动态心电图机</w:t>
            </w:r>
          </w:p>
        </w:tc>
        <w:tc>
          <w:tcPr>
            <w:tcW w:w="18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1E4EFF">
            <w:pPr>
              <w:widowControl/>
              <w:jc w:val="center"/>
              <w:textAlignment w:val="center"/>
              <w:rPr>
                <w:rFonts w:ascii="等线" w:hAnsi="等线" w:eastAsia="等线" w:cs="等线"/>
                <w:color w:val="000000"/>
                <w:szCs w:val="21"/>
                <w:highlight w:val="none"/>
              </w:rPr>
            </w:pPr>
          </w:p>
        </w:tc>
        <w:tc>
          <w:tcPr>
            <w:tcW w:w="27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DE3EC">
            <w:pPr>
              <w:jc w:val="center"/>
              <w:rPr>
                <w:rFonts w:ascii="等线" w:hAnsi="等线" w:eastAsia="等线" w:cs="等线"/>
                <w:color w:val="000000"/>
                <w:szCs w:val="21"/>
                <w:highlight w:val="none"/>
              </w:rPr>
            </w:pPr>
          </w:p>
        </w:tc>
      </w:tr>
    </w:tbl>
    <w:p w14:paraId="2055004D">
      <w:pPr>
        <w:pStyle w:val="13"/>
        <w:tabs>
          <w:tab w:val="left" w:pos="1080"/>
        </w:tabs>
        <w:spacing w:line="440" w:lineRule="exact"/>
        <w:ind w:left="0" w:leftChars="0"/>
        <w:rPr>
          <w:rFonts w:hint="eastAsia"/>
          <w:sz w:val="21"/>
          <w:szCs w:val="21"/>
          <w:highlight w:val="none"/>
        </w:rPr>
      </w:pPr>
      <w:r>
        <w:rPr>
          <w:rFonts w:hint="eastAsia" w:ascii="宋体" w:hAnsi="宋体"/>
          <w:b/>
          <w:bCs/>
          <w:sz w:val="24"/>
          <w:highlight w:val="none"/>
        </w:rPr>
        <w:t xml:space="preserve">                               （附件完）</w:t>
      </w:r>
    </w:p>
    <w:p w14:paraId="24643796">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2"/>
        <w:rPr>
          <w:rFonts w:hint="eastAsia"/>
          <w:highlight w:val="none"/>
        </w:rPr>
      </w:pPr>
    </w:p>
    <w:p w14:paraId="34974403">
      <w:pPr>
        <w:rPr>
          <w:rFonts w:hint="eastAsia"/>
          <w:highlight w:val="none"/>
        </w:rPr>
      </w:pPr>
    </w:p>
    <w:p w14:paraId="1D84D6D8">
      <w:pPr>
        <w:rPr>
          <w:rFonts w:hint="eastAsia"/>
          <w:highlight w:val="none"/>
        </w:rPr>
      </w:pPr>
    </w:p>
    <w:p w14:paraId="572902D2">
      <w:pPr>
        <w:rPr>
          <w:rFonts w:hint="eastAsia"/>
          <w:highlight w:val="none"/>
        </w:rPr>
      </w:pPr>
    </w:p>
    <w:p w14:paraId="0AA3AC0A">
      <w:pPr>
        <w:rPr>
          <w:rFonts w:hint="eastAsia"/>
          <w:highlight w:val="none"/>
        </w:rPr>
      </w:pPr>
    </w:p>
    <w:p w14:paraId="4EB623E0">
      <w:pPr>
        <w:rPr>
          <w:rFonts w:hint="eastAsia"/>
          <w:highlight w:val="none"/>
        </w:rPr>
      </w:pPr>
    </w:p>
    <w:p w14:paraId="1967533B">
      <w:pPr>
        <w:rPr>
          <w:rFonts w:hint="eastAsia"/>
          <w:highlight w:val="none"/>
        </w:rPr>
      </w:pPr>
    </w:p>
    <w:p w14:paraId="7005927B">
      <w:pPr>
        <w:rPr>
          <w:rFonts w:hint="eastAsia"/>
          <w:highlight w:val="none"/>
        </w:rPr>
      </w:pPr>
    </w:p>
    <w:p w14:paraId="14AB2F76">
      <w:pPr>
        <w:rPr>
          <w:rFonts w:hint="eastAsia"/>
          <w:highlight w:val="none"/>
        </w:rPr>
      </w:pPr>
    </w:p>
    <w:p w14:paraId="078D6109">
      <w:pPr>
        <w:rPr>
          <w:rFonts w:hint="eastAsia"/>
          <w:highlight w:val="none"/>
        </w:rPr>
      </w:pPr>
    </w:p>
    <w:p w14:paraId="3B601F56">
      <w:pPr>
        <w:rPr>
          <w:rFonts w:hint="eastAsia"/>
          <w:highlight w:val="none"/>
        </w:rPr>
      </w:pPr>
    </w:p>
    <w:p w14:paraId="79757E58">
      <w:pPr>
        <w:rPr>
          <w:rFonts w:hint="eastAsia"/>
          <w:highlight w:val="none"/>
        </w:rPr>
      </w:pPr>
    </w:p>
    <w:p w14:paraId="2C571A75">
      <w:pPr>
        <w:rPr>
          <w:rFonts w:hint="eastAsia"/>
          <w:highlight w:val="none"/>
        </w:rPr>
      </w:pPr>
    </w:p>
    <w:p w14:paraId="03953F3D">
      <w:pPr>
        <w:rPr>
          <w:rFonts w:hint="eastAsia"/>
          <w:highlight w:val="none"/>
        </w:rPr>
      </w:pPr>
    </w:p>
    <w:p w14:paraId="58678DC4">
      <w:pPr>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2DC2BE06">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7"/>
        <w:rPr>
          <w:rFonts w:hint="eastAsia"/>
          <w:color w:val="000000"/>
          <w:highlight w:val="none"/>
        </w:rPr>
      </w:pPr>
    </w:p>
    <w:p w14:paraId="415C4B2C">
      <w:pPr>
        <w:pStyle w:val="27"/>
        <w:rPr>
          <w:rFonts w:hint="eastAsia"/>
          <w:color w:val="000000"/>
          <w:highlight w:val="none"/>
        </w:rPr>
      </w:pPr>
    </w:p>
    <w:p w14:paraId="6578C338">
      <w:pPr>
        <w:pStyle w:val="27"/>
        <w:rPr>
          <w:rFonts w:hint="eastAsia"/>
          <w:color w:val="000000"/>
          <w:highlight w:val="none"/>
        </w:rPr>
      </w:pPr>
    </w:p>
    <w:p w14:paraId="04A25E76">
      <w:pPr>
        <w:pStyle w:val="27"/>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7"/>
        <w:rPr>
          <w:rFonts w:hint="eastAsia"/>
          <w:color w:val="FF0000"/>
          <w:highlight w:val="none"/>
        </w:rPr>
      </w:pPr>
    </w:p>
    <w:p w14:paraId="2A6D30A5">
      <w:pPr>
        <w:pStyle w:val="27"/>
        <w:rPr>
          <w:rFonts w:hint="eastAsia"/>
          <w:color w:val="000000"/>
          <w:highlight w:val="none"/>
        </w:rPr>
      </w:pPr>
    </w:p>
    <w:p w14:paraId="338F8648">
      <w:pPr>
        <w:pStyle w:val="27"/>
        <w:rPr>
          <w:rFonts w:hint="eastAsia"/>
          <w:color w:val="000000"/>
          <w:highlight w:val="none"/>
        </w:rPr>
      </w:pPr>
    </w:p>
    <w:p w14:paraId="009DBEEE">
      <w:pPr>
        <w:pStyle w:val="27"/>
        <w:rPr>
          <w:rFonts w:hint="eastAsia"/>
          <w:color w:val="000000"/>
          <w:highlight w:val="none"/>
        </w:rPr>
      </w:pPr>
    </w:p>
    <w:p w14:paraId="2E5AB3A2">
      <w:pPr>
        <w:pStyle w:val="27"/>
        <w:rPr>
          <w:rFonts w:hint="eastAsia"/>
          <w:color w:val="000000"/>
          <w:highlight w:val="none"/>
        </w:rPr>
      </w:pPr>
    </w:p>
    <w:p w14:paraId="784A839B">
      <w:pPr>
        <w:pStyle w:val="27"/>
        <w:rPr>
          <w:rFonts w:hint="eastAsia"/>
          <w:color w:val="000000"/>
          <w:highlight w:val="none"/>
        </w:rPr>
      </w:pPr>
    </w:p>
    <w:p w14:paraId="66AE6B3B">
      <w:pPr>
        <w:pStyle w:val="27"/>
        <w:rPr>
          <w:rFonts w:hint="eastAsia"/>
          <w:color w:val="000000"/>
          <w:highlight w:val="none"/>
        </w:rPr>
      </w:pPr>
    </w:p>
    <w:p w14:paraId="09F24D49">
      <w:pPr>
        <w:pStyle w:val="27"/>
        <w:rPr>
          <w:rFonts w:hint="eastAsia"/>
          <w:color w:val="000000"/>
          <w:highlight w:val="none"/>
        </w:rPr>
      </w:pPr>
    </w:p>
    <w:p w14:paraId="728E76DB">
      <w:pPr>
        <w:pStyle w:val="27"/>
        <w:rPr>
          <w:rFonts w:hint="eastAsia"/>
          <w:color w:val="000000"/>
          <w:highlight w:val="none"/>
        </w:rPr>
      </w:pPr>
    </w:p>
    <w:p w14:paraId="2E4CE761">
      <w:pPr>
        <w:pStyle w:val="27"/>
        <w:rPr>
          <w:rFonts w:hint="eastAsia"/>
          <w:color w:val="000000"/>
          <w:highlight w:val="none"/>
        </w:rPr>
      </w:pPr>
    </w:p>
    <w:p w14:paraId="7DF3A52C">
      <w:pPr>
        <w:pStyle w:val="27"/>
        <w:rPr>
          <w:rFonts w:hint="eastAsia"/>
          <w:color w:val="000000"/>
          <w:highlight w:val="none"/>
        </w:rPr>
      </w:pPr>
    </w:p>
    <w:p w14:paraId="63A1F1E3">
      <w:pPr>
        <w:pStyle w:val="27"/>
        <w:rPr>
          <w:rFonts w:hint="eastAsia"/>
          <w:color w:val="000000"/>
          <w:highlight w:val="none"/>
        </w:rPr>
      </w:pPr>
    </w:p>
    <w:p w14:paraId="7E245D88">
      <w:pPr>
        <w:pStyle w:val="27"/>
        <w:rPr>
          <w:rFonts w:hint="eastAsia"/>
          <w:color w:val="000000"/>
          <w:highlight w:val="none"/>
        </w:rPr>
      </w:pPr>
    </w:p>
    <w:p w14:paraId="7525BD9F">
      <w:pPr>
        <w:pStyle w:val="27"/>
        <w:rPr>
          <w:rFonts w:hint="eastAsia"/>
          <w:color w:val="000000"/>
          <w:highlight w:val="none"/>
        </w:rPr>
      </w:pPr>
    </w:p>
    <w:p w14:paraId="71AA9098">
      <w:pPr>
        <w:pStyle w:val="27"/>
        <w:rPr>
          <w:rFonts w:hint="eastAsia"/>
          <w:color w:val="000000"/>
          <w:highlight w:val="none"/>
        </w:rPr>
      </w:pPr>
    </w:p>
    <w:p w14:paraId="2CA06E4F">
      <w:pPr>
        <w:pStyle w:val="27"/>
        <w:rPr>
          <w:rFonts w:hint="eastAsia"/>
          <w:color w:val="000000"/>
          <w:highlight w:val="none"/>
        </w:rPr>
      </w:pPr>
    </w:p>
    <w:p w14:paraId="7EDBBF3E">
      <w:pPr>
        <w:pStyle w:val="27"/>
        <w:rPr>
          <w:rFonts w:hint="eastAsia"/>
          <w:color w:val="000000"/>
          <w:highlight w:val="none"/>
        </w:rPr>
      </w:pPr>
    </w:p>
    <w:p w14:paraId="510F92EF">
      <w:pPr>
        <w:pStyle w:val="27"/>
        <w:rPr>
          <w:rFonts w:hint="eastAsia"/>
          <w:color w:val="000000"/>
          <w:highlight w:val="none"/>
        </w:rPr>
      </w:pPr>
    </w:p>
    <w:p w14:paraId="4FF379D8">
      <w:pPr>
        <w:pStyle w:val="27"/>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7"/>
        <w:numPr>
          <w:ilvl w:val="0"/>
          <w:numId w:val="3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7"/>
        <w:numPr>
          <w:ilvl w:val="0"/>
          <w:numId w:val="3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7"/>
        <w:rPr>
          <w:rFonts w:hint="eastAsia" w:ascii="宋体" w:hAnsi="宋体" w:cs="宋体"/>
          <w:color w:val="000000"/>
          <w:sz w:val="32"/>
          <w:szCs w:val="32"/>
          <w:highlight w:val="none"/>
        </w:rPr>
      </w:pPr>
    </w:p>
    <w:p w14:paraId="372983FD">
      <w:pPr>
        <w:pStyle w:val="27"/>
        <w:rPr>
          <w:rFonts w:hint="eastAsia" w:ascii="宋体" w:hAnsi="宋体" w:cs="宋体"/>
          <w:color w:val="000000"/>
          <w:sz w:val="32"/>
          <w:szCs w:val="32"/>
          <w:highlight w:val="none"/>
        </w:rPr>
      </w:pPr>
    </w:p>
    <w:p w14:paraId="3678644F">
      <w:pPr>
        <w:pStyle w:val="27"/>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2"/>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2A0CDF3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7"/>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7"/>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7"/>
        <w:rPr>
          <w:rFonts w:hint="eastAsia" w:ascii="仿宋" w:hAnsi="仿宋" w:eastAsia="仿宋" w:cs="仿宋"/>
          <w:color w:val="000000"/>
          <w:highlight w:val="none"/>
        </w:rPr>
      </w:pPr>
    </w:p>
    <w:p w14:paraId="25D19A98">
      <w:pPr>
        <w:pStyle w:val="27"/>
        <w:ind w:left="0" w:leftChars="0" w:firstLine="0" w:firstLineChars="0"/>
        <w:rPr>
          <w:rFonts w:hint="eastAsia" w:ascii="仿宋" w:hAnsi="仿宋" w:eastAsia="仿宋" w:cs="仿宋"/>
          <w:color w:val="000000"/>
          <w:sz w:val="24"/>
          <w:szCs w:val="24"/>
          <w:highlight w:val="none"/>
        </w:rPr>
      </w:pPr>
    </w:p>
    <w:p w14:paraId="62C32D41">
      <w:pPr>
        <w:pStyle w:val="27"/>
        <w:ind w:left="0" w:leftChars="0" w:firstLine="0" w:firstLineChars="0"/>
        <w:rPr>
          <w:rFonts w:hint="eastAsia" w:ascii="仿宋" w:hAnsi="仿宋" w:eastAsia="仿宋" w:cs="仿宋"/>
          <w:color w:val="000000"/>
          <w:sz w:val="24"/>
          <w:szCs w:val="24"/>
          <w:highlight w:val="none"/>
        </w:rPr>
      </w:pPr>
    </w:p>
    <w:p w14:paraId="775CADAE">
      <w:pPr>
        <w:pStyle w:val="27"/>
        <w:ind w:firstLine="400"/>
        <w:rPr>
          <w:rFonts w:hint="eastAsia" w:ascii="仿宋" w:hAnsi="仿宋" w:eastAsia="仿宋" w:cs="仿宋"/>
          <w:color w:val="000000"/>
          <w:sz w:val="24"/>
          <w:szCs w:val="24"/>
          <w:highlight w:val="none"/>
        </w:rPr>
      </w:pPr>
    </w:p>
    <w:p w14:paraId="12BC972F">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7"/>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7"/>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4"/>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8"/>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中山大学孙逸仙纪念医院计量设备依法检定服务</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7"/>
        <w:rPr>
          <w:rFonts w:hint="eastAsia" w:ascii="仿宋" w:hAnsi="仿宋" w:eastAsia="仿宋" w:cs="仿宋"/>
          <w:color w:val="000000"/>
          <w:sz w:val="21"/>
          <w:szCs w:val="21"/>
          <w:highlight w:val="none"/>
        </w:rPr>
      </w:pPr>
    </w:p>
    <w:tbl>
      <w:tblPr>
        <w:tblStyle w:val="18"/>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596"/>
        <w:gridCol w:w="1045"/>
      </w:tblGrid>
      <w:tr w14:paraId="09A77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14:paraId="6AF66D9B">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rPr>
              <w:t>项目名称</w:t>
            </w:r>
          </w:p>
        </w:tc>
        <w:tc>
          <w:tcPr>
            <w:tcW w:w="3402" w:type="dxa"/>
            <w:shd w:val="clear" w:color="auto" w:fill="EEECE1"/>
            <w:vAlign w:val="center"/>
          </w:tcPr>
          <w:p w14:paraId="44309A47">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总报价（元）</w:t>
            </w:r>
          </w:p>
        </w:tc>
        <w:tc>
          <w:tcPr>
            <w:tcW w:w="1596" w:type="dxa"/>
            <w:shd w:val="clear" w:color="auto" w:fill="EEECE1"/>
            <w:vAlign w:val="center"/>
          </w:tcPr>
          <w:p w14:paraId="112953C8">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c>
          <w:tcPr>
            <w:tcW w:w="1045" w:type="dxa"/>
            <w:shd w:val="clear" w:color="auto" w:fill="EEECE1"/>
            <w:vAlign w:val="center"/>
          </w:tcPr>
          <w:p w14:paraId="58607411">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备注</w:t>
            </w:r>
          </w:p>
        </w:tc>
      </w:tr>
      <w:tr w14:paraId="24A6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14:paraId="6950C8E5">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eastAsia="zh-CN"/>
              </w:rPr>
              <w:t>中山大学孙逸仙纪念医院计量设备依法检定服务</w:t>
            </w:r>
          </w:p>
        </w:tc>
        <w:tc>
          <w:tcPr>
            <w:tcW w:w="3402" w:type="dxa"/>
            <w:shd w:val="clear" w:color="auto" w:fill="FFFFFF"/>
            <w:vAlign w:val="center"/>
          </w:tcPr>
          <w:p w14:paraId="201EBC4D">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sz w:val="22"/>
                <w:highlight w:val="none"/>
              </w:rPr>
            </w:pPr>
            <w:r>
              <w:rPr>
                <w:rFonts w:hint="eastAsia" w:ascii="仿宋" w:hAnsi="仿宋" w:eastAsia="仿宋" w:cs="仿宋"/>
                <w:color w:val="auto"/>
                <w:sz w:val="22"/>
                <w:highlight w:val="none"/>
              </w:rPr>
              <w:t>大写：</w:t>
            </w:r>
            <w:r>
              <w:rPr>
                <w:rFonts w:hint="eastAsia" w:ascii="仿宋" w:hAnsi="仿宋" w:eastAsia="仿宋" w:cs="仿宋"/>
                <w:color w:val="auto"/>
                <w:sz w:val="22"/>
                <w:highlight w:val="none"/>
                <w:u w:val="single"/>
              </w:rPr>
              <w:t xml:space="preserve">                          </w:t>
            </w:r>
          </w:p>
          <w:p w14:paraId="638B6E28">
            <w:pPr>
              <w:keepNext w:val="0"/>
              <w:keepLines w:val="0"/>
              <w:suppressLineNumbers w:val="0"/>
              <w:overflowPunct w:val="0"/>
              <w:spacing w:before="0" w:beforeAutospacing="0" w:after="0" w:afterAutospacing="0" w:line="460" w:lineRule="exact"/>
              <w:ind w:left="0" w:right="0"/>
              <w:rPr>
                <w:rFonts w:hint="eastAsia" w:ascii="仿宋" w:hAnsi="仿宋" w:eastAsia="仿宋" w:cs="仿宋"/>
                <w:color w:val="auto"/>
                <w:highlight w:val="none"/>
                <w:u w:val="single"/>
              </w:rPr>
            </w:pPr>
            <w:r>
              <w:rPr>
                <w:rFonts w:hint="eastAsia" w:ascii="仿宋" w:hAnsi="仿宋" w:eastAsia="仿宋" w:cs="仿宋"/>
                <w:color w:val="auto"/>
                <w:sz w:val="22"/>
                <w:highlight w:val="none"/>
              </w:rPr>
              <w:t>小写：</w:t>
            </w:r>
            <w:r>
              <w:rPr>
                <w:rFonts w:hint="eastAsia" w:ascii="仿宋" w:hAnsi="仿宋" w:eastAsia="仿宋" w:cs="仿宋"/>
                <w:color w:val="auto"/>
                <w:highlight w:val="none"/>
                <w:u w:val="single"/>
              </w:rPr>
              <w:t xml:space="preserve">                          </w:t>
            </w:r>
          </w:p>
        </w:tc>
        <w:tc>
          <w:tcPr>
            <w:tcW w:w="1596" w:type="dxa"/>
            <w:shd w:val="clear" w:color="auto" w:fill="FFFFFF"/>
            <w:vAlign w:val="center"/>
          </w:tcPr>
          <w:p w14:paraId="2DA09921">
            <w:pPr>
              <w:pStyle w:val="30"/>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c>
          <w:tcPr>
            <w:tcW w:w="1045" w:type="dxa"/>
            <w:shd w:val="clear" w:color="auto" w:fill="FFFFFF"/>
            <w:vAlign w:val="center"/>
          </w:tcPr>
          <w:p w14:paraId="1554CD49">
            <w:pPr>
              <w:pStyle w:val="30"/>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color w:val="auto"/>
                <w:sz w:val="22"/>
                <w:szCs w:val="22"/>
                <w:highlight w:val="none"/>
              </w:rPr>
            </w:pPr>
          </w:p>
        </w:tc>
      </w:tr>
    </w:tbl>
    <w:p w14:paraId="6ADA619F">
      <w:pPr>
        <w:pStyle w:val="27"/>
        <w:rPr>
          <w:rFonts w:hint="eastAsia" w:ascii="仿宋" w:hAnsi="仿宋" w:eastAsia="仿宋" w:cs="仿宋"/>
          <w:color w:val="000000"/>
          <w:sz w:val="21"/>
          <w:szCs w:val="21"/>
          <w:highlight w:val="none"/>
        </w:rPr>
      </w:pPr>
    </w:p>
    <w:p w14:paraId="6140AC82">
      <w:pPr>
        <w:pStyle w:val="27"/>
        <w:rPr>
          <w:rFonts w:hint="eastAsia" w:ascii="仿宋" w:hAnsi="仿宋" w:eastAsia="仿宋" w:cs="仿宋"/>
          <w:color w:val="000000"/>
          <w:sz w:val="21"/>
          <w:szCs w:val="21"/>
          <w:highlight w:val="none"/>
        </w:rPr>
      </w:pPr>
    </w:p>
    <w:p w14:paraId="7AFB3EA7">
      <w:pPr>
        <w:pStyle w:val="27"/>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7"/>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响应人报价应是比选文件所确定的采购范围内全部内容的价格表现。即包括但不限于检测、装卸、运输、处置、人工、税金、利润、完成合同所需的一切本身和不可或缺的所有工作开支等费用。</w:t>
      </w:r>
    </w:p>
    <w:p w14:paraId="002CBBFC">
      <w:pPr>
        <w:pStyle w:val="27"/>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7"/>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350CE24">
      <w:pPr>
        <w:pStyle w:val="3"/>
        <w:keepNext/>
        <w:keepLines/>
        <w:pageBreakBefore/>
        <w:widowControl w:val="0"/>
        <w:numPr>
          <w:ilvl w:val="0"/>
          <w:numId w:val="0"/>
        </w:numPr>
        <w:kinsoku/>
        <w:wordWrap/>
        <w:overflowPunct/>
        <w:topLinePunct w:val="0"/>
        <w:autoSpaceDE/>
        <w:autoSpaceDN/>
        <w:bidi w:val="0"/>
        <w:adjustRightInd w:val="0"/>
        <w:snapToGrid w:val="0"/>
        <w:spacing w:before="157" w:beforeLines="50" w:after="0" w:line="240" w:lineRule="auto"/>
        <w:ind w:leftChars="200"/>
        <w:jc w:val="center"/>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（二）分项报价明细表（详细报价清单）</w:t>
      </w:r>
    </w:p>
    <w:p w14:paraId="11B80930">
      <w:pPr>
        <w:numPr>
          <w:ilvl w:val="0"/>
          <w:numId w:val="0"/>
        </w:numPr>
        <w:rPr>
          <w:rFonts w:hint="eastAsia"/>
          <w:color w:val="000000" w:themeColor="text1"/>
          <w:highlight w:val="none"/>
          <w:lang w:val="en-US" w:eastAsia="zh-CN"/>
          <w14:textFill>
            <w14:solidFill>
              <w14:schemeClr w14:val="tx1"/>
            </w14:solidFill>
          </w14:textFill>
        </w:rPr>
      </w:pPr>
    </w:p>
    <w:p w14:paraId="7ED5930D">
      <w:pPr>
        <w:numPr>
          <w:ilvl w:val="0"/>
          <w:numId w:val="0"/>
        </w:num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项目名称：中山大学孙逸仙纪念医院计量设备依法检定服务</w:t>
      </w:r>
    </w:p>
    <w:p w14:paraId="27962CA0">
      <w:pPr>
        <w:pStyle w:val="10"/>
        <w:rPr>
          <w:rFonts w:hint="eastAsia" w:ascii="仿宋" w:hAnsi="仿宋" w:eastAsia="仿宋" w:cs="仿宋"/>
          <w:highlight w:val="none"/>
          <w:lang w:val="en-US" w:eastAsia="zh-CN"/>
        </w:rPr>
      </w:pPr>
    </w:p>
    <w:p w14:paraId="090F1347">
      <w:pPr>
        <w:rPr>
          <w:rFonts w:hint="eastAsia" w:ascii="仿宋" w:hAnsi="仿宋" w:eastAsia="仿宋" w:cs="仿宋"/>
          <w:highlight w:val="none"/>
          <w:lang w:val="en-US" w:eastAsia="zh-CN"/>
        </w:rPr>
      </w:pPr>
    </w:p>
    <w:p w14:paraId="3A6C39AF">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1.分项报价明细表另附，详见附件3：《中山大学孙逸仙纪念医院计量设备依法检定服务》</w:t>
      </w:r>
    </w:p>
    <w:p w14:paraId="2348C43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2.响应人须按照上述附件内的要求进行填写报价。不得修改分项报价明细表内任何公式。</w:t>
      </w:r>
    </w:p>
    <w:p w14:paraId="356E2DDC">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3.分项报价明细表均需打印放入响应文件中作为响应明细报价表内容。</w:t>
      </w:r>
    </w:p>
    <w:p w14:paraId="2053BDA6">
      <w:pPr>
        <w:rPr>
          <w:rFonts w:hint="eastAsia" w:ascii="仿宋" w:hAnsi="仿宋" w:eastAsia="仿宋" w:cs="仿宋"/>
          <w:sz w:val="21"/>
          <w:szCs w:val="21"/>
          <w:highlight w:val="none"/>
          <w:lang w:val="en-US" w:eastAsia="zh-CN"/>
        </w:rPr>
      </w:pPr>
    </w:p>
    <w:p w14:paraId="64512558">
      <w:pPr>
        <w:rPr>
          <w:rFonts w:hint="eastAsia" w:ascii="仿宋" w:hAnsi="仿宋" w:eastAsia="仿宋" w:cs="仿宋"/>
          <w:sz w:val="18"/>
          <w:szCs w:val="18"/>
          <w:highlight w:val="none"/>
          <w:lang w:val="en-US" w:eastAsia="zh-CN"/>
        </w:rPr>
      </w:pPr>
    </w:p>
    <w:p w14:paraId="668081D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注：1.此表为报价总表内各项服务的报价明细表。</w:t>
      </w:r>
    </w:p>
    <w:p w14:paraId="3D0A6CDC">
      <w:pPr>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2.报价人应按分项报价明细表的各项内容要求进行填写，不得更改此表格式。</w:t>
      </w:r>
    </w:p>
    <w:p w14:paraId="0B9EBC35">
      <w:pPr>
        <w:pStyle w:val="10"/>
        <w:keepNext w:val="0"/>
        <w:keepLines w:val="0"/>
        <w:pageBreakBefore w:val="0"/>
        <w:widowControl w:val="0"/>
        <w:numPr>
          <w:ilvl w:val="0"/>
          <w:numId w:val="0"/>
        </w:numPr>
        <w:kinsoku/>
        <w:wordWrap/>
        <w:overflowPunct/>
        <w:topLinePunct w:val="0"/>
        <w:autoSpaceDE/>
        <w:autoSpaceDN/>
        <w:bidi w:val="0"/>
        <w:adjustRightInd/>
        <w:snapToGrid/>
        <w:ind w:firstLine="36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3.必须将标黄色的区域一一填写完整。</w:t>
      </w:r>
    </w:p>
    <w:p w14:paraId="146AEF56">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4.不得修改本表格内的计算公式。</w:t>
      </w:r>
    </w:p>
    <w:p w14:paraId="1F097770">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5.所填报的含税综合单价均不得超过对应项目的含税综合单价最高限价。</w:t>
      </w:r>
    </w:p>
    <w:p w14:paraId="4749F0CA">
      <w:pPr>
        <w:pStyle w:val="10"/>
        <w:keepNext w:val="0"/>
        <w:keepLines w:val="0"/>
        <w:pageBreakBefore w:val="0"/>
        <w:widowControl w:val="0"/>
        <w:numPr>
          <w:ilvl w:val="0"/>
          <w:numId w:val="0"/>
        </w:numPr>
        <w:kinsoku/>
        <w:wordWrap/>
        <w:overflowPunct/>
        <w:topLinePunct w:val="0"/>
        <w:autoSpaceDE/>
        <w:autoSpaceDN/>
        <w:bidi w:val="0"/>
        <w:adjustRightInd/>
        <w:snapToGrid/>
        <w:ind w:firstLine="360" w:firstLineChars="200"/>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6.分项报价明细表的2年合计金额必须与《报价一览表》中的总报价一致。</w:t>
      </w:r>
    </w:p>
    <w:p w14:paraId="7E700B17">
      <w:pPr>
        <w:pStyle w:val="10"/>
        <w:keepNext w:val="0"/>
        <w:keepLines w:val="0"/>
        <w:pageBreakBefore w:val="0"/>
        <w:widowControl w:val="0"/>
        <w:numPr>
          <w:ilvl w:val="0"/>
          <w:numId w:val="0"/>
        </w:numPr>
        <w:kinsoku/>
        <w:wordWrap/>
        <w:overflowPunct/>
        <w:topLinePunct w:val="0"/>
        <w:autoSpaceDE/>
        <w:autoSpaceDN/>
        <w:bidi w:val="0"/>
        <w:adjustRightInd/>
        <w:snapToGrid/>
        <w:ind w:firstLine="361" w:firstLineChars="200"/>
        <w:textAlignment w:val="auto"/>
        <w:rPr>
          <w:rFonts w:hint="eastAsia" w:ascii="仿宋" w:hAnsi="仿宋" w:eastAsia="仿宋" w:cs="仿宋"/>
          <w:b/>
          <w:bCs/>
          <w:sz w:val="18"/>
          <w:szCs w:val="18"/>
          <w:highlight w:val="none"/>
          <w:lang w:val="en-US" w:eastAsia="zh-CN"/>
        </w:rPr>
      </w:pPr>
      <w:r>
        <w:rPr>
          <w:rFonts w:hint="eastAsia" w:ascii="仿宋" w:hAnsi="仿宋" w:eastAsia="仿宋" w:cs="仿宋"/>
          <w:b/>
          <w:bCs/>
          <w:sz w:val="18"/>
          <w:szCs w:val="18"/>
          <w:highlight w:val="none"/>
          <w:lang w:val="en-US" w:eastAsia="zh-CN"/>
        </w:rPr>
        <w:t>7.未完全按第2-6点要求执行的，均按无效响应处理。</w:t>
      </w:r>
    </w:p>
    <w:p w14:paraId="77726599">
      <w:pPr>
        <w:rPr>
          <w:rFonts w:hint="eastAsia" w:ascii="仿宋" w:hAnsi="仿宋" w:eastAsia="仿宋" w:cs="仿宋"/>
          <w:highlight w:val="none"/>
          <w:lang w:val="en-US" w:eastAsia="zh-CN"/>
        </w:rPr>
      </w:pPr>
    </w:p>
    <w:p w14:paraId="41930C5F">
      <w:pPr>
        <w:pStyle w:val="10"/>
        <w:rPr>
          <w:rFonts w:hint="eastAsia" w:ascii="仿宋" w:hAnsi="仿宋" w:eastAsia="仿宋" w:cs="仿宋"/>
          <w:highlight w:val="none"/>
          <w:lang w:val="en-US" w:eastAsia="zh-CN"/>
        </w:rPr>
      </w:pPr>
    </w:p>
    <w:p w14:paraId="7B3C7B1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06182F6">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F267315">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FA191B">
      <w:pPr>
        <w:pStyle w:val="3"/>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8"/>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响应人须具备法定计量检定机构出具的《计量授权证书》，授权范围必须覆盖广州地区（提供证书扫描件且需含授权区域页），授权项目覆盖本项目受检设备。(提供有效证书的复印件，加盖公章）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7"/>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0DB401B4">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6DD218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27"/>
        <w:rPr>
          <w:rFonts w:ascii="仿宋_GB2312" w:hAnsi="华文仿宋" w:eastAsia="仿宋_GB2312" w:cs="华文仿宋"/>
          <w:bCs/>
          <w:color w:val="000000"/>
          <w:szCs w:val="21"/>
          <w:highlight w:val="none"/>
        </w:rPr>
      </w:pPr>
    </w:p>
    <w:p w14:paraId="734DE2AF">
      <w:pPr>
        <w:pStyle w:val="27"/>
        <w:rPr>
          <w:rFonts w:hint="eastAsia" w:ascii="宋体" w:hAnsi="宋体" w:cs="宋体"/>
          <w:color w:val="000000"/>
          <w:szCs w:val="21"/>
          <w:highlight w:val="none"/>
          <w:lang w:eastAsia="zh-CN"/>
        </w:rPr>
      </w:pPr>
    </w:p>
    <w:p w14:paraId="22125549">
      <w:pPr>
        <w:pStyle w:val="27"/>
        <w:rPr>
          <w:rFonts w:ascii="仿宋_GB2312" w:hAnsi="华文仿宋" w:eastAsia="仿宋_GB2312" w:cs="华文仿宋"/>
          <w:bCs/>
          <w:color w:val="000000"/>
          <w:szCs w:val="21"/>
          <w:highlight w:val="none"/>
        </w:rPr>
      </w:pPr>
    </w:p>
    <w:p w14:paraId="2A53B3A6">
      <w:pPr>
        <w:pStyle w:val="27"/>
        <w:rPr>
          <w:rFonts w:hint="eastAsia" w:ascii="宋体" w:hAnsi="宋体" w:cs="宋体"/>
          <w:color w:val="000000"/>
          <w:szCs w:val="21"/>
          <w:highlight w:val="none"/>
          <w:lang w:eastAsia="zh-CN"/>
        </w:rPr>
      </w:pPr>
    </w:p>
    <w:p w14:paraId="11657108">
      <w:pPr>
        <w:pStyle w:val="27"/>
        <w:rPr>
          <w:rFonts w:hint="eastAsia" w:ascii="宋体" w:hAnsi="宋体" w:cs="宋体"/>
          <w:color w:val="000000"/>
          <w:szCs w:val="21"/>
          <w:highlight w:val="none"/>
          <w:lang w:eastAsia="zh-CN"/>
        </w:rPr>
      </w:pPr>
    </w:p>
    <w:p w14:paraId="1110ECB4">
      <w:pPr>
        <w:pStyle w:val="27"/>
        <w:rPr>
          <w:rFonts w:hint="eastAsia" w:ascii="宋体" w:hAnsi="宋体" w:cs="宋体"/>
          <w:color w:val="000000"/>
          <w:szCs w:val="21"/>
          <w:highlight w:val="none"/>
          <w:lang w:eastAsia="zh-CN"/>
        </w:rPr>
      </w:pPr>
    </w:p>
    <w:p w14:paraId="54544EDC">
      <w:pPr>
        <w:pStyle w:val="27"/>
        <w:rPr>
          <w:rFonts w:hint="eastAsia" w:ascii="宋体" w:hAnsi="宋体" w:cs="宋体"/>
          <w:color w:val="000000"/>
          <w:szCs w:val="21"/>
          <w:highlight w:val="none"/>
          <w:lang w:eastAsia="zh-CN"/>
        </w:rPr>
      </w:pPr>
    </w:p>
    <w:p w14:paraId="2382DE53">
      <w:pPr>
        <w:pStyle w:val="27"/>
        <w:rPr>
          <w:rFonts w:hint="eastAsia" w:ascii="宋体" w:hAnsi="宋体" w:cs="宋体"/>
          <w:color w:val="000000"/>
          <w:szCs w:val="21"/>
          <w:highlight w:val="none"/>
          <w:lang w:eastAsia="zh-CN"/>
        </w:rPr>
      </w:pPr>
    </w:p>
    <w:p w14:paraId="2F183A18">
      <w:pPr>
        <w:pStyle w:val="27"/>
        <w:rPr>
          <w:rFonts w:hint="eastAsia" w:ascii="宋体" w:hAnsi="宋体" w:cs="宋体"/>
          <w:color w:val="000000"/>
          <w:szCs w:val="21"/>
          <w:highlight w:val="none"/>
          <w:lang w:eastAsia="zh-CN"/>
        </w:rPr>
      </w:pPr>
    </w:p>
    <w:p w14:paraId="19B2FAAC">
      <w:pPr>
        <w:pStyle w:val="27"/>
        <w:rPr>
          <w:rFonts w:hint="eastAsia" w:ascii="宋体" w:hAnsi="宋体" w:cs="宋体"/>
          <w:color w:val="000000"/>
          <w:szCs w:val="21"/>
          <w:highlight w:val="none"/>
          <w:lang w:eastAsia="zh-CN"/>
        </w:rPr>
      </w:pPr>
    </w:p>
    <w:p w14:paraId="4D10C4FE">
      <w:pPr>
        <w:pStyle w:val="27"/>
        <w:rPr>
          <w:rFonts w:hint="eastAsia" w:ascii="宋体" w:hAnsi="宋体" w:cs="宋体"/>
          <w:color w:val="000000"/>
          <w:szCs w:val="21"/>
          <w:highlight w:val="none"/>
          <w:lang w:eastAsia="zh-CN"/>
        </w:rPr>
      </w:pPr>
    </w:p>
    <w:p w14:paraId="246A9FC2">
      <w:pPr>
        <w:pStyle w:val="27"/>
        <w:rPr>
          <w:rFonts w:ascii="仿宋_GB2312" w:hAnsi="华文仿宋" w:eastAsia="仿宋_GB2312" w:cs="华文仿宋"/>
          <w:bCs/>
          <w:color w:val="000000"/>
          <w:szCs w:val="21"/>
          <w:highlight w:val="none"/>
        </w:rPr>
      </w:pPr>
    </w:p>
    <w:p w14:paraId="415E7A76">
      <w:pPr>
        <w:pStyle w:val="27"/>
        <w:rPr>
          <w:rFonts w:hint="eastAsia" w:ascii="宋体" w:hAnsi="宋体" w:cs="宋体"/>
          <w:color w:val="000000"/>
          <w:szCs w:val="21"/>
          <w:highlight w:val="none"/>
          <w:lang w:eastAsia="zh-CN"/>
        </w:rPr>
      </w:pPr>
    </w:p>
    <w:p w14:paraId="696A324F">
      <w:pPr>
        <w:pStyle w:val="27"/>
        <w:rPr>
          <w:rFonts w:hint="eastAsia" w:ascii="宋体" w:hAnsi="宋体" w:cs="宋体"/>
          <w:color w:val="000000"/>
          <w:szCs w:val="21"/>
          <w:highlight w:val="none"/>
          <w:lang w:eastAsia="zh-CN"/>
        </w:rPr>
      </w:pPr>
    </w:p>
    <w:p w14:paraId="61C676A6">
      <w:pPr>
        <w:pStyle w:val="27"/>
        <w:rPr>
          <w:rFonts w:hint="eastAsia" w:ascii="宋体" w:hAnsi="宋体" w:cs="宋体"/>
          <w:color w:val="000000"/>
          <w:szCs w:val="21"/>
          <w:highlight w:val="none"/>
          <w:lang w:eastAsia="zh-CN"/>
        </w:rPr>
      </w:pPr>
    </w:p>
    <w:p w14:paraId="684FBDD8">
      <w:pPr>
        <w:pStyle w:val="27"/>
        <w:rPr>
          <w:rFonts w:hint="eastAsia" w:ascii="宋体" w:hAnsi="宋体" w:cs="宋体"/>
          <w:color w:val="000000"/>
          <w:szCs w:val="21"/>
          <w:highlight w:val="none"/>
          <w:lang w:eastAsia="zh-CN"/>
        </w:rPr>
      </w:pPr>
    </w:p>
    <w:p w14:paraId="0F94592F">
      <w:pPr>
        <w:pStyle w:val="27"/>
        <w:rPr>
          <w:rFonts w:hint="eastAsia" w:ascii="宋体" w:hAnsi="宋体" w:cs="宋体"/>
          <w:color w:val="000000"/>
          <w:szCs w:val="21"/>
          <w:highlight w:val="none"/>
          <w:lang w:eastAsia="zh-CN"/>
        </w:rPr>
      </w:pPr>
    </w:p>
    <w:p w14:paraId="5F822CF1">
      <w:pPr>
        <w:pStyle w:val="27"/>
        <w:rPr>
          <w:rFonts w:hint="eastAsia" w:ascii="宋体" w:hAnsi="宋体" w:cs="宋体"/>
          <w:color w:val="000000"/>
          <w:szCs w:val="21"/>
          <w:highlight w:val="none"/>
          <w:lang w:eastAsia="zh-CN"/>
        </w:rPr>
      </w:pPr>
    </w:p>
    <w:p w14:paraId="1F00174F">
      <w:pPr>
        <w:pStyle w:val="27"/>
        <w:rPr>
          <w:rFonts w:hint="eastAsia" w:ascii="宋体" w:hAnsi="宋体" w:cs="宋体"/>
          <w:color w:val="000000"/>
          <w:szCs w:val="21"/>
          <w:highlight w:val="none"/>
          <w:lang w:eastAsia="zh-CN"/>
        </w:rPr>
      </w:pPr>
    </w:p>
    <w:p w14:paraId="4B38F0CF">
      <w:pPr>
        <w:pStyle w:val="27"/>
        <w:rPr>
          <w:rFonts w:hint="eastAsia" w:ascii="宋体" w:hAnsi="宋体" w:cs="宋体"/>
          <w:color w:val="000000"/>
          <w:szCs w:val="21"/>
          <w:highlight w:val="none"/>
          <w:lang w:eastAsia="zh-CN"/>
        </w:rPr>
      </w:pPr>
    </w:p>
    <w:p w14:paraId="3AF24BF6">
      <w:pPr>
        <w:pStyle w:val="27"/>
        <w:rPr>
          <w:rFonts w:hint="eastAsia" w:ascii="宋体" w:hAnsi="宋体" w:cs="宋体"/>
          <w:color w:val="000000"/>
          <w:szCs w:val="21"/>
          <w:highlight w:val="none"/>
          <w:lang w:eastAsia="zh-CN"/>
        </w:rPr>
      </w:pPr>
    </w:p>
    <w:p w14:paraId="15CC8FB6">
      <w:pPr>
        <w:pStyle w:val="27"/>
        <w:rPr>
          <w:rFonts w:hint="eastAsia" w:ascii="宋体" w:hAnsi="宋体" w:cs="宋体"/>
          <w:color w:val="000000"/>
          <w:szCs w:val="21"/>
          <w:highlight w:val="none"/>
          <w:lang w:eastAsia="zh-CN"/>
        </w:rPr>
      </w:pPr>
    </w:p>
    <w:p w14:paraId="06E9C225">
      <w:pPr>
        <w:pStyle w:val="27"/>
        <w:rPr>
          <w:rFonts w:hint="eastAsia" w:ascii="宋体" w:hAnsi="宋体" w:cs="宋体"/>
          <w:color w:val="000000"/>
          <w:szCs w:val="21"/>
          <w:highlight w:val="none"/>
          <w:lang w:eastAsia="zh-CN"/>
        </w:rPr>
      </w:pPr>
    </w:p>
    <w:p w14:paraId="0EDC8FCE">
      <w:pPr>
        <w:pStyle w:val="27"/>
        <w:rPr>
          <w:rFonts w:hint="eastAsia" w:ascii="宋体" w:hAnsi="宋体" w:cs="宋体"/>
          <w:color w:val="000000"/>
          <w:szCs w:val="21"/>
          <w:highlight w:val="none"/>
          <w:lang w:eastAsia="zh-CN"/>
        </w:rPr>
      </w:pPr>
    </w:p>
    <w:p w14:paraId="14575DF9">
      <w:pPr>
        <w:pStyle w:val="27"/>
        <w:rPr>
          <w:rFonts w:hint="eastAsia" w:ascii="宋体" w:hAnsi="宋体" w:cs="宋体"/>
          <w:color w:val="000000"/>
          <w:szCs w:val="21"/>
          <w:highlight w:val="none"/>
          <w:lang w:eastAsia="zh-CN"/>
        </w:rPr>
      </w:pPr>
    </w:p>
    <w:p w14:paraId="51B55AD2">
      <w:pPr>
        <w:pStyle w:val="27"/>
        <w:rPr>
          <w:rFonts w:hint="eastAsia" w:ascii="宋体" w:hAnsi="宋体" w:cs="宋体"/>
          <w:color w:val="000000"/>
          <w:szCs w:val="21"/>
          <w:highlight w:val="none"/>
          <w:lang w:eastAsia="zh-CN"/>
        </w:rPr>
      </w:pPr>
    </w:p>
    <w:p w14:paraId="20679807">
      <w:pPr>
        <w:pStyle w:val="27"/>
        <w:rPr>
          <w:rFonts w:hint="eastAsia" w:ascii="宋体" w:hAnsi="宋体" w:cs="宋体"/>
          <w:color w:val="000000"/>
          <w:szCs w:val="21"/>
          <w:highlight w:val="none"/>
          <w:lang w:eastAsia="zh-CN"/>
        </w:rPr>
      </w:pPr>
    </w:p>
    <w:p w14:paraId="610EDF58">
      <w:pPr>
        <w:pStyle w:val="27"/>
        <w:rPr>
          <w:rFonts w:hint="eastAsia" w:ascii="宋体" w:hAnsi="宋体" w:cs="宋体"/>
          <w:color w:val="000000"/>
          <w:szCs w:val="21"/>
          <w:highlight w:val="none"/>
          <w:lang w:eastAsia="zh-CN"/>
        </w:rPr>
      </w:pPr>
    </w:p>
    <w:p w14:paraId="7915315D">
      <w:pPr>
        <w:pStyle w:val="27"/>
        <w:rPr>
          <w:rFonts w:hint="eastAsia" w:ascii="宋体" w:hAnsi="宋体" w:cs="宋体"/>
          <w:color w:val="000000"/>
          <w:szCs w:val="21"/>
          <w:highlight w:val="none"/>
          <w:lang w:eastAsia="zh-CN"/>
        </w:rPr>
      </w:pPr>
    </w:p>
    <w:p w14:paraId="3E30C7DB">
      <w:pPr>
        <w:pStyle w:val="27"/>
        <w:rPr>
          <w:rFonts w:hint="eastAsia" w:ascii="宋体" w:hAnsi="宋体" w:cs="宋体"/>
          <w:color w:val="000000"/>
          <w:szCs w:val="21"/>
          <w:highlight w:val="none"/>
          <w:lang w:eastAsia="zh-CN"/>
        </w:rPr>
      </w:pPr>
    </w:p>
    <w:p w14:paraId="154234F0">
      <w:pPr>
        <w:pStyle w:val="27"/>
        <w:rPr>
          <w:rFonts w:hint="eastAsia" w:ascii="宋体" w:hAnsi="宋体" w:cs="宋体"/>
          <w:color w:val="000000"/>
          <w:szCs w:val="21"/>
          <w:highlight w:val="none"/>
          <w:lang w:eastAsia="zh-CN"/>
        </w:rPr>
      </w:pPr>
    </w:p>
    <w:p w14:paraId="1AB691C9">
      <w:pPr>
        <w:pStyle w:val="27"/>
        <w:rPr>
          <w:rFonts w:hint="eastAsia" w:ascii="宋体" w:hAnsi="宋体" w:cs="宋体"/>
          <w:color w:val="000000"/>
          <w:szCs w:val="21"/>
          <w:highlight w:val="none"/>
          <w:lang w:eastAsia="zh-CN"/>
        </w:rPr>
      </w:pPr>
    </w:p>
    <w:p w14:paraId="652B78EE">
      <w:pPr>
        <w:pStyle w:val="27"/>
        <w:rPr>
          <w:rFonts w:hint="eastAsia" w:ascii="宋体" w:hAnsi="宋体" w:cs="宋体"/>
          <w:color w:val="000000"/>
          <w:szCs w:val="21"/>
          <w:highlight w:val="none"/>
          <w:lang w:eastAsia="zh-CN"/>
        </w:rPr>
      </w:pPr>
    </w:p>
    <w:p w14:paraId="5CDC6BF4">
      <w:pPr>
        <w:pStyle w:val="27"/>
        <w:rPr>
          <w:rFonts w:hint="eastAsia" w:ascii="宋体" w:hAnsi="宋体" w:cs="宋体"/>
          <w:color w:val="000000"/>
          <w:szCs w:val="21"/>
          <w:highlight w:val="none"/>
          <w:lang w:eastAsia="zh-CN"/>
        </w:rPr>
      </w:pPr>
    </w:p>
    <w:p w14:paraId="63E43247">
      <w:pPr>
        <w:pStyle w:val="27"/>
        <w:rPr>
          <w:rFonts w:hint="eastAsia" w:ascii="宋体" w:hAnsi="宋体" w:cs="宋体"/>
          <w:color w:val="000000"/>
          <w:szCs w:val="21"/>
          <w:highlight w:val="none"/>
          <w:lang w:eastAsia="zh-CN"/>
        </w:rPr>
      </w:pPr>
    </w:p>
    <w:p w14:paraId="362791AC">
      <w:pPr>
        <w:pStyle w:val="27"/>
        <w:rPr>
          <w:rFonts w:hint="eastAsia" w:ascii="宋体" w:hAnsi="宋体" w:cs="宋体"/>
          <w:color w:val="000000"/>
          <w:szCs w:val="21"/>
          <w:highlight w:val="none"/>
          <w:lang w:eastAsia="zh-CN"/>
        </w:rPr>
      </w:pPr>
    </w:p>
    <w:p w14:paraId="3CCCB5E3">
      <w:pPr>
        <w:pStyle w:val="27"/>
        <w:rPr>
          <w:rFonts w:hint="eastAsia" w:ascii="宋体" w:hAnsi="宋体" w:cs="宋体"/>
          <w:color w:val="000000"/>
          <w:szCs w:val="21"/>
          <w:highlight w:val="none"/>
          <w:lang w:eastAsia="zh-CN"/>
        </w:rPr>
      </w:pPr>
    </w:p>
    <w:p w14:paraId="29FA0C5D">
      <w:pPr>
        <w:pStyle w:val="27"/>
        <w:rPr>
          <w:rFonts w:hint="eastAsia" w:ascii="宋体" w:hAnsi="宋体" w:cs="宋体"/>
          <w:color w:val="000000"/>
          <w:szCs w:val="21"/>
          <w:highlight w:val="none"/>
          <w:lang w:eastAsia="zh-CN"/>
        </w:rPr>
      </w:pPr>
    </w:p>
    <w:p w14:paraId="4DBBF07F">
      <w:pPr>
        <w:pStyle w:val="27"/>
        <w:rPr>
          <w:rFonts w:hint="eastAsia" w:ascii="宋体" w:hAnsi="宋体" w:cs="宋体"/>
          <w:color w:val="000000"/>
          <w:szCs w:val="21"/>
          <w:highlight w:val="none"/>
          <w:lang w:eastAsia="zh-CN"/>
        </w:rPr>
      </w:pPr>
    </w:p>
    <w:p w14:paraId="4333768D">
      <w:pPr>
        <w:pStyle w:val="27"/>
        <w:rPr>
          <w:rFonts w:hint="eastAsia" w:ascii="宋体" w:hAnsi="宋体" w:cs="宋体"/>
          <w:color w:val="000000"/>
          <w:szCs w:val="21"/>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1D08A445">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FF4240E">
      <w:pPr>
        <w:pStyle w:val="2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B4C75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7"/>
        <w:rPr>
          <w:rFonts w:hint="eastAsia" w:ascii="宋体" w:hAnsi="宋体" w:cs="宋体"/>
          <w:color w:val="auto"/>
          <w:szCs w:val="21"/>
          <w:highlight w:val="none"/>
          <w:lang w:eastAsia="zh-CN"/>
        </w:rPr>
      </w:pPr>
    </w:p>
    <w:p w14:paraId="353A2C3B">
      <w:pPr>
        <w:pStyle w:val="27"/>
        <w:rPr>
          <w:rFonts w:hint="eastAsia" w:ascii="宋体" w:hAnsi="宋体" w:cs="宋体"/>
          <w:color w:val="auto"/>
          <w:szCs w:val="21"/>
          <w:highlight w:val="none"/>
          <w:lang w:eastAsia="zh-CN"/>
        </w:rPr>
      </w:pPr>
    </w:p>
    <w:p w14:paraId="597D2F6D">
      <w:pPr>
        <w:pStyle w:val="27"/>
        <w:rPr>
          <w:rFonts w:hint="eastAsia" w:ascii="宋体" w:hAnsi="宋体" w:cs="宋体"/>
          <w:color w:val="auto"/>
          <w:szCs w:val="21"/>
          <w:highlight w:val="none"/>
          <w:lang w:eastAsia="zh-CN"/>
        </w:rPr>
      </w:pPr>
    </w:p>
    <w:p w14:paraId="1C7B92FD">
      <w:pPr>
        <w:pStyle w:val="27"/>
        <w:rPr>
          <w:rFonts w:hint="eastAsia" w:ascii="宋体" w:hAnsi="宋体" w:cs="宋体"/>
          <w:color w:val="auto"/>
          <w:szCs w:val="21"/>
          <w:highlight w:val="none"/>
          <w:lang w:eastAsia="zh-CN"/>
        </w:rPr>
      </w:pPr>
    </w:p>
    <w:p w14:paraId="31B76AF5">
      <w:pPr>
        <w:pStyle w:val="27"/>
        <w:rPr>
          <w:rFonts w:hint="eastAsia" w:ascii="宋体" w:hAnsi="宋体" w:cs="宋体"/>
          <w:color w:val="auto"/>
          <w:szCs w:val="21"/>
          <w:highlight w:val="none"/>
          <w:lang w:eastAsia="zh-CN"/>
        </w:rPr>
      </w:pPr>
    </w:p>
    <w:p w14:paraId="26CFD62B">
      <w:pPr>
        <w:pStyle w:val="27"/>
        <w:rPr>
          <w:rFonts w:hint="eastAsia" w:ascii="宋体" w:hAnsi="宋体" w:cs="宋体"/>
          <w:color w:val="auto"/>
          <w:szCs w:val="21"/>
          <w:highlight w:val="none"/>
          <w:lang w:eastAsia="zh-CN"/>
        </w:rPr>
      </w:pPr>
    </w:p>
    <w:p w14:paraId="286D41B8">
      <w:pPr>
        <w:pStyle w:val="27"/>
        <w:rPr>
          <w:rFonts w:hint="eastAsia" w:ascii="宋体" w:hAnsi="宋体" w:cs="宋体"/>
          <w:color w:val="auto"/>
          <w:szCs w:val="21"/>
          <w:highlight w:val="none"/>
          <w:lang w:eastAsia="zh-CN"/>
        </w:rPr>
      </w:pPr>
    </w:p>
    <w:p w14:paraId="4B53192C">
      <w:pPr>
        <w:pStyle w:val="27"/>
        <w:rPr>
          <w:rFonts w:hint="eastAsia" w:ascii="宋体" w:hAnsi="宋体" w:cs="宋体"/>
          <w:color w:val="auto"/>
          <w:szCs w:val="21"/>
          <w:highlight w:val="none"/>
          <w:lang w:eastAsia="zh-CN"/>
        </w:rPr>
      </w:pPr>
    </w:p>
    <w:p w14:paraId="29A1E61B">
      <w:pPr>
        <w:pStyle w:val="27"/>
        <w:rPr>
          <w:rFonts w:hint="eastAsia" w:ascii="宋体" w:hAnsi="宋体" w:cs="宋体"/>
          <w:color w:val="auto"/>
          <w:szCs w:val="21"/>
          <w:highlight w:val="none"/>
          <w:lang w:eastAsia="zh-CN"/>
        </w:rPr>
      </w:pPr>
    </w:p>
    <w:p w14:paraId="43E12E36">
      <w:pPr>
        <w:pStyle w:val="27"/>
        <w:rPr>
          <w:rFonts w:hint="eastAsia" w:ascii="宋体" w:hAnsi="宋体" w:cs="宋体"/>
          <w:color w:val="auto"/>
          <w:szCs w:val="21"/>
          <w:highlight w:val="none"/>
          <w:lang w:eastAsia="zh-CN"/>
        </w:rPr>
      </w:pPr>
    </w:p>
    <w:p w14:paraId="5BEA32B5">
      <w:pPr>
        <w:pStyle w:val="27"/>
        <w:rPr>
          <w:rFonts w:hint="eastAsia" w:ascii="宋体" w:hAnsi="宋体" w:cs="宋体"/>
          <w:color w:val="auto"/>
          <w:szCs w:val="21"/>
          <w:highlight w:val="none"/>
          <w:lang w:eastAsia="zh-CN"/>
        </w:rPr>
      </w:pPr>
    </w:p>
    <w:p w14:paraId="58D8F17A">
      <w:pPr>
        <w:pStyle w:val="27"/>
        <w:rPr>
          <w:rFonts w:hint="eastAsia" w:ascii="宋体" w:hAnsi="宋体" w:cs="宋体"/>
          <w:color w:val="auto"/>
          <w:szCs w:val="21"/>
          <w:highlight w:val="none"/>
          <w:lang w:eastAsia="zh-CN"/>
        </w:rPr>
      </w:pPr>
    </w:p>
    <w:p w14:paraId="7C66C6FF">
      <w:pPr>
        <w:pStyle w:val="27"/>
        <w:rPr>
          <w:rFonts w:hint="eastAsia" w:ascii="宋体" w:hAnsi="宋体" w:cs="宋体"/>
          <w:color w:val="auto"/>
          <w:szCs w:val="21"/>
          <w:highlight w:val="none"/>
          <w:lang w:eastAsia="zh-CN"/>
        </w:rPr>
      </w:pPr>
    </w:p>
    <w:p w14:paraId="7334ADAF">
      <w:pPr>
        <w:pStyle w:val="27"/>
        <w:rPr>
          <w:rFonts w:hint="eastAsia" w:ascii="宋体" w:hAnsi="宋体" w:cs="宋体"/>
          <w:color w:val="auto"/>
          <w:szCs w:val="21"/>
          <w:highlight w:val="none"/>
          <w:lang w:eastAsia="zh-CN"/>
        </w:rPr>
      </w:pPr>
    </w:p>
    <w:p w14:paraId="39EDE0D7">
      <w:pPr>
        <w:pStyle w:val="27"/>
        <w:rPr>
          <w:rFonts w:hint="eastAsia" w:ascii="宋体" w:hAnsi="宋体" w:cs="宋体"/>
          <w:color w:val="auto"/>
          <w:szCs w:val="21"/>
          <w:highlight w:val="none"/>
          <w:lang w:eastAsia="zh-CN"/>
        </w:rPr>
      </w:pPr>
    </w:p>
    <w:p w14:paraId="6440A3C2">
      <w:pPr>
        <w:pStyle w:val="27"/>
        <w:rPr>
          <w:rFonts w:hint="eastAsia" w:ascii="宋体" w:hAnsi="宋体" w:cs="宋体"/>
          <w:color w:val="auto"/>
          <w:szCs w:val="21"/>
          <w:highlight w:val="none"/>
          <w:lang w:eastAsia="zh-CN"/>
        </w:rPr>
      </w:pPr>
    </w:p>
    <w:p w14:paraId="23F310D0">
      <w:pPr>
        <w:pStyle w:val="27"/>
        <w:rPr>
          <w:rFonts w:hint="eastAsia" w:ascii="宋体" w:hAnsi="宋体" w:cs="宋体"/>
          <w:color w:val="auto"/>
          <w:szCs w:val="21"/>
          <w:highlight w:val="none"/>
          <w:lang w:eastAsia="zh-CN"/>
        </w:rPr>
      </w:pPr>
    </w:p>
    <w:p w14:paraId="3961F9A0">
      <w:pPr>
        <w:pStyle w:val="27"/>
        <w:rPr>
          <w:rFonts w:hint="eastAsia" w:ascii="宋体" w:hAnsi="宋体" w:cs="宋体"/>
          <w:color w:val="auto"/>
          <w:szCs w:val="21"/>
          <w:highlight w:val="none"/>
          <w:lang w:eastAsia="zh-CN"/>
        </w:rPr>
      </w:pPr>
    </w:p>
    <w:p w14:paraId="67E11517">
      <w:pPr>
        <w:pStyle w:val="27"/>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3、计量授权证书</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法定计量检定机构出具的《计量授权证书》，授权范围必须覆盖广州地区（提供证书扫描件且需含授权区域页），授权项目覆盖本项目受检设备。（详见比选邀请函）。(提供有效证书的复印件，加盖公章）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5DB9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80F21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8"/>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6919B7C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B8BC20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5A96BBA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233162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65579FB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7"/>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5"/>
                        <w:rPr>
                          <w:sz w:val="20"/>
                        </w:rPr>
                      </w:pPr>
                    </w:p>
                    <w:p w14:paraId="260A9DC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7"/>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5"/>
                        <w:rPr>
                          <w:sz w:val="20"/>
                        </w:rPr>
                      </w:pPr>
                    </w:p>
                    <w:p w14:paraId="04518917">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5"/>
                        <w:rPr>
                          <w:rFonts w:hint="eastAsia" w:ascii="华文中宋" w:hAnsi="华文中宋" w:eastAsia="华文中宋" w:cs="华文中宋"/>
                          <w:sz w:val="21"/>
                          <w:szCs w:val="21"/>
                        </w:rPr>
                      </w:pPr>
                    </w:p>
                    <w:p w14:paraId="522851E4">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7"/>
        <w:ind w:left="0" w:leftChars="0" w:firstLine="0" w:firstLineChars="0"/>
        <w:rPr>
          <w:rFonts w:hint="eastAsia" w:ascii="宋体" w:hAnsi="宋体" w:eastAsia="宋体" w:cs="仿宋_GB2312"/>
          <w:bCs/>
          <w:color w:val="000000"/>
          <w:sz w:val="30"/>
          <w:szCs w:val="30"/>
          <w:highlight w:val="none"/>
          <w:lang w:val="en-US"/>
        </w:rPr>
      </w:pPr>
    </w:p>
    <w:p w14:paraId="505620DC">
      <w:pPr>
        <w:pStyle w:val="27"/>
        <w:ind w:left="0" w:leftChars="0" w:firstLine="0" w:firstLineChars="0"/>
        <w:rPr>
          <w:rFonts w:hint="eastAsia" w:ascii="宋体" w:hAnsi="宋体" w:eastAsia="宋体" w:cs="宋体"/>
          <w:b/>
          <w:bCs/>
          <w:sz w:val="28"/>
          <w:szCs w:val="36"/>
          <w:highlight w:val="none"/>
          <w:lang w:eastAsia="zh-CN"/>
        </w:rPr>
      </w:pPr>
    </w:p>
    <w:p w14:paraId="7E872A26">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7"/>
        <w:ind w:left="0" w:leftChars="0" w:firstLine="0" w:firstLineChars="0"/>
        <w:rPr>
          <w:rFonts w:hint="eastAsia" w:ascii="宋体" w:hAnsi="宋体" w:eastAsia="宋体" w:cs="仿宋_GB2312"/>
          <w:bCs/>
          <w:color w:val="000000"/>
          <w:sz w:val="30"/>
          <w:szCs w:val="30"/>
          <w:highlight w:val="none"/>
          <w:lang w:val="en-US"/>
        </w:rPr>
      </w:pPr>
    </w:p>
    <w:p w14:paraId="00D71E44">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0CB3CB4">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（1）本项目无“</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w:t>
      </w:r>
    </w:p>
    <w:p w14:paraId="108C941F">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5"/>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46940F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7679BDF">
      <w:pPr>
        <w:rPr>
          <w:rFonts w:hint="eastAsia" w:ascii="黑体" w:hAnsi="黑体" w:eastAsia="黑体" w:cs="黑体"/>
          <w:b/>
          <w:bCs/>
          <w:sz w:val="40"/>
          <w:szCs w:val="40"/>
          <w:highlight w:val="none"/>
          <w:lang w:val="en-US" w:eastAsia="zh-CN"/>
        </w:rPr>
      </w:pPr>
    </w:p>
    <w:p w14:paraId="1F0599C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CD415F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8F252D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73A4E3F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C9663F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8"/>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069"/>
        <w:gridCol w:w="2034"/>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069"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2022年1月1日（以合同签订时间为准）以来，完成同类项目业绩（指与本项目计量设备周期检定服务内容一致的检测服务业绩、合同甲方应当是设备的使用单位，如医疗机构等）进行评分，每提供一个业绩得2分，本项最高得12分。</w:t>
            </w:r>
          </w:p>
        </w:tc>
        <w:tc>
          <w:tcPr>
            <w:tcW w:w="2034"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069"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6分。不提供不得分。</w:t>
            </w:r>
          </w:p>
        </w:tc>
        <w:tc>
          <w:tcPr>
            <w:tcW w:w="2034"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3069" w:type="dxa"/>
            <w:vAlign w:val="center"/>
          </w:tcPr>
          <w:p w14:paraId="0C08D5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w:t>
            </w:r>
            <w:r>
              <w:rPr>
                <w:rFonts w:hint="eastAsia" w:ascii="仿宋" w:hAnsi="仿宋" w:eastAsia="仿宋" w:cs="仿宋"/>
                <w:color w:val="000000"/>
                <w:sz w:val="21"/>
                <w:szCs w:val="21"/>
                <w:highlight w:val="none"/>
                <w:lang w:bidi="ar"/>
              </w:rPr>
              <w:t>质量管理体系认证证书</w:t>
            </w:r>
            <w:r>
              <w:rPr>
                <w:rFonts w:hint="eastAsia" w:ascii="仿宋" w:hAnsi="仿宋" w:eastAsia="仿宋" w:cs="仿宋"/>
                <w:color w:val="auto"/>
                <w:sz w:val="21"/>
                <w:szCs w:val="21"/>
                <w:highlight w:val="none"/>
                <w:lang w:val="en-US" w:eastAsia="zh-CN"/>
              </w:rPr>
              <w:t>得3分。</w:t>
            </w:r>
          </w:p>
        </w:tc>
        <w:tc>
          <w:tcPr>
            <w:tcW w:w="2034"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3069" w:type="dxa"/>
            <w:vAlign w:val="center"/>
          </w:tcPr>
          <w:p w14:paraId="15225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响应人具有有效的环境管理体系认证证书得3分。</w:t>
            </w:r>
          </w:p>
        </w:tc>
        <w:tc>
          <w:tcPr>
            <w:tcW w:w="2034"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73DD1F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7"/>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7"/>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8"/>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7"/>
        <w:jc w:val="center"/>
        <w:rPr>
          <w:rFonts w:hint="eastAsia" w:ascii="宋体" w:hAnsi="宋体" w:eastAsia="宋体" w:cs="宋体"/>
          <w:b/>
          <w:bCs w:val="0"/>
          <w:sz w:val="32"/>
          <w:szCs w:val="32"/>
          <w:highlight w:val="none"/>
          <w:lang w:val="en-US" w:eastAsia="zh-CN"/>
        </w:rPr>
      </w:pPr>
    </w:p>
    <w:p w14:paraId="3113D7CD">
      <w:pPr>
        <w:pStyle w:val="27"/>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7"/>
        <w:rPr>
          <w:rFonts w:hint="eastAsia" w:ascii="宋体" w:hAnsi="宋体" w:eastAsia="宋体" w:cs="宋体"/>
          <w:b/>
          <w:bCs w:val="0"/>
          <w:sz w:val="32"/>
          <w:szCs w:val="32"/>
          <w:highlight w:val="none"/>
          <w:lang w:val="en-US" w:eastAsia="zh-CN"/>
        </w:rPr>
      </w:pPr>
    </w:p>
    <w:p w14:paraId="0A8ECA02">
      <w:pPr>
        <w:pStyle w:val="27"/>
        <w:jc w:val="center"/>
        <w:rPr>
          <w:rFonts w:hint="eastAsia" w:ascii="宋体" w:hAnsi="宋体" w:eastAsia="宋体" w:cs="宋体"/>
          <w:b/>
          <w:bCs w:val="0"/>
          <w:sz w:val="32"/>
          <w:szCs w:val="32"/>
          <w:highlight w:val="none"/>
          <w:lang w:val="en-US" w:eastAsia="zh-CN"/>
        </w:rPr>
      </w:pPr>
    </w:p>
    <w:p w14:paraId="10AA99AD">
      <w:pPr>
        <w:pStyle w:val="27"/>
        <w:jc w:val="center"/>
        <w:rPr>
          <w:rFonts w:hint="eastAsia" w:ascii="宋体" w:hAnsi="宋体" w:eastAsia="宋体" w:cs="宋体"/>
          <w:b/>
          <w:bCs w:val="0"/>
          <w:sz w:val="32"/>
          <w:szCs w:val="32"/>
          <w:highlight w:val="none"/>
          <w:lang w:val="en-US" w:eastAsia="zh-CN"/>
        </w:rPr>
      </w:pPr>
    </w:p>
    <w:p w14:paraId="670B031C">
      <w:pPr>
        <w:pStyle w:val="27"/>
        <w:jc w:val="center"/>
        <w:rPr>
          <w:rFonts w:hint="eastAsia" w:ascii="宋体" w:hAnsi="宋体" w:eastAsia="宋体" w:cs="宋体"/>
          <w:b/>
          <w:bCs w:val="0"/>
          <w:sz w:val="32"/>
          <w:szCs w:val="32"/>
          <w:highlight w:val="none"/>
          <w:lang w:val="en-US" w:eastAsia="zh-CN"/>
        </w:rPr>
      </w:pPr>
    </w:p>
    <w:p w14:paraId="0FBDBB4C">
      <w:pPr>
        <w:pStyle w:val="27"/>
        <w:jc w:val="center"/>
        <w:rPr>
          <w:rFonts w:hint="eastAsia" w:ascii="宋体" w:hAnsi="宋体" w:eastAsia="宋体" w:cs="宋体"/>
          <w:b/>
          <w:bCs w:val="0"/>
          <w:sz w:val="32"/>
          <w:szCs w:val="32"/>
          <w:highlight w:val="none"/>
          <w:lang w:val="en-US" w:eastAsia="zh-CN"/>
        </w:rPr>
      </w:pPr>
    </w:p>
    <w:p w14:paraId="6DED8C5D">
      <w:pPr>
        <w:pStyle w:val="27"/>
        <w:jc w:val="center"/>
        <w:rPr>
          <w:rFonts w:hint="eastAsia" w:ascii="宋体" w:hAnsi="宋体" w:eastAsia="宋体" w:cs="宋体"/>
          <w:b/>
          <w:bCs w:val="0"/>
          <w:sz w:val="32"/>
          <w:szCs w:val="32"/>
          <w:highlight w:val="none"/>
          <w:lang w:val="en-US" w:eastAsia="zh-CN"/>
        </w:rPr>
      </w:pPr>
    </w:p>
    <w:p w14:paraId="4CCD971A">
      <w:pPr>
        <w:pStyle w:val="27"/>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27"/>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8"/>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7"/>
        <w:rPr>
          <w:rFonts w:hint="eastAsia" w:ascii="仿宋" w:hAnsi="仿宋" w:eastAsia="仿宋" w:cs="仿宋"/>
          <w:highlight w:val="none"/>
        </w:rPr>
      </w:pPr>
    </w:p>
    <w:p w14:paraId="07CF9398">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7"/>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8"/>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31"/>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31"/>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31"/>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31"/>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31"/>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31"/>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31"/>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32"/>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7"/>
        <w:numPr>
          <w:ilvl w:val="0"/>
          <w:numId w:val="0"/>
        </w:numPr>
        <w:jc w:val="both"/>
        <w:rPr>
          <w:rFonts w:hint="eastAsia" w:ascii="仿宋" w:hAnsi="仿宋" w:eastAsia="仿宋" w:cs="仿宋"/>
          <w:b/>
          <w:bCs w:val="0"/>
          <w:sz w:val="32"/>
          <w:szCs w:val="32"/>
          <w:highlight w:val="none"/>
          <w:lang w:val="en-US" w:eastAsia="zh-CN"/>
        </w:rPr>
      </w:pPr>
    </w:p>
    <w:p w14:paraId="77430D08">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7"/>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14:paraId="29C651C7">
      <w:pPr>
        <w:pStyle w:val="27"/>
        <w:numPr>
          <w:ilvl w:val="0"/>
          <w:numId w:val="0"/>
        </w:numPr>
        <w:ind w:leftChars="200"/>
        <w:jc w:val="center"/>
        <w:rPr>
          <w:rFonts w:hint="eastAsia" w:ascii="仿宋" w:hAnsi="仿宋" w:eastAsia="仿宋" w:cs="仿宋"/>
          <w:b/>
          <w:bCs w:val="0"/>
          <w:sz w:val="32"/>
          <w:szCs w:val="32"/>
          <w:highlight w:val="none"/>
          <w:lang w:val="en-US" w:eastAsia="zh-CN"/>
        </w:rPr>
      </w:pPr>
    </w:p>
    <w:p w14:paraId="23474F44">
      <w:pPr>
        <w:pStyle w:val="27"/>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18"/>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1"/>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1"/>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1"/>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1"/>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1"/>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1"/>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1"/>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7"/>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4"/>
        <w:rPr>
          <w:rFonts w:hint="eastAsia"/>
          <w:highlight w:val="none"/>
          <w:lang w:val="en-US" w:eastAsia="zh-CN"/>
        </w:rPr>
      </w:pPr>
    </w:p>
    <w:p w14:paraId="653B518F">
      <w:pPr>
        <w:pStyle w:val="24"/>
        <w:rPr>
          <w:rFonts w:hint="eastAsia"/>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8"/>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项目重点难点分析、应对措施及相关的合理化建议</w:t>
            </w:r>
          </w:p>
        </w:tc>
        <w:tc>
          <w:tcPr>
            <w:tcW w:w="5221" w:type="dxa"/>
            <w:vAlign w:val="top"/>
          </w:tcPr>
          <w:p w14:paraId="220ECF8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根据投标人针对本项目提供的方案作为评审依据，包括以下内容：①项目重点难点分析②应对措施③合理化建议④质量控制方案。</w:t>
            </w:r>
          </w:p>
          <w:p w14:paraId="07E75BD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1.方案包含4项内容：①项目重点难点分析②应对措施③合理化建议④质量控制方案，每提供1项，得1.75分，满分6分。</w:t>
            </w:r>
          </w:p>
          <w:p w14:paraId="4DBF4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④的每项内容，完全满足或优于要求的，该项内容得3分，部分满足要求的，该项内容得1.5分，内容都不满足或未提供方案得0分，满分12分。</w:t>
            </w:r>
          </w:p>
          <w:p w14:paraId="4613DFC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szCs w:val="21"/>
                <w:highlight w:val="none"/>
              </w:rPr>
              <w:t>注：每提供1项内容且表述完整、科学、可行的得5分，若提供的内容不完整、有瑕疵或可行性不足的每项得1分。不提供方案的不得分。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服务方案</w:t>
            </w:r>
          </w:p>
        </w:tc>
        <w:tc>
          <w:tcPr>
            <w:tcW w:w="5221" w:type="dxa"/>
            <w:vAlign w:val="center"/>
          </w:tcPr>
          <w:p w14:paraId="2686402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根据投标人针对本项目提供的服务方案作为评审依据，包括以下内容：①项目实施进度②服务计划、服务频次③出具证书的时间。</w:t>
            </w:r>
          </w:p>
          <w:p w14:paraId="3E106955">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1.方案包含三项内容：①项目实施进度②服务计划、服务频次③出具证书的时间，每提供1项，得2分，满分6分。</w:t>
            </w:r>
          </w:p>
          <w:p w14:paraId="7299E7D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③的每项内容，完全满足或优于要求的，该项内容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分，部分满足要求的，该项内容得1.5分，内容都不满足或未提供方案得0分，满分</w:t>
            </w:r>
            <w:r>
              <w:rPr>
                <w:rFonts w:hint="eastAsia" w:ascii="仿宋" w:hAnsi="仿宋" w:eastAsia="仿宋" w:cs="仿宋"/>
                <w:color w:val="000000"/>
                <w:szCs w:val="21"/>
                <w:highlight w:val="none"/>
                <w:lang w:val="en-US" w:eastAsia="zh-CN"/>
              </w:rPr>
              <w:t>12</w:t>
            </w:r>
            <w:r>
              <w:rPr>
                <w:rFonts w:hint="eastAsia" w:ascii="仿宋" w:hAnsi="仿宋" w:eastAsia="仿宋" w:cs="仿宋"/>
                <w:color w:val="000000"/>
                <w:szCs w:val="21"/>
                <w:highlight w:val="none"/>
              </w:rPr>
              <w:t>分。</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注：每提供1项内容且表述完整、科学、可行的得5分，若提供的内容不完整、有瑕疵或可行性不足的每项得1分。不提供方案的不得分。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6974E7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F99C84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0C613BBB">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应急服务能力</w:t>
            </w:r>
          </w:p>
        </w:tc>
        <w:tc>
          <w:tcPr>
            <w:tcW w:w="5221" w:type="dxa"/>
            <w:vAlign w:val="center"/>
          </w:tcPr>
          <w:p w14:paraId="77AE9FB6">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应建立完善的应急预案机制，将保障设备的正常使用作为最重要的任务。应急预案应充分考虑各种可能导致设备无法正常使用时的情况（包括水电气故障、人员误操作等情况）。对供应商提供的应急预案进行综合评审：</w:t>
            </w:r>
          </w:p>
          <w:p w14:paraId="1FEA8992">
            <w:pPr>
              <w:pStyle w:val="4"/>
              <w:keepNext w:val="0"/>
              <w:keepLines w:val="0"/>
              <w:suppressLineNumbers w:val="0"/>
              <w:spacing w:before="0" w:beforeAutospacing="0" w:after="0" w:afterAutospacing="0" w:line="240" w:lineRule="auto"/>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1.应急预案包含2项内容：①水电气故障情况、②人员误操作情况，每提供1项，得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分，满分</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14:paraId="139FA49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根据提供的每项内容是否满足“内容详细、条理清晰、准确合理，考虑全面可靠，能够全面理解本次采购项目的要求，并有针对性作出响应，具体落实措施可行性高且针对性强”的要求进行评审。上述①-②的每项内容，完全满足或优于要求的，该项内容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分，部分满足要求的，该项内容得1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分，内容都不满足或未提供方案得0分，满分</w:t>
            </w: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分。</w:t>
            </w:r>
          </w:p>
        </w:tc>
        <w:tc>
          <w:tcPr>
            <w:tcW w:w="1373" w:type="dxa"/>
            <w:shd w:val="clear" w:color="auto" w:fill="auto"/>
            <w:vAlign w:val="center"/>
          </w:tcPr>
          <w:p w14:paraId="0241903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shd w:val="clear" w:color="auto" w:fill="auto"/>
            <w:vAlign w:val="center"/>
          </w:tcPr>
          <w:p w14:paraId="4E55054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7"/>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5F94B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1ED4E5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B7DAAC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4B7886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577137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304F6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EBFFB3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D7F735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60AC4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E9631D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260E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527AA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27D6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6F30C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084BD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1、项目重点难点分析、应对措施及相关的合理化建议</w:t>
      </w:r>
      <w:r>
        <w:rPr>
          <w:rFonts w:hint="eastAsia" w:ascii="仿宋" w:hAnsi="仿宋" w:eastAsia="仿宋" w:cs="仿宋"/>
          <w:b/>
          <w:bCs w:val="0"/>
          <w:sz w:val="22"/>
          <w:szCs w:val="22"/>
          <w:highlight w:val="none"/>
          <w:lang w:val="en-US" w:eastAsia="zh-CN"/>
        </w:rPr>
        <w:t>（如有）</w:t>
      </w:r>
    </w:p>
    <w:p w14:paraId="366576DF">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4"/>
        <w:rPr>
          <w:rFonts w:hint="eastAsia" w:ascii="仿宋" w:hAnsi="仿宋" w:eastAsia="仿宋" w:cs="仿宋"/>
          <w:sz w:val="21"/>
          <w:szCs w:val="21"/>
          <w:highlight w:val="none"/>
        </w:rPr>
      </w:pPr>
    </w:p>
    <w:p w14:paraId="7160EE59">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07306F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①项目重点难点分析</w:t>
      </w:r>
      <w:r>
        <w:rPr>
          <w:rFonts w:hint="eastAsia" w:ascii="仿宋" w:hAnsi="仿宋" w:eastAsia="仿宋" w:cs="仿宋"/>
          <w:sz w:val="21"/>
          <w:szCs w:val="21"/>
          <w:highlight w:val="none"/>
          <w:lang w:eastAsia="zh-CN"/>
        </w:rPr>
        <w:t>；</w:t>
      </w:r>
    </w:p>
    <w:p w14:paraId="6D451E1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②应对措施</w:t>
      </w:r>
      <w:r>
        <w:rPr>
          <w:rFonts w:hint="eastAsia" w:ascii="仿宋" w:hAnsi="仿宋" w:eastAsia="仿宋" w:cs="仿宋"/>
          <w:sz w:val="21"/>
          <w:szCs w:val="21"/>
          <w:highlight w:val="none"/>
          <w:lang w:eastAsia="zh-CN"/>
        </w:rPr>
        <w:t>；</w:t>
      </w:r>
    </w:p>
    <w:p w14:paraId="4F0CDC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③合理化建议</w:t>
      </w:r>
      <w:r>
        <w:rPr>
          <w:rFonts w:hint="eastAsia" w:ascii="仿宋" w:hAnsi="仿宋" w:eastAsia="仿宋" w:cs="仿宋"/>
          <w:sz w:val="21"/>
          <w:szCs w:val="21"/>
          <w:highlight w:val="none"/>
          <w:lang w:eastAsia="zh-CN"/>
        </w:rPr>
        <w:t>；</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④质量控制方案。</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4"/>
        <w:rPr>
          <w:rFonts w:hint="default" w:ascii="宋体" w:hAnsi="宋体" w:cs="宋体"/>
          <w:color w:val="auto"/>
          <w:sz w:val="24"/>
          <w:highlight w:val="none"/>
          <w:lang w:val="en-US" w:eastAsia="zh-CN"/>
        </w:rPr>
      </w:pPr>
    </w:p>
    <w:p w14:paraId="521C3257">
      <w:pPr>
        <w:pStyle w:val="24"/>
        <w:rPr>
          <w:rFonts w:hint="default" w:ascii="宋体" w:hAnsi="宋体" w:cs="宋体"/>
          <w:color w:val="auto"/>
          <w:sz w:val="24"/>
          <w:highlight w:val="none"/>
          <w:lang w:val="en-US" w:eastAsia="zh-CN"/>
        </w:rPr>
      </w:pPr>
    </w:p>
    <w:p w14:paraId="37A654AB">
      <w:pPr>
        <w:pStyle w:val="24"/>
        <w:rPr>
          <w:rFonts w:hint="default" w:ascii="宋体" w:hAnsi="宋体" w:cs="宋体"/>
          <w:color w:val="auto"/>
          <w:sz w:val="24"/>
          <w:highlight w:val="none"/>
          <w:lang w:val="en-US" w:eastAsia="zh-CN"/>
        </w:rPr>
      </w:pPr>
    </w:p>
    <w:p w14:paraId="5F30D1DD">
      <w:pPr>
        <w:pStyle w:val="24"/>
        <w:rPr>
          <w:rFonts w:hint="default" w:ascii="宋体" w:hAnsi="宋体" w:cs="宋体"/>
          <w:color w:val="auto"/>
          <w:sz w:val="24"/>
          <w:highlight w:val="none"/>
          <w:lang w:val="en-US" w:eastAsia="zh-CN"/>
        </w:rPr>
      </w:pPr>
    </w:p>
    <w:p w14:paraId="6B42043F">
      <w:pPr>
        <w:pStyle w:val="24"/>
        <w:rPr>
          <w:rFonts w:hint="default" w:ascii="宋体" w:hAnsi="宋体" w:cs="宋体"/>
          <w:color w:val="auto"/>
          <w:sz w:val="24"/>
          <w:highlight w:val="none"/>
          <w:lang w:val="en-US" w:eastAsia="zh-CN"/>
        </w:rPr>
      </w:pPr>
    </w:p>
    <w:p w14:paraId="725BC15C">
      <w:pPr>
        <w:pStyle w:val="24"/>
        <w:rPr>
          <w:rFonts w:hint="default" w:ascii="宋体" w:hAnsi="宋体" w:cs="宋体"/>
          <w:color w:val="auto"/>
          <w:sz w:val="24"/>
          <w:highlight w:val="none"/>
          <w:lang w:val="en-US" w:eastAsia="zh-CN"/>
        </w:rPr>
      </w:pPr>
    </w:p>
    <w:p w14:paraId="3D7A32DF">
      <w:pPr>
        <w:pStyle w:val="27"/>
        <w:jc w:val="center"/>
        <w:rPr>
          <w:rFonts w:hint="eastAsia" w:ascii="仿宋" w:hAnsi="仿宋" w:eastAsia="仿宋" w:cs="仿宋"/>
          <w:b/>
          <w:bCs w:val="0"/>
          <w:sz w:val="32"/>
          <w:szCs w:val="32"/>
          <w:highlight w:val="none"/>
          <w:lang w:val="en-US" w:eastAsia="zh-CN"/>
        </w:rPr>
      </w:pPr>
    </w:p>
    <w:p w14:paraId="17917392">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14:paraId="0D659380">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4"/>
        <w:rPr>
          <w:rFonts w:hint="eastAsia" w:ascii="仿宋" w:hAnsi="仿宋" w:eastAsia="仿宋" w:cs="仿宋"/>
          <w:sz w:val="21"/>
          <w:szCs w:val="21"/>
          <w:highlight w:val="none"/>
        </w:rPr>
      </w:pPr>
    </w:p>
    <w:p w14:paraId="107B572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5DF10D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①项目实施进度</w:t>
      </w:r>
      <w:r>
        <w:rPr>
          <w:rFonts w:hint="eastAsia" w:ascii="仿宋" w:hAnsi="仿宋" w:eastAsia="仿宋" w:cs="仿宋"/>
          <w:sz w:val="21"/>
          <w:szCs w:val="21"/>
          <w:highlight w:val="none"/>
          <w:lang w:eastAsia="zh-CN"/>
        </w:rPr>
        <w:t>；</w:t>
      </w:r>
    </w:p>
    <w:p w14:paraId="05BE67F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②服务计划、服务频次</w:t>
      </w:r>
      <w:r>
        <w:rPr>
          <w:rFonts w:hint="eastAsia" w:ascii="仿宋" w:hAnsi="仿宋" w:eastAsia="仿宋" w:cs="仿宋"/>
          <w:sz w:val="21"/>
          <w:szCs w:val="21"/>
          <w:highlight w:val="none"/>
          <w:lang w:eastAsia="zh-CN"/>
        </w:rPr>
        <w:t>；</w:t>
      </w:r>
    </w:p>
    <w:p w14:paraId="38A9046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③出具证书的时间。</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8256F7B">
      <w:pPr>
        <w:rPr>
          <w:highlight w:val="none"/>
        </w:rPr>
      </w:pPr>
    </w:p>
    <w:p w14:paraId="6C2FA2A2">
      <w:pPr>
        <w:rPr>
          <w:highlight w:val="none"/>
        </w:rPr>
      </w:pPr>
    </w:p>
    <w:p w14:paraId="1D187C2A">
      <w:pPr>
        <w:rPr>
          <w:highlight w:val="none"/>
        </w:rPr>
      </w:pPr>
    </w:p>
    <w:p w14:paraId="7A1433F2">
      <w:pPr>
        <w:rPr>
          <w:highlight w:val="none"/>
        </w:rPr>
      </w:pPr>
    </w:p>
    <w:p w14:paraId="750919D7">
      <w:pPr>
        <w:rPr>
          <w:highlight w:val="none"/>
        </w:rPr>
      </w:pPr>
    </w:p>
    <w:p w14:paraId="6BF46837">
      <w:pPr>
        <w:rPr>
          <w:highlight w:val="none"/>
        </w:rPr>
      </w:pPr>
    </w:p>
    <w:p w14:paraId="5C67B2D4">
      <w:pPr>
        <w:rPr>
          <w:highlight w:val="none"/>
        </w:rPr>
      </w:pPr>
    </w:p>
    <w:p w14:paraId="1F3A6112">
      <w:pPr>
        <w:pStyle w:val="27"/>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3、应急服务能力</w:t>
      </w:r>
      <w:r>
        <w:rPr>
          <w:rFonts w:hint="eastAsia" w:ascii="仿宋" w:hAnsi="仿宋" w:eastAsia="仿宋" w:cs="仿宋"/>
          <w:b/>
          <w:bCs w:val="0"/>
          <w:sz w:val="22"/>
          <w:szCs w:val="22"/>
          <w:highlight w:val="none"/>
          <w:lang w:val="en-US" w:eastAsia="zh-CN"/>
        </w:rPr>
        <w:t>（如有）</w:t>
      </w:r>
    </w:p>
    <w:p w14:paraId="0747F82A">
      <w:pPr>
        <w:pStyle w:val="2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45F62B2F">
      <w:pPr>
        <w:pStyle w:val="24"/>
        <w:rPr>
          <w:rFonts w:hint="eastAsia" w:ascii="仿宋" w:hAnsi="仿宋" w:eastAsia="仿宋" w:cs="仿宋"/>
          <w:sz w:val="21"/>
          <w:szCs w:val="21"/>
          <w:highlight w:val="none"/>
        </w:rPr>
      </w:pPr>
    </w:p>
    <w:p w14:paraId="321914ED">
      <w:pPr>
        <w:pStyle w:val="24"/>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29650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①水电气故障情况</w:t>
      </w:r>
      <w:r>
        <w:rPr>
          <w:rFonts w:hint="eastAsia" w:ascii="仿宋" w:hAnsi="仿宋" w:eastAsia="仿宋" w:cs="仿宋"/>
          <w:sz w:val="21"/>
          <w:szCs w:val="21"/>
          <w:highlight w:val="none"/>
          <w:lang w:eastAsia="zh-CN"/>
        </w:rPr>
        <w:t>；</w:t>
      </w:r>
    </w:p>
    <w:p w14:paraId="372F594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②人员误操作情况。</w:t>
      </w:r>
    </w:p>
    <w:p w14:paraId="6BCC386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3AE19C1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959BE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F114F3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E5A982F">
      <w:pPr>
        <w:rPr>
          <w:highlight w:val="none"/>
        </w:rPr>
      </w:pPr>
    </w:p>
    <w:sectPr>
      <w:headerReference r:id="rId4" w:type="default"/>
      <w:footerReference r:id="rId5"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919C95-3EEC-4162-8625-FE442E125B11}"/>
  </w:font>
  <w:font w:name="黑体">
    <w:panose1 w:val="02010609060101010101"/>
    <w:charset w:val="86"/>
    <w:family w:val="auto"/>
    <w:pitch w:val="default"/>
    <w:sig w:usb0="800002BF" w:usb1="38CF7CFA" w:usb2="00000016" w:usb3="00000000" w:csb0="00040001" w:csb1="00000000"/>
    <w:embedRegular r:id="rId2" w:fontKey="{C9571AB0-7E3F-4376-BCCC-70ED37D30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6809FBA-85A0-41B4-AFA8-CDE245E12BE4}"/>
  </w:font>
  <w:font w:name="微软雅黑">
    <w:panose1 w:val="020B0503020204020204"/>
    <w:charset w:val="86"/>
    <w:family w:val="auto"/>
    <w:pitch w:val="default"/>
    <w:sig w:usb0="80000287" w:usb1="2ACF3C50" w:usb2="00000016" w:usb3="00000000" w:csb0="0004001F" w:csb1="00000000"/>
    <w:embedRegular r:id="rId4" w:fontKey="{4FCB43DF-D5DD-463B-92BF-B1EFE771E610}"/>
  </w:font>
  <w:font w:name="方正仿宋简体">
    <w:panose1 w:val="02000000000000000000"/>
    <w:charset w:val="86"/>
    <w:family w:val="auto"/>
    <w:pitch w:val="default"/>
    <w:sig w:usb0="A00002BF" w:usb1="184F6CFA" w:usb2="00000012" w:usb3="00000000" w:csb0="00040001" w:csb1="00000000"/>
    <w:embedRegular r:id="rId5" w:fontKey="{0D6F66B5-AE9B-4468-8DF5-8E069BEB7ECE}"/>
  </w:font>
  <w:font w:name="仿宋">
    <w:panose1 w:val="02010609060101010101"/>
    <w:charset w:val="86"/>
    <w:family w:val="auto"/>
    <w:pitch w:val="default"/>
    <w:sig w:usb0="800002BF" w:usb1="38CF7CFA" w:usb2="00000016" w:usb3="00000000" w:csb0="00040001" w:csb1="00000000"/>
    <w:embedRegular r:id="rId6" w:fontKey="{F30FA8E2-AFA4-4258-B0A8-FB801DB20322}"/>
  </w:font>
  <w:font w:name="华文中宋">
    <w:panose1 w:val="02010600040101010101"/>
    <w:charset w:val="86"/>
    <w:family w:val="auto"/>
    <w:pitch w:val="default"/>
    <w:sig w:usb0="00000287" w:usb1="080F0000" w:usb2="00000000" w:usb3="00000000" w:csb0="0004009F" w:csb1="DFD70000"/>
    <w:embedRegular r:id="rId7" w:fontKey="{D6E23A20-09C5-4DAA-AC2E-C6428ECAC193}"/>
  </w:font>
  <w:font w:name="华文仿宋">
    <w:panose1 w:val="02010600040101010101"/>
    <w:charset w:val="86"/>
    <w:family w:val="auto"/>
    <w:pitch w:val="default"/>
    <w:sig w:usb0="00000287" w:usb1="080F0000" w:usb2="00000000" w:usb3="00000000" w:csb0="0004009F" w:csb1="DFD70000"/>
    <w:embedRegular r:id="rId8" w:fontKey="{353F3F55-6FB3-4E3E-84AA-7F7449AA676D}"/>
  </w:font>
  <w:font w:name="Tahoma">
    <w:panose1 w:val="020B0604030504040204"/>
    <w:charset w:val="00"/>
    <w:family w:val="auto"/>
    <w:pitch w:val="default"/>
    <w:sig w:usb0="E1002EFF" w:usb1="C000605B" w:usb2="00000029" w:usb3="00000000" w:csb0="200101FF" w:csb1="20280000"/>
    <w:embedRegular r:id="rId9" w:fontKey="{C8182034-FBED-42D9-BC09-6C4A84A0294A}"/>
  </w:font>
  <w:font w:name="Calibri Light">
    <w:panose1 w:val="020F0302020204030204"/>
    <w:charset w:val="00"/>
    <w:family w:val="swiss"/>
    <w:pitch w:val="default"/>
    <w:sig w:usb0="E0002AFF" w:usb1="C000247B" w:usb2="00000009" w:usb3="00000000" w:csb0="200001FF" w:csb1="00000000"/>
    <w:embedRegular r:id="rId10" w:fontKey="{4D3A5E30-79F4-430F-87AD-DBD27E4329F3}"/>
  </w:font>
  <w:font w:name="幼圆">
    <w:panose1 w:val="02010509060101010101"/>
    <w:charset w:val="86"/>
    <w:family w:val="modern"/>
    <w:pitch w:val="default"/>
    <w:sig w:usb0="00000001" w:usb1="080E0000" w:usb2="00000000" w:usb3="00000000" w:csb0="00040000" w:csb1="00000000"/>
    <w:embedRegular r:id="rId11" w:fontKey="{9C5197EC-1D5E-4F08-B26A-F6F8586F0A9C}"/>
  </w:font>
  <w:font w:name="等线">
    <w:panose1 w:val="02010600030101010101"/>
    <w:charset w:val="86"/>
    <w:family w:val="auto"/>
    <w:pitch w:val="default"/>
    <w:sig w:usb0="A00002BF" w:usb1="38CF7CFA" w:usb2="00000016" w:usb3="00000000" w:csb0="0004000F" w:csb1="00000000"/>
    <w:embedRegular r:id="rId12" w:fontKey="{75DB62D1-6E06-4764-9F3E-C9B82AF2B6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FAEF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8FAEF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3575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E3575D">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4B963839">
    <w:pPr>
      <w:pStyle w:val="10"/>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5571D"/>
    <w:multiLevelType w:val="singleLevel"/>
    <w:tmpl w:val="86D5571D"/>
    <w:lvl w:ilvl="0" w:tentative="0">
      <w:start w:val="1"/>
      <w:numFmt w:val="decimal"/>
      <w:suff w:val="nothing"/>
      <w:lvlText w:val="%1."/>
      <w:lvlJc w:val="left"/>
      <w:pPr>
        <w:ind w:left="425" w:hanging="425"/>
      </w:pPr>
      <w:rPr>
        <w:rFonts w:hint="default"/>
      </w:rPr>
    </w:lvl>
  </w:abstractNum>
  <w:abstractNum w:abstractNumId="1">
    <w:nsid w:val="90A41662"/>
    <w:multiLevelType w:val="singleLevel"/>
    <w:tmpl w:val="90A41662"/>
    <w:lvl w:ilvl="0" w:tentative="0">
      <w:start w:val="1"/>
      <w:numFmt w:val="decimal"/>
      <w:lvlText w:val="%1."/>
      <w:lvlJc w:val="left"/>
      <w:pPr>
        <w:ind w:left="425" w:hanging="425"/>
      </w:pPr>
      <w:rPr>
        <w:rFonts w:hint="default"/>
      </w:rPr>
    </w:lvl>
  </w:abstractNum>
  <w:abstractNum w:abstractNumId="2">
    <w:nsid w:val="99433021"/>
    <w:multiLevelType w:val="singleLevel"/>
    <w:tmpl w:val="99433021"/>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3">
    <w:nsid w:val="AB0B7077"/>
    <w:multiLevelType w:val="singleLevel"/>
    <w:tmpl w:val="AB0B7077"/>
    <w:lvl w:ilvl="0" w:tentative="0">
      <w:start w:val="1"/>
      <w:numFmt w:val="decimal"/>
      <w:lvlText w:val="%1."/>
      <w:lvlJc w:val="left"/>
      <w:pPr>
        <w:ind w:left="425" w:hanging="425"/>
      </w:pPr>
      <w:rPr>
        <w:rFonts w:hint="default"/>
      </w:rPr>
    </w:lvl>
  </w:abstractNum>
  <w:abstractNum w:abstractNumId="4">
    <w:nsid w:val="B2673637"/>
    <w:multiLevelType w:val="singleLevel"/>
    <w:tmpl w:val="B2673637"/>
    <w:lvl w:ilvl="0" w:tentative="0">
      <w:start w:val="1"/>
      <w:numFmt w:val="decimal"/>
      <w:lvlText w:val="%1."/>
      <w:lvlJc w:val="left"/>
      <w:pPr>
        <w:ind w:left="425" w:hanging="425"/>
      </w:pPr>
      <w:rPr>
        <w:rFonts w:hint="default"/>
      </w:rPr>
    </w:lvl>
  </w:abstractNum>
  <w:abstractNum w:abstractNumId="5">
    <w:nsid w:val="B75FE55A"/>
    <w:multiLevelType w:val="singleLevel"/>
    <w:tmpl w:val="B75FE55A"/>
    <w:lvl w:ilvl="0" w:tentative="0">
      <w:start w:val="1"/>
      <w:numFmt w:val="decimal"/>
      <w:suff w:val="nothing"/>
      <w:lvlText w:val="%1．"/>
      <w:lvlJc w:val="left"/>
      <w:pPr>
        <w:ind w:left="0" w:firstLine="400"/>
      </w:pPr>
      <w:rPr>
        <w:rFonts w:hint="default"/>
      </w:rPr>
    </w:lvl>
  </w:abstractNum>
  <w:abstractNum w:abstractNumId="6">
    <w:nsid w:val="C71375D0"/>
    <w:multiLevelType w:val="singleLevel"/>
    <w:tmpl w:val="C71375D0"/>
    <w:lvl w:ilvl="0" w:tentative="0">
      <w:start w:val="1"/>
      <w:numFmt w:val="decimal"/>
      <w:suff w:val="nothing"/>
      <w:lvlText w:val="%1．"/>
      <w:lvlJc w:val="left"/>
      <w:pPr>
        <w:ind w:left="0" w:firstLine="400"/>
      </w:pPr>
      <w:rPr>
        <w:rFonts w:hint="default"/>
      </w:rPr>
    </w:lvl>
  </w:abstractNum>
  <w:abstractNum w:abstractNumId="7">
    <w:nsid w:val="EAF53AFA"/>
    <w:multiLevelType w:val="singleLevel"/>
    <w:tmpl w:val="EAF53AFA"/>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8">
    <w:nsid w:val="EECA4A31"/>
    <w:multiLevelType w:val="singleLevel"/>
    <w:tmpl w:val="EECA4A31"/>
    <w:lvl w:ilvl="0" w:tentative="0">
      <w:start w:val="1"/>
      <w:numFmt w:val="decimal"/>
      <w:lvlText w:val="%1."/>
      <w:lvlJc w:val="left"/>
      <w:pPr>
        <w:ind w:left="425" w:hanging="425"/>
      </w:pPr>
      <w:rPr>
        <w:rFonts w:hint="default"/>
      </w:rPr>
    </w:lvl>
  </w:abstractNum>
  <w:abstractNum w:abstractNumId="9">
    <w:nsid w:val="F9AB2CB8"/>
    <w:multiLevelType w:val="singleLevel"/>
    <w:tmpl w:val="F9AB2CB8"/>
    <w:lvl w:ilvl="0" w:tentative="0">
      <w:start w:val="1"/>
      <w:numFmt w:val="decimal"/>
      <w:lvlText w:val="(%1)"/>
      <w:lvlJc w:val="left"/>
      <w:pPr>
        <w:ind w:left="425" w:hanging="425"/>
      </w:pPr>
      <w:rPr>
        <w:rFonts w:hint="default"/>
      </w:rPr>
    </w:lvl>
  </w:abstractNum>
  <w:abstractNum w:abstractNumId="10">
    <w:nsid w:val="FF9946B7"/>
    <w:multiLevelType w:val="singleLevel"/>
    <w:tmpl w:val="FF9946B7"/>
    <w:lvl w:ilvl="0" w:tentative="0">
      <w:start w:val="1"/>
      <w:numFmt w:val="decimal"/>
      <w:lvlText w:val="(%1)"/>
      <w:lvlJc w:val="left"/>
      <w:pPr>
        <w:ind w:left="425" w:hanging="425"/>
      </w:pPr>
      <w:rPr>
        <w:rFonts w:hint="default"/>
      </w:rPr>
    </w:lvl>
  </w:abstractNum>
  <w:abstractNum w:abstractNumId="11">
    <w:nsid w:val="00000000"/>
    <w:multiLevelType w:val="singleLevel"/>
    <w:tmpl w:val="00000000"/>
    <w:lvl w:ilvl="0" w:tentative="0">
      <w:start w:val="1"/>
      <w:numFmt w:val="chineseCounting"/>
      <w:suff w:val="nothing"/>
      <w:lvlText w:val="%1、"/>
      <w:lvlJc w:val="left"/>
      <w:rPr>
        <w:rFonts w:hint="eastAsia"/>
      </w:rPr>
    </w:lvl>
  </w:abstractNum>
  <w:abstractNum w:abstractNumId="12">
    <w:nsid w:val="00000001"/>
    <w:multiLevelType w:val="singleLevel"/>
    <w:tmpl w:val="00000001"/>
    <w:lvl w:ilvl="0" w:tentative="0">
      <w:start w:val="2"/>
      <w:numFmt w:val="decimal"/>
      <w:lvlText w:val="%1."/>
      <w:lvlJc w:val="left"/>
      <w:pPr>
        <w:tabs>
          <w:tab w:val="left" w:pos="312"/>
        </w:tabs>
      </w:pPr>
    </w:lvl>
  </w:abstractNum>
  <w:abstractNum w:abstractNumId="13">
    <w:nsid w:val="00000003"/>
    <w:multiLevelType w:val="singleLevel"/>
    <w:tmpl w:val="00000003"/>
    <w:lvl w:ilvl="0" w:tentative="0">
      <w:start w:val="4"/>
      <w:numFmt w:val="decimal"/>
      <w:suff w:val="nothing"/>
      <w:lvlText w:val="（%1）"/>
      <w:lvlJc w:val="left"/>
    </w:lvl>
  </w:abstractNum>
  <w:abstractNum w:abstractNumId="14">
    <w:nsid w:val="00000004"/>
    <w:multiLevelType w:val="singleLevel"/>
    <w:tmpl w:val="00000004"/>
    <w:lvl w:ilvl="0" w:tentative="0">
      <w:start w:val="1"/>
      <w:numFmt w:val="decimal"/>
      <w:suff w:val="nothing"/>
      <w:lvlText w:val="%1、"/>
      <w:lvlJc w:val="left"/>
    </w:lvl>
  </w:abstractNum>
  <w:abstractNum w:abstractNumId="15">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6">
    <w:nsid w:val="00000006"/>
    <w:multiLevelType w:val="singleLevel"/>
    <w:tmpl w:val="00000006"/>
    <w:lvl w:ilvl="0" w:tentative="0">
      <w:start w:val="5"/>
      <w:numFmt w:val="chineseCounting"/>
      <w:suff w:val="nothing"/>
      <w:lvlText w:val="（%1）"/>
      <w:lvlJc w:val="left"/>
      <w:rPr>
        <w:rFonts w:hint="eastAsia"/>
      </w:rPr>
    </w:lvl>
  </w:abstractNum>
  <w:abstractNum w:abstractNumId="17">
    <w:nsid w:val="00000007"/>
    <w:multiLevelType w:val="singleLevel"/>
    <w:tmpl w:val="00000007"/>
    <w:lvl w:ilvl="0" w:tentative="0">
      <w:start w:val="1"/>
      <w:numFmt w:val="decimal"/>
      <w:lvlText w:val="(%1)"/>
      <w:lvlJc w:val="left"/>
      <w:pPr>
        <w:ind w:left="425" w:hanging="425"/>
      </w:pPr>
      <w:rPr>
        <w:rFonts w:hint="default"/>
      </w:rPr>
    </w:lvl>
  </w:abstractNum>
  <w:abstractNum w:abstractNumId="18">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00000009"/>
    <w:multiLevelType w:val="singleLevel"/>
    <w:tmpl w:val="00000009"/>
    <w:lvl w:ilvl="0" w:tentative="0">
      <w:start w:val="1"/>
      <w:numFmt w:val="chineseCounting"/>
      <w:suff w:val="nothing"/>
      <w:lvlText w:val="%1、"/>
      <w:lvlJc w:val="left"/>
      <w:rPr>
        <w:rFonts w:hint="eastAsia"/>
      </w:rPr>
    </w:lvl>
  </w:abstractNum>
  <w:abstractNum w:abstractNumId="2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21">
    <w:nsid w:val="047A20B0"/>
    <w:multiLevelType w:val="singleLevel"/>
    <w:tmpl w:val="047A20B0"/>
    <w:lvl w:ilvl="0" w:tentative="0">
      <w:start w:val="1"/>
      <w:numFmt w:val="decimal"/>
      <w:lvlText w:val="%1."/>
      <w:lvlJc w:val="left"/>
      <w:pPr>
        <w:ind w:left="425" w:hanging="425"/>
      </w:pPr>
      <w:rPr>
        <w:rFonts w:hint="default"/>
      </w:rPr>
    </w:lvl>
  </w:abstractNum>
  <w:abstractNum w:abstractNumId="22">
    <w:nsid w:val="09A9F56A"/>
    <w:multiLevelType w:val="singleLevel"/>
    <w:tmpl w:val="09A9F56A"/>
    <w:lvl w:ilvl="0" w:tentative="0">
      <w:start w:val="1"/>
      <w:numFmt w:val="decimal"/>
      <w:lvlText w:val="%1."/>
      <w:lvlJc w:val="left"/>
      <w:pPr>
        <w:ind w:left="425" w:hanging="425"/>
      </w:pPr>
      <w:rPr>
        <w:rFonts w:hint="default"/>
      </w:rPr>
    </w:lvl>
  </w:abstractNum>
  <w:abstractNum w:abstractNumId="23">
    <w:nsid w:val="0C1D9F25"/>
    <w:multiLevelType w:val="singleLevel"/>
    <w:tmpl w:val="0C1D9F25"/>
    <w:lvl w:ilvl="0" w:tentative="0">
      <w:start w:val="1"/>
      <w:numFmt w:val="decimal"/>
      <w:lvlText w:val="%1."/>
      <w:lvlJc w:val="left"/>
      <w:pPr>
        <w:ind w:left="425" w:hanging="425"/>
      </w:pPr>
      <w:rPr>
        <w:rFonts w:hint="default"/>
      </w:rPr>
    </w:lvl>
  </w:abstractNum>
  <w:abstractNum w:abstractNumId="24">
    <w:nsid w:val="1B06516D"/>
    <w:multiLevelType w:val="singleLevel"/>
    <w:tmpl w:val="1B06516D"/>
    <w:lvl w:ilvl="0" w:tentative="0">
      <w:start w:val="1"/>
      <w:numFmt w:val="decimal"/>
      <w:suff w:val="nothing"/>
      <w:lvlText w:val="%1．"/>
      <w:lvlJc w:val="left"/>
      <w:pPr>
        <w:ind w:left="0" w:firstLine="400"/>
      </w:pPr>
      <w:rPr>
        <w:rFonts w:hint="default"/>
      </w:rPr>
    </w:lvl>
  </w:abstractNum>
  <w:abstractNum w:abstractNumId="25">
    <w:nsid w:val="2A122930"/>
    <w:multiLevelType w:val="singleLevel"/>
    <w:tmpl w:val="2A122930"/>
    <w:lvl w:ilvl="0" w:tentative="0">
      <w:start w:val="1"/>
      <w:numFmt w:val="decimal"/>
      <w:lvlText w:val="(%1)"/>
      <w:lvlJc w:val="left"/>
      <w:pPr>
        <w:ind w:left="425" w:hanging="425"/>
      </w:pPr>
      <w:rPr>
        <w:rFonts w:hint="default"/>
      </w:rPr>
    </w:lvl>
  </w:abstractNum>
  <w:abstractNum w:abstractNumId="26">
    <w:nsid w:val="3A266734"/>
    <w:multiLevelType w:val="singleLevel"/>
    <w:tmpl w:val="3A266734"/>
    <w:lvl w:ilvl="0" w:tentative="0">
      <w:start w:val="1"/>
      <w:numFmt w:val="decimal"/>
      <w:suff w:val="nothing"/>
      <w:lvlText w:val="(%1)"/>
      <w:lvlJc w:val="left"/>
      <w:pPr>
        <w:ind w:left="425" w:hanging="425"/>
      </w:pPr>
      <w:rPr>
        <w:rFonts w:hint="default"/>
      </w:rPr>
    </w:lvl>
  </w:abstractNum>
  <w:abstractNum w:abstractNumId="27">
    <w:nsid w:val="403C48E1"/>
    <w:multiLevelType w:val="singleLevel"/>
    <w:tmpl w:val="403C48E1"/>
    <w:lvl w:ilvl="0" w:tentative="0">
      <w:start w:val="1"/>
      <w:numFmt w:val="decimal"/>
      <w:suff w:val="nothing"/>
      <w:lvlText w:val="(%1)"/>
      <w:lvlJc w:val="left"/>
      <w:pPr>
        <w:ind w:left="425" w:hanging="425"/>
      </w:pPr>
      <w:rPr>
        <w:rFonts w:hint="default"/>
      </w:rPr>
    </w:lvl>
  </w:abstractNum>
  <w:abstractNum w:abstractNumId="28">
    <w:nsid w:val="481AEBD5"/>
    <w:multiLevelType w:val="singleLevel"/>
    <w:tmpl w:val="481AEBD5"/>
    <w:lvl w:ilvl="0" w:tentative="0">
      <w:start w:val="1"/>
      <w:numFmt w:val="decimal"/>
      <w:suff w:val="nothing"/>
      <w:lvlText w:val="%1、"/>
      <w:lvlJc w:val="left"/>
    </w:lvl>
  </w:abstractNum>
  <w:abstractNum w:abstractNumId="29">
    <w:nsid w:val="5FC1C052"/>
    <w:multiLevelType w:val="singleLevel"/>
    <w:tmpl w:val="5FC1C052"/>
    <w:lvl w:ilvl="0" w:tentative="0">
      <w:start w:val="1"/>
      <w:numFmt w:val="decimal"/>
      <w:suff w:val="nothing"/>
      <w:lvlText w:val="(%1)"/>
      <w:lvlJc w:val="left"/>
      <w:pPr>
        <w:ind w:left="425" w:hanging="425"/>
      </w:pPr>
      <w:rPr>
        <w:rFonts w:hint="default"/>
      </w:rPr>
    </w:lvl>
  </w:abstractNum>
  <w:abstractNum w:abstractNumId="30">
    <w:nsid w:val="6614365D"/>
    <w:multiLevelType w:val="singleLevel"/>
    <w:tmpl w:val="6614365D"/>
    <w:lvl w:ilvl="0" w:tentative="0">
      <w:start w:val="1"/>
      <w:numFmt w:val="decimal"/>
      <w:lvlText w:val="%1."/>
      <w:lvlJc w:val="left"/>
      <w:pPr>
        <w:ind w:left="425" w:hanging="425"/>
      </w:pPr>
      <w:rPr>
        <w:rFonts w:hint="default"/>
      </w:rPr>
    </w:lvl>
  </w:abstractNum>
  <w:abstractNum w:abstractNumId="31">
    <w:nsid w:val="66C91E4E"/>
    <w:multiLevelType w:val="singleLevel"/>
    <w:tmpl w:val="66C91E4E"/>
    <w:lvl w:ilvl="0" w:tentative="0">
      <w:start w:val="1"/>
      <w:numFmt w:val="decimal"/>
      <w:lvlText w:val="(%1)"/>
      <w:lvlJc w:val="left"/>
      <w:pPr>
        <w:ind w:left="425" w:hanging="425"/>
      </w:pPr>
      <w:rPr>
        <w:rFonts w:hint="default"/>
      </w:rPr>
    </w:lvl>
  </w:abstractNum>
  <w:abstractNum w:abstractNumId="32">
    <w:nsid w:val="69B4CBAE"/>
    <w:multiLevelType w:val="singleLevel"/>
    <w:tmpl w:val="69B4CBAE"/>
    <w:lvl w:ilvl="0" w:tentative="0">
      <w:start w:val="1"/>
      <w:numFmt w:val="decimal"/>
      <w:suff w:val="nothing"/>
      <w:lvlText w:val="%1．"/>
      <w:lvlJc w:val="left"/>
      <w:pPr>
        <w:ind w:left="0" w:firstLine="400"/>
      </w:pPr>
      <w:rPr>
        <w:rFonts w:hint="default"/>
      </w:rPr>
    </w:lvl>
  </w:abstractNum>
  <w:abstractNum w:abstractNumId="33">
    <w:nsid w:val="6CF80AC5"/>
    <w:multiLevelType w:val="singleLevel"/>
    <w:tmpl w:val="6CF80AC5"/>
    <w:lvl w:ilvl="0" w:tentative="0">
      <w:start w:val="1"/>
      <w:numFmt w:val="decimal"/>
      <w:suff w:val="nothing"/>
      <w:lvlText w:val="%1．"/>
      <w:lvlJc w:val="left"/>
      <w:pPr>
        <w:ind w:left="0" w:firstLine="400"/>
      </w:pPr>
      <w:rPr>
        <w:rFonts w:hint="default"/>
      </w:rPr>
    </w:lvl>
  </w:abstractNum>
  <w:abstractNum w:abstractNumId="34">
    <w:nsid w:val="73C8FFBC"/>
    <w:multiLevelType w:val="singleLevel"/>
    <w:tmpl w:val="73C8FFBC"/>
    <w:lvl w:ilvl="0" w:tentative="0">
      <w:start w:val="1"/>
      <w:numFmt w:val="chineseCounting"/>
      <w:suff w:val="nothing"/>
      <w:lvlText w:val="%1、"/>
      <w:lvlJc w:val="left"/>
      <w:pPr>
        <w:ind w:left="0" w:firstLine="420"/>
      </w:pPr>
      <w:rPr>
        <w:rFonts w:hint="eastAsia"/>
      </w:rPr>
    </w:lvl>
  </w:abstractNum>
  <w:num w:numId="1">
    <w:abstractNumId w:val="28"/>
  </w:num>
  <w:num w:numId="2">
    <w:abstractNumId w:val="19"/>
  </w:num>
  <w:num w:numId="3">
    <w:abstractNumId w:val="20"/>
  </w:num>
  <w:num w:numId="4">
    <w:abstractNumId w:val="11"/>
  </w:num>
  <w:num w:numId="5">
    <w:abstractNumId w:val="32"/>
  </w:num>
  <w:num w:numId="6">
    <w:abstractNumId w:val="24"/>
  </w:num>
  <w:num w:numId="7">
    <w:abstractNumId w:val="33"/>
  </w:num>
  <w:num w:numId="8">
    <w:abstractNumId w:val="27"/>
  </w:num>
  <w:num w:numId="9">
    <w:abstractNumId w:val="6"/>
  </w:num>
  <w:num w:numId="10">
    <w:abstractNumId w:val="5"/>
  </w:num>
  <w:num w:numId="11">
    <w:abstractNumId w:val="0"/>
  </w:num>
  <w:num w:numId="12">
    <w:abstractNumId w:val="2"/>
  </w:num>
  <w:num w:numId="13">
    <w:abstractNumId w:val="29"/>
  </w:num>
  <w:num w:numId="14">
    <w:abstractNumId w:val="7"/>
  </w:num>
  <w:num w:numId="15">
    <w:abstractNumId w:val="26"/>
  </w:num>
  <w:num w:numId="16">
    <w:abstractNumId w:val="12"/>
  </w:num>
  <w:num w:numId="17">
    <w:abstractNumId w:val="15"/>
  </w:num>
  <w:num w:numId="18">
    <w:abstractNumId w:val="18"/>
  </w:num>
  <w:num w:numId="19">
    <w:abstractNumId w:val="16"/>
  </w:num>
  <w:num w:numId="20">
    <w:abstractNumId w:val="13"/>
  </w:num>
  <w:num w:numId="21">
    <w:abstractNumId w:val="17"/>
  </w:num>
  <w:num w:numId="22">
    <w:abstractNumId w:val="34"/>
  </w:num>
  <w:num w:numId="23">
    <w:abstractNumId w:val="4"/>
  </w:num>
  <w:num w:numId="24">
    <w:abstractNumId w:val="8"/>
  </w:num>
  <w:num w:numId="25">
    <w:abstractNumId w:val="31"/>
  </w:num>
  <w:num w:numId="26">
    <w:abstractNumId w:val="25"/>
  </w:num>
  <w:num w:numId="27">
    <w:abstractNumId w:val="1"/>
  </w:num>
  <w:num w:numId="28">
    <w:abstractNumId w:val="9"/>
  </w:num>
  <w:num w:numId="29">
    <w:abstractNumId w:val="22"/>
  </w:num>
  <w:num w:numId="30">
    <w:abstractNumId w:val="10"/>
  </w:num>
  <w:num w:numId="31">
    <w:abstractNumId w:val="23"/>
  </w:num>
  <w:num w:numId="32">
    <w:abstractNumId w:val="3"/>
  </w:num>
  <w:num w:numId="33">
    <w:abstractNumId w:val="21"/>
  </w:num>
  <w:num w:numId="34">
    <w:abstractNumId w:val="3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11C6A62"/>
    <w:rsid w:val="027F6CC8"/>
    <w:rsid w:val="02C32E43"/>
    <w:rsid w:val="04837785"/>
    <w:rsid w:val="04E672BC"/>
    <w:rsid w:val="057B4072"/>
    <w:rsid w:val="06A04B76"/>
    <w:rsid w:val="0BEB6D98"/>
    <w:rsid w:val="0C37580D"/>
    <w:rsid w:val="0CE916F8"/>
    <w:rsid w:val="0E9B4C74"/>
    <w:rsid w:val="10790794"/>
    <w:rsid w:val="10A20470"/>
    <w:rsid w:val="133B446A"/>
    <w:rsid w:val="145D0D13"/>
    <w:rsid w:val="175A0611"/>
    <w:rsid w:val="177253F8"/>
    <w:rsid w:val="187C7E5D"/>
    <w:rsid w:val="18AE37F5"/>
    <w:rsid w:val="190C750B"/>
    <w:rsid w:val="1F6E1960"/>
    <w:rsid w:val="20A9107A"/>
    <w:rsid w:val="20AC5498"/>
    <w:rsid w:val="20F5272C"/>
    <w:rsid w:val="23E375C9"/>
    <w:rsid w:val="27391076"/>
    <w:rsid w:val="28671999"/>
    <w:rsid w:val="2AD50CC5"/>
    <w:rsid w:val="2CA376BD"/>
    <w:rsid w:val="31492EA1"/>
    <w:rsid w:val="32AA04CA"/>
    <w:rsid w:val="32FF4914"/>
    <w:rsid w:val="377F438B"/>
    <w:rsid w:val="37944042"/>
    <w:rsid w:val="382A7788"/>
    <w:rsid w:val="387726C9"/>
    <w:rsid w:val="387E4B3B"/>
    <w:rsid w:val="39C96289"/>
    <w:rsid w:val="3A081E16"/>
    <w:rsid w:val="3B0643D9"/>
    <w:rsid w:val="3D131851"/>
    <w:rsid w:val="404372C1"/>
    <w:rsid w:val="404843AC"/>
    <w:rsid w:val="404F553D"/>
    <w:rsid w:val="414244A0"/>
    <w:rsid w:val="425C6DC3"/>
    <w:rsid w:val="42CD0F08"/>
    <w:rsid w:val="432F13E8"/>
    <w:rsid w:val="43C53F65"/>
    <w:rsid w:val="4D3116FB"/>
    <w:rsid w:val="4FC21D89"/>
    <w:rsid w:val="53265F8B"/>
    <w:rsid w:val="537868FE"/>
    <w:rsid w:val="53806DAF"/>
    <w:rsid w:val="53B06098"/>
    <w:rsid w:val="53C205A0"/>
    <w:rsid w:val="54CB0ED4"/>
    <w:rsid w:val="5779242C"/>
    <w:rsid w:val="57AE1FEF"/>
    <w:rsid w:val="5A683D0A"/>
    <w:rsid w:val="5B633A42"/>
    <w:rsid w:val="5F493FC0"/>
    <w:rsid w:val="5FAF4DAC"/>
    <w:rsid w:val="62377985"/>
    <w:rsid w:val="636F7E34"/>
    <w:rsid w:val="63B663BE"/>
    <w:rsid w:val="677F7E04"/>
    <w:rsid w:val="68EE3A37"/>
    <w:rsid w:val="69DC26B1"/>
    <w:rsid w:val="6B9876E6"/>
    <w:rsid w:val="6DC32953"/>
    <w:rsid w:val="6DDC48DC"/>
    <w:rsid w:val="6E0072C7"/>
    <w:rsid w:val="6E5B0E2F"/>
    <w:rsid w:val="700A492A"/>
    <w:rsid w:val="71B31D58"/>
    <w:rsid w:val="737F06A0"/>
    <w:rsid w:val="73F54553"/>
    <w:rsid w:val="748C1DB2"/>
    <w:rsid w:val="7646743F"/>
    <w:rsid w:val="788A485A"/>
    <w:rsid w:val="78B638A1"/>
    <w:rsid w:val="79653A37"/>
    <w:rsid w:val="7B4B027C"/>
    <w:rsid w:val="7BE67FFA"/>
    <w:rsid w:val="7C001828"/>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0"/>
    </w:pPr>
    <w:rPr>
      <w:rFonts w:ascii="Calibri" w:hAnsi="Calibri"/>
      <w:sz w:val="20"/>
      <w:szCs w:val="20"/>
    </w:rPr>
  </w:style>
  <w:style w:type="paragraph" w:styleId="5">
    <w:name w:val="Body Text"/>
    <w:basedOn w:val="1"/>
    <w:qFormat/>
    <w:uiPriority w:val="0"/>
    <w:rPr>
      <w:sz w:val="24"/>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Body Text Indent 3"/>
    <w:basedOn w:val="1"/>
    <w:qFormat/>
    <w:uiPriority w:val="0"/>
    <w:pPr>
      <w:spacing w:after="120"/>
      <w:ind w:left="420" w:leftChars="200"/>
    </w:pPr>
    <w:rPr>
      <w:sz w:val="16"/>
      <w:szCs w:val="16"/>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5"/>
    <w:qFormat/>
    <w:uiPriority w:val="99"/>
    <w:pPr>
      <w:spacing w:after="120"/>
      <w:ind w:firstLine="420" w:firstLineChars="100"/>
    </w:pPr>
    <w:rPr>
      <w:sz w:val="21"/>
    </w:rPr>
  </w:style>
  <w:style w:type="paragraph" w:styleId="17">
    <w:name w:val="Body Text First Indent 2"/>
    <w:basedOn w:val="8"/>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4">
    <w:name w:val="表格文字"/>
    <w:basedOn w:val="25"/>
    <w:autoRedefine/>
    <w:qFormat/>
    <w:uiPriority w:val="0"/>
    <w:pPr>
      <w:spacing w:before="25" w:after="25"/>
      <w:jc w:val="left"/>
    </w:pPr>
    <w:rPr>
      <w:bCs/>
      <w:spacing w:val="10"/>
      <w:kern w:val="0"/>
      <w:sz w:val="24"/>
      <w:szCs w:val="20"/>
    </w:rPr>
  </w:style>
  <w:style w:type="paragraph" w:customStyle="1" w:styleId="25">
    <w:name w:val="表格文字（两侧对齐）"/>
    <w:basedOn w:val="1"/>
    <w:autoRedefine/>
    <w:qFormat/>
    <w:uiPriority w:val="0"/>
    <w:pPr>
      <w:snapToGrid w:val="0"/>
    </w:pPr>
    <w:rPr>
      <w:kern w:val="0"/>
      <w:sz w:val="20"/>
    </w:rPr>
  </w:style>
  <w:style w:type="paragraph" w:customStyle="1" w:styleId="2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7">
    <w:name w:val="_Style 3"/>
    <w:basedOn w:val="1"/>
    <w:autoRedefine/>
    <w:qFormat/>
    <w:uiPriority w:val="0"/>
    <w:pPr>
      <w:ind w:firstLine="420" w:firstLineChars="200"/>
    </w:pPr>
    <w:rPr>
      <w:sz w:val="20"/>
    </w:rPr>
  </w:style>
  <w:style w:type="paragraph" w:customStyle="1" w:styleId="28">
    <w:name w:val="正文缩进1"/>
    <w:basedOn w:val="29"/>
    <w:next w:val="26"/>
    <w:autoRedefine/>
    <w:qFormat/>
    <w:uiPriority w:val="0"/>
    <w:pPr>
      <w:widowControl/>
      <w:ind w:firstLine="420"/>
      <w:jc w:val="left"/>
    </w:pPr>
    <w:rPr>
      <w:rFonts w:ascii="Calibri" w:hAnsi="Calibri"/>
      <w:kern w:val="0"/>
    </w:rPr>
  </w:style>
  <w:style w:type="paragraph" w:customStyle="1" w:styleId="29">
    <w:name w:val="正文_2"/>
    <w:next w:val="28"/>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1">
    <w:name w:val="Table Paragraph"/>
    <w:basedOn w:val="1"/>
    <w:autoRedefine/>
    <w:qFormat/>
    <w:uiPriority w:val="1"/>
    <w:rPr>
      <w:rFonts w:ascii="宋体" w:hAnsi="宋体" w:eastAsia="宋体" w:cs="宋体"/>
      <w:lang w:val="zh-CN" w:eastAsia="zh-CN" w:bidi="zh-CN"/>
    </w:rPr>
  </w:style>
  <w:style w:type="paragraph" w:styleId="32">
    <w:name w:val="List Paragraph"/>
    <w:basedOn w:val="1"/>
    <w:autoRedefine/>
    <w:qFormat/>
    <w:uiPriority w:val="34"/>
    <w:pPr>
      <w:widowControl/>
      <w:ind w:firstLine="420" w:firstLineChars="200"/>
      <w:jc w:val="left"/>
    </w:pPr>
    <w:rPr>
      <w:kern w:val="0"/>
      <w:sz w:val="20"/>
      <w:szCs w:val="20"/>
    </w:rPr>
  </w:style>
  <w:style w:type="paragraph" w:customStyle="1" w:styleId="33">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4">
    <w:name w:val="font31"/>
    <w:basedOn w:val="20"/>
    <w:qFormat/>
    <w:uiPriority w:val="0"/>
    <w:rPr>
      <w:rFonts w:hint="eastAsia" w:ascii="宋体" w:hAnsi="宋体" w:eastAsia="宋体" w:cs="宋体"/>
      <w:color w:val="FF0000"/>
      <w:sz w:val="20"/>
      <w:szCs w:val="20"/>
      <w:u w:val="none"/>
    </w:rPr>
  </w:style>
  <w:style w:type="character" w:customStyle="1" w:styleId="35">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12604</Words>
  <Characters>12929</Characters>
  <Lines>0</Lines>
  <Paragraphs>0</Paragraphs>
  <TotalTime>3</TotalTime>
  <ScaleCrop>false</ScaleCrop>
  <LinksUpToDate>false</LinksUpToDate>
  <CharactersWithSpaces>13077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林经纬</cp:lastModifiedBy>
  <dcterms:modified xsi:type="dcterms:W3CDTF">2025-09-17T08:56:26Z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BA8E2DCD60BA451090FDAB27E6B0A24C_13</vt:lpwstr>
  </property>
  <property fmtid="{D5CDD505-2E9C-101B-9397-08002B2CF9AE}" pid="4" name="KSOTemplateDocerSaveRecord">
    <vt:lpwstr>eyJoZGlkIjoiZjZmNmRmZjQ5ZGQ2NzQ4OGY2Yzc5MWY3YWQxNTRjNjIiLCJ1c2VySWQiOiI5NDI3ODEyNzAifQ==</vt:lpwstr>
  </property>
</Properties>
</file>