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3"/>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5130</w:t>
      </w:r>
    </w:p>
    <w:p w14:paraId="39CF2F91">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color w:val="auto"/>
          <w:sz w:val="28"/>
          <w:szCs w:val="28"/>
        </w:rPr>
        <w:t>项目名称：</w:t>
      </w:r>
      <w:r>
        <w:rPr>
          <w:rFonts w:hint="eastAsia" w:ascii="宋体" w:hAnsi="宋体" w:cs="SimSun-Identity-H"/>
          <w:color w:val="auto"/>
          <w:kern w:val="0"/>
          <w:sz w:val="28"/>
          <w:szCs w:val="28"/>
        </w:rPr>
        <w:t>中山大学孙逸仙纪念医院2026年度工程项目</w:t>
      </w:r>
      <w:r>
        <w:rPr>
          <w:rFonts w:hint="eastAsia" w:ascii="宋体" w:hAnsi="宋体" w:cs="SimSun-Identity-H"/>
          <w:color w:val="auto"/>
          <w:kern w:val="0"/>
          <w:sz w:val="28"/>
          <w:szCs w:val="28"/>
          <w:lang w:val="en-US" w:eastAsia="zh-CN"/>
        </w:rPr>
        <w:t>监理</w:t>
      </w:r>
      <w:r>
        <w:rPr>
          <w:rFonts w:hint="eastAsia" w:ascii="宋体" w:hAnsi="宋体" w:cs="SimSun-Identity-H"/>
          <w:color w:val="auto"/>
          <w:kern w:val="0"/>
          <w:sz w:val="28"/>
          <w:szCs w:val="28"/>
        </w:rPr>
        <w:t>服务</w:t>
      </w:r>
      <w:r>
        <w:rPr>
          <w:rFonts w:hint="eastAsia" w:ascii="宋体" w:hAnsi="宋体" w:cs="SimSun-Identity-H"/>
          <w:color w:val="auto"/>
          <w:kern w:val="0"/>
          <w:sz w:val="28"/>
          <w:szCs w:val="28"/>
          <w:lang w:val="en-US" w:eastAsia="zh-CN"/>
        </w:rPr>
        <w:t>采购</w:t>
      </w:r>
      <w:r>
        <w:rPr>
          <w:rFonts w:hint="eastAsia" w:ascii="宋体" w:hAnsi="宋体" w:eastAsia="宋体" w:cs="SimSun-Identity-H"/>
          <w:color w:val="auto"/>
          <w:kern w:val="0"/>
          <w:sz w:val="28"/>
          <w:szCs w:val="28"/>
          <w:lang w:val="en-US" w:eastAsia="zh-CN"/>
        </w:rPr>
        <w:t>项目</w:t>
      </w:r>
    </w:p>
    <w:p w14:paraId="0622ACA2">
      <w:pPr>
        <w:spacing w:line="500" w:lineRule="exact"/>
        <w:ind w:firstLine="422" w:firstLineChars="151"/>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服务</w:t>
      </w:r>
      <w:r>
        <w:rPr>
          <w:rFonts w:hint="eastAsia" w:ascii="宋体" w:hAnsi="宋体" w:eastAsia="宋体" w:cs="宋体"/>
          <w:b w:val="0"/>
          <w:bCs w:val="0"/>
          <w:sz w:val="28"/>
          <w:szCs w:val="28"/>
          <w:lang w:eastAsia="zh-CN"/>
        </w:rPr>
        <w:t>类</w:t>
      </w: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8"/>
      </w:pPr>
    </w:p>
    <w:p w14:paraId="7A1F097F"/>
    <w:p w14:paraId="04483841">
      <w:pPr>
        <w:pStyle w:val="8"/>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5</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10</w:t>
      </w:r>
      <w:r>
        <w:rPr>
          <w:rFonts w:hint="eastAsia" w:ascii="宋体" w:hAnsi="宋体" w:cs="宋体"/>
          <w:b/>
          <w:bCs/>
          <w:color w:val="auto"/>
          <w:sz w:val="28"/>
          <w:szCs w:val="28"/>
        </w:rPr>
        <w:t>月</w:t>
      </w:r>
    </w:p>
    <w:p w14:paraId="6FE32DD9">
      <w:pPr>
        <w:pStyle w:val="36"/>
        <w:ind w:firstLine="562"/>
        <w:rPr>
          <w:rFonts w:ascii="宋体" w:hAnsi="宋体" w:cs="宋体"/>
          <w:b/>
          <w:bCs/>
          <w:sz w:val="28"/>
          <w:szCs w:val="28"/>
        </w:rPr>
      </w:pPr>
    </w:p>
    <w:p w14:paraId="2EA73624">
      <w:pPr>
        <w:pStyle w:val="36"/>
        <w:ind w:firstLine="562"/>
        <w:rPr>
          <w:rFonts w:ascii="宋体" w:hAnsi="宋体" w:cs="宋体"/>
          <w:b/>
          <w:bCs/>
          <w:sz w:val="28"/>
          <w:szCs w:val="28"/>
        </w:rPr>
        <w:sectPr>
          <w:footerReference r:id="rId3" w:type="default"/>
          <w:pgSz w:w="11907" w:h="16840"/>
          <w:pgMar w:top="1134" w:right="1134" w:bottom="1040" w:left="1134" w:header="737" w:footer="454" w:gutter="0"/>
          <w:pgNumType w:fmt="decimal" w:start="1"/>
          <w:cols w:space="720" w:num="1"/>
          <w:docGrid w:type="linesAndChars" w:linePitch="312" w:charSpace="0"/>
        </w:sectPr>
      </w:pPr>
    </w:p>
    <w:p w14:paraId="37420629">
      <w:pPr>
        <w:pStyle w:val="36"/>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8"/>
      </w:pPr>
    </w:p>
    <w:p w14:paraId="7AF2FFB2">
      <w:pPr>
        <w:pStyle w:val="25"/>
        <w:adjustRightInd w:val="0"/>
        <w:snapToGrid w:val="0"/>
        <w:spacing w:before="0" w:after="0" w:line="480" w:lineRule="auto"/>
        <w:jc w:val="left"/>
        <w:rPr>
          <w:rFonts w:hint="eastAsia" w:ascii="宋体" w:hAnsi="宋体" w:eastAsia="宋体" w:cs="华文仿宋"/>
          <w:b/>
          <w:sz w:val="32"/>
          <w:szCs w:val="32"/>
          <w:lang w:eastAsia="zh-CN"/>
        </w:rPr>
      </w:pPr>
      <w:r>
        <w:rPr>
          <w:rFonts w:hint="eastAsia" w:ascii="宋体" w:hAnsi="宋体" w:eastAsia="宋体" w:cs="华文仿宋"/>
          <w:b/>
          <w:sz w:val="32"/>
          <w:szCs w:val="32"/>
        </w:rPr>
        <w:t>第一章  采购邀请函</w:t>
      </w:r>
    </w:p>
    <w:p w14:paraId="4926E5C3">
      <w:pPr>
        <w:pStyle w:val="25"/>
        <w:adjustRightInd w:val="0"/>
        <w:snapToGrid w:val="0"/>
        <w:spacing w:before="0" w:after="0" w:line="480" w:lineRule="auto"/>
        <w:jc w:val="left"/>
        <w:rPr>
          <w:rFonts w:hint="default" w:ascii="宋体" w:hAnsi="宋体" w:eastAsia="宋体" w:cs="华文仿宋"/>
          <w:b/>
          <w:sz w:val="32"/>
          <w:szCs w:val="32"/>
          <w:lang w:val="en-US" w:eastAsia="zh-CN"/>
        </w:rPr>
      </w:pPr>
      <w:r>
        <w:rPr>
          <w:rFonts w:hint="eastAsia" w:ascii="宋体" w:hAnsi="宋体" w:eastAsia="宋体" w:cs="华文仿宋"/>
          <w:b/>
          <w:sz w:val="32"/>
          <w:szCs w:val="32"/>
        </w:rPr>
        <w:t>第二章  用户需求书</w:t>
      </w:r>
    </w:p>
    <w:p w14:paraId="790CC918">
      <w:pPr>
        <w:pStyle w:val="25"/>
        <w:adjustRightInd w:val="0"/>
        <w:snapToGrid w:val="0"/>
        <w:spacing w:before="0" w:after="0" w:line="480" w:lineRule="auto"/>
        <w:jc w:val="both"/>
        <w:rPr>
          <w:rFonts w:hint="default" w:ascii="宋体" w:hAnsi="宋体" w:eastAsia="宋体" w:cs="华文仿宋"/>
          <w:b/>
          <w:sz w:val="32"/>
          <w:szCs w:val="32"/>
          <w:lang w:val="en-US" w:eastAsia="zh-CN"/>
        </w:rPr>
      </w:pPr>
      <w:r>
        <w:rPr>
          <w:rFonts w:hint="eastAsia" w:ascii="宋体" w:hAnsi="宋体" w:eastAsia="宋体" w:cs="华文仿宋"/>
          <w:b/>
          <w:sz w:val="32"/>
          <w:szCs w:val="32"/>
        </w:rPr>
        <w:t>第三章  响应须知</w:t>
      </w:r>
    </w:p>
    <w:p w14:paraId="00D4F729">
      <w:pPr>
        <w:pStyle w:val="25"/>
        <w:adjustRightInd w:val="0"/>
        <w:snapToGrid w:val="0"/>
        <w:spacing w:before="0" w:after="0" w:line="480" w:lineRule="auto"/>
        <w:rPr>
          <w:rFonts w:hint="default" w:ascii="宋体" w:hAnsi="宋体" w:eastAsia="宋体" w:cs="华文仿宋"/>
          <w:b/>
          <w:sz w:val="32"/>
          <w:szCs w:val="32"/>
          <w:lang w:val="en-US" w:eastAsia="zh-CN"/>
        </w:rPr>
      </w:pPr>
      <w:r>
        <w:rPr>
          <w:rFonts w:hint="eastAsia" w:ascii="宋体" w:hAnsi="宋体" w:eastAsia="宋体" w:cs="华文仿宋"/>
          <w:b/>
          <w:sz w:val="32"/>
          <w:szCs w:val="32"/>
        </w:rPr>
        <w:t>第四章  合同参考文本</w:t>
      </w:r>
    </w:p>
    <w:p w14:paraId="700369A7">
      <w:pPr>
        <w:pStyle w:val="25"/>
        <w:adjustRightInd w:val="0"/>
        <w:snapToGrid w:val="0"/>
        <w:spacing w:before="0" w:after="0" w:line="480" w:lineRule="auto"/>
        <w:rPr>
          <w:rFonts w:hint="default" w:ascii="宋体" w:hAnsi="宋体" w:eastAsia="宋体" w:cs="华文仿宋"/>
          <w:b/>
          <w:sz w:val="32"/>
          <w:szCs w:val="32"/>
          <w:lang w:val="en-US" w:eastAsia="zh-CN"/>
        </w:rPr>
      </w:pPr>
      <w:r>
        <w:rPr>
          <w:rFonts w:hint="eastAsia" w:ascii="宋体" w:hAnsi="宋体" w:eastAsia="宋体" w:cs="华文仿宋"/>
          <w:b/>
          <w:sz w:val="32"/>
          <w:szCs w:val="32"/>
        </w:rPr>
        <w:t>第五章  响应文件编制要求</w:t>
      </w:r>
    </w:p>
    <w:p w14:paraId="1730615B"/>
    <w:p w14:paraId="79D6BFF2"/>
    <w:p w14:paraId="10C42493">
      <w:pPr>
        <w:pStyle w:val="36"/>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36"/>
        <w:ind w:firstLine="400"/>
        <w:sectPr>
          <w:footerReference r:id="rId4" w:type="default"/>
          <w:pgSz w:w="11907" w:h="16840"/>
          <w:pgMar w:top="1134" w:right="1134" w:bottom="1040" w:left="1134" w:header="737" w:footer="454" w:gutter="0"/>
          <w:pgNumType w:fmt="decimal"/>
          <w:cols w:space="720" w:num="1"/>
          <w:docGrid w:type="linesAndChars" w:linePitch="312" w:charSpace="0"/>
        </w:sectPr>
      </w:pPr>
    </w:p>
    <w:p w14:paraId="68F560BC">
      <w:pPr>
        <w:pStyle w:val="36"/>
        <w:ind w:firstLine="400"/>
      </w:pPr>
    </w:p>
    <w:p w14:paraId="38F1307D">
      <w:pPr>
        <w:pStyle w:val="8"/>
        <w:spacing w:line="360" w:lineRule="auto"/>
        <w:rPr>
          <w:rFonts w:hint="eastAsia" w:ascii="微软雅黑" w:hAnsi="微软雅黑" w:eastAsia="微软雅黑" w:cs="微软雅黑"/>
          <w:color w:val="auto"/>
        </w:rPr>
      </w:pPr>
      <w:bookmarkStart w:id="0" w:name="_Toc50737285"/>
      <w:bookmarkStart w:id="1" w:name="_Toc50737317"/>
      <w:bookmarkStart w:id="2" w:name="_Toc50691018"/>
      <w:bookmarkStart w:id="3" w:name="_Toc50736465"/>
      <w:bookmarkStart w:id="4" w:name="_Toc76354913"/>
      <w:bookmarkStart w:id="5" w:name="_Toc385939527"/>
      <w:bookmarkStart w:id="6" w:name="_Toc385940868"/>
      <w:bookmarkStart w:id="7" w:name="_Toc417914517"/>
    </w:p>
    <w:p w14:paraId="10AFA60F">
      <w:pPr>
        <w:pStyle w:val="8"/>
        <w:spacing w:line="360" w:lineRule="auto"/>
        <w:rPr>
          <w:rFonts w:hint="eastAsia" w:ascii="微软雅黑" w:hAnsi="微软雅黑" w:eastAsia="微软雅黑" w:cs="微软雅黑"/>
          <w:color w:val="auto"/>
        </w:rPr>
      </w:pPr>
    </w:p>
    <w:p w14:paraId="55408BA8">
      <w:pPr>
        <w:pStyle w:val="8"/>
        <w:spacing w:line="360" w:lineRule="auto"/>
        <w:rPr>
          <w:rFonts w:hint="eastAsia" w:ascii="微软雅黑" w:hAnsi="微软雅黑" w:eastAsia="微软雅黑" w:cs="微软雅黑"/>
          <w:color w:val="auto"/>
        </w:rPr>
      </w:pPr>
    </w:p>
    <w:p w14:paraId="77FB6F64">
      <w:pPr>
        <w:rPr>
          <w:rFonts w:hint="eastAsia"/>
        </w:rPr>
      </w:pPr>
    </w:p>
    <w:p w14:paraId="45B52580">
      <w:pPr>
        <w:pStyle w:val="8"/>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602E3E9">
      <w:pPr>
        <w:pStyle w:val="5"/>
        <w:rPr>
          <w:rFonts w:hint="eastAsia" w:ascii="宋体" w:hAnsi="宋体" w:cs="宋体"/>
          <w:b/>
          <w:bCs/>
          <w:kern w:val="44"/>
          <w:sz w:val="36"/>
          <w:szCs w:val="36"/>
        </w:rPr>
      </w:pPr>
    </w:p>
    <w:p w14:paraId="4C25A5D9">
      <w:pPr>
        <w:pStyle w:val="5"/>
        <w:rPr>
          <w:rFonts w:hint="eastAsia" w:ascii="宋体" w:hAnsi="宋体" w:cs="宋体"/>
          <w:b/>
          <w:bCs/>
          <w:kern w:val="44"/>
          <w:sz w:val="36"/>
          <w:szCs w:val="36"/>
        </w:rPr>
      </w:pPr>
    </w:p>
    <w:p w14:paraId="4CB0C2EB">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8B312E0">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D8C5E23">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p>
    <w:p w14:paraId="3A6FDF7E">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36"/>
          <w:szCs w:val="36"/>
          <w:lang w:val="en-US" w:eastAsia="zh-CN" w:bidi="ar"/>
        </w:rPr>
        <w:t>特</w:t>
      </w:r>
      <w:r>
        <w:rPr>
          <w:rFonts w:hint="eastAsia" w:ascii="宋体" w:hAnsi="宋体" w:cs="宋体"/>
          <w:b/>
          <w:bCs/>
          <w:color w:val="000000"/>
          <w:kern w:val="0"/>
          <w:sz w:val="36"/>
          <w:szCs w:val="36"/>
          <w:lang w:val="en-US" w:eastAsia="zh-CN" w:bidi="ar"/>
        </w:rPr>
        <w:t xml:space="preserve"> </w:t>
      </w:r>
      <w:r>
        <w:rPr>
          <w:rFonts w:hint="eastAsia" w:ascii="宋体" w:hAnsi="宋体" w:eastAsia="宋体" w:cs="宋体"/>
          <w:b/>
          <w:bCs/>
          <w:color w:val="000000"/>
          <w:kern w:val="0"/>
          <w:sz w:val="36"/>
          <w:szCs w:val="36"/>
          <w:lang w:val="en-US" w:eastAsia="zh-CN" w:bidi="ar"/>
        </w:rPr>
        <w:t>别</w:t>
      </w:r>
      <w:r>
        <w:rPr>
          <w:rFonts w:hint="eastAsia" w:ascii="宋体" w:hAnsi="宋体" w:cs="宋体"/>
          <w:b/>
          <w:bCs/>
          <w:color w:val="000000"/>
          <w:kern w:val="0"/>
          <w:sz w:val="36"/>
          <w:szCs w:val="36"/>
          <w:lang w:val="en-US" w:eastAsia="zh-CN" w:bidi="ar"/>
        </w:rPr>
        <w:t xml:space="preserve"> </w:t>
      </w:r>
      <w:r>
        <w:rPr>
          <w:rFonts w:hint="eastAsia" w:ascii="宋体" w:hAnsi="宋体" w:eastAsia="宋体" w:cs="宋体"/>
          <w:b/>
          <w:bCs/>
          <w:color w:val="000000"/>
          <w:kern w:val="0"/>
          <w:sz w:val="36"/>
          <w:szCs w:val="36"/>
          <w:lang w:val="en-US" w:eastAsia="zh-CN" w:bidi="ar"/>
        </w:rPr>
        <w:t>提</w:t>
      </w:r>
      <w:r>
        <w:rPr>
          <w:rFonts w:hint="eastAsia" w:ascii="宋体" w:hAnsi="宋体" w:cs="宋体"/>
          <w:b/>
          <w:bCs/>
          <w:color w:val="000000"/>
          <w:kern w:val="0"/>
          <w:sz w:val="36"/>
          <w:szCs w:val="36"/>
          <w:lang w:val="en-US" w:eastAsia="zh-CN" w:bidi="ar"/>
        </w:rPr>
        <w:t xml:space="preserve"> </w:t>
      </w:r>
      <w:r>
        <w:rPr>
          <w:rFonts w:hint="eastAsia" w:ascii="宋体" w:hAnsi="宋体" w:eastAsia="宋体" w:cs="宋体"/>
          <w:b/>
          <w:bCs/>
          <w:color w:val="000000"/>
          <w:kern w:val="0"/>
          <w:sz w:val="36"/>
          <w:szCs w:val="36"/>
          <w:lang w:val="en-US" w:eastAsia="zh-CN" w:bidi="ar"/>
        </w:rPr>
        <w:t>示</w:t>
      </w:r>
    </w:p>
    <w:p w14:paraId="5219F42E">
      <w:pPr>
        <w:pStyle w:val="5"/>
        <w:rPr>
          <w:rFonts w:hint="eastAsia"/>
          <w:lang w:val="en-US" w:eastAsia="zh-CN"/>
        </w:rPr>
      </w:pP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56D413C8">
      <w:pPr>
        <w:pStyle w:val="5"/>
        <w:rPr>
          <w:rFonts w:hint="eastAsia" w:ascii="宋体" w:hAnsi="宋体" w:eastAsia="宋体" w:cs="宋体"/>
          <w:color w:val="000000"/>
          <w:kern w:val="0"/>
          <w:sz w:val="28"/>
          <w:szCs w:val="28"/>
          <w:lang w:val="en-US" w:eastAsia="zh-CN" w:bidi="ar"/>
        </w:rPr>
      </w:pPr>
    </w:p>
    <w:p w14:paraId="17A4FA92">
      <w:pPr>
        <w:pStyle w:val="5"/>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36"/>
        <w:ind w:left="0" w:leftChars="0" w:firstLine="0" w:firstLineChars="0"/>
        <w:rPr>
          <w:highlight w:val="none"/>
        </w:rPr>
      </w:pPr>
    </w:p>
    <w:p w14:paraId="384F1EAE">
      <w:pPr>
        <w:pStyle w:val="9"/>
        <w:rPr>
          <w:rFonts w:hint="eastAsia"/>
        </w:rPr>
      </w:pPr>
    </w:p>
    <w:p w14:paraId="7728C2FE">
      <w:pPr>
        <w:rPr>
          <w:rFonts w:hint="eastAsia"/>
        </w:rPr>
      </w:pPr>
    </w:p>
    <w:p w14:paraId="212D2F50">
      <w:pPr>
        <w:pStyle w:val="5"/>
        <w:rPr>
          <w:rFonts w:hint="eastAsia"/>
        </w:rPr>
      </w:pPr>
    </w:p>
    <w:p w14:paraId="4187CF00">
      <w:pPr>
        <w:pStyle w:val="5"/>
        <w:rPr>
          <w:rFonts w:hint="eastAsia"/>
        </w:rPr>
      </w:pPr>
    </w:p>
    <w:p w14:paraId="747CB720">
      <w:pPr>
        <w:pStyle w:val="5"/>
        <w:rPr>
          <w:rFonts w:hint="eastAsia"/>
        </w:rPr>
      </w:pPr>
    </w:p>
    <w:p w14:paraId="31F726EB">
      <w:pPr>
        <w:pStyle w:val="5"/>
        <w:rPr>
          <w:rFonts w:hint="eastAsia"/>
        </w:rPr>
      </w:pPr>
    </w:p>
    <w:p w14:paraId="06F0F816">
      <w:pPr>
        <w:pStyle w:val="5"/>
        <w:rPr>
          <w:rFonts w:hint="eastAsia"/>
        </w:rPr>
      </w:pPr>
    </w:p>
    <w:p w14:paraId="2DD41F4A">
      <w:pPr>
        <w:pStyle w:val="5"/>
        <w:rPr>
          <w:rFonts w:hint="eastAsia"/>
        </w:rPr>
      </w:pPr>
    </w:p>
    <w:p w14:paraId="7A53A8A8">
      <w:pPr>
        <w:pStyle w:val="5"/>
        <w:rPr>
          <w:rFonts w:hint="eastAsia"/>
        </w:rPr>
      </w:pPr>
    </w:p>
    <w:p w14:paraId="75E2C66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现对我院</w:t>
      </w:r>
      <w:r>
        <w:rPr>
          <w:rFonts w:hint="eastAsia" w:ascii="宋体" w:hAnsi="宋体" w:eastAsia="宋体" w:cs="宋体"/>
          <w:kern w:val="0"/>
          <w:sz w:val="24"/>
          <w:szCs w:val="24"/>
          <w:u w:val="single"/>
        </w:rPr>
        <w:t>中山大学孙逸仙纪念医</w:t>
      </w:r>
      <w:r>
        <w:rPr>
          <w:rFonts w:hint="eastAsia" w:ascii="宋体" w:hAnsi="宋体" w:eastAsia="宋体" w:cs="宋体"/>
          <w:color w:val="auto"/>
          <w:kern w:val="0"/>
          <w:sz w:val="24"/>
          <w:szCs w:val="24"/>
          <w:u w:val="single"/>
        </w:rPr>
        <w:t>院2026年度工程项目</w:t>
      </w:r>
      <w:r>
        <w:rPr>
          <w:rFonts w:hint="eastAsia" w:ascii="宋体" w:hAnsi="宋体" w:cs="宋体"/>
          <w:color w:val="auto"/>
          <w:kern w:val="0"/>
          <w:sz w:val="24"/>
          <w:szCs w:val="24"/>
          <w:u w:val="single"/>
          <w:lang w:val="en-US" w:eastAsia="zh-CN"/>
        </w:rPr>
        <w:t>监理</w:t>
      </w:r>
      <w:r>
        <w:rPr>
          <w:rFonts w:hint="eastAsia" w:ascii="宋体" w:hAnsi="宋体" w:eastAsia="宋体" w:cs="宋体"/>
          <w:color w:val="auto"/>
          <w:kern w:val="0"/>
          <w:sz w:val="24"/>
          <w:szCs w:val="24"/>
          <w:u w:val="single"/>
        </w:rPr>
        <w:t>服务</w:t>
      </w:r>
      <w:r>
        <w:rPr>
          <w:rFonts w:hint="eastAsia" w:ascii="宋体" w:hAnsi="宋体" w:eastAsia="宋体" w:cs="宋体"/>
          <w:color w:val="auto"/>
          <w:kern w:val="0"/>
          <w:sz w:val="24"/>
          <w:szCs w:val="24"/>
          <w:u w:val="single"/>
          <w:lang w:val="en-US" w:eastAsia="zh-CN"/>
        </w:rPr>
        <w:t>采购项目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3"/>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2" w:firstLineChars="200"/>
        <w:rPr>
          <w:rFonts w:hint="default" w:ascii="宋体" w:hAnsi="宋体" w:cs="宋体"/>
          <w:bCs/>
          <w:color w:val="auto"/>
          <w:sz w:val="24"/>
          <w:lang w:val="en-US" w:eastAsia="zh-CN"/>
        </w:rPr>
      </w:pPr>
      <w:r>
        <w:rPr>
          <w:rFonts w:hint="eastAsia" w:ascii="宋体" w:hAnsi="宋体" w:cs="宋体"/>
          <w:b/>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5130</w:t>
      </w:r>
    </w:p>
    <w:p w14:paraId="2B809F68">
      <w:pPr>
        <w:adjustRightInd w:val="0"/>
        <w:snapToGrid w:val="0"/>
        <w:spacing w:line="360" w:lineRule="exact"/>
        <w:ind w:firstLine="482" w:firstLineChars="200"/>
        <w:rPr>
          <w:rFonts w:hint="eastAsia" w:ascii="宋体" w:hAnsi="宋体" w:eastAsia="宋体" w:cs="SimSun-Identity-H"/>
          <w:kern w:val="0"/>
          <w:sz w:val="24"/>
          <w:szCs w:val="24"/>
          <w:lang w:eastAsia="zh-CN"/>
        </w:rPr>
      </w:pPr>
      <w:r>
        <w:rPr>
          <w:rFonts w:hint="eastAsia" w:ascii="宋体" w:hAnsi="宋体" w:cs="宋体"/>
          <w:b/>
          <w:sz w:val="24"/>
          <w:lang w:val="en-US" w:eastAsia="zh-CN"/>
        </w:rPr>
        <w:t>2、</w:t>
      </w:r>
      <w:r>
        <w:rPr>
          <w:rFonts w:hint="eastAsia" w:ascii="宋体" w:hAnsi="宋体" w:cs="宋体"/>
          <w:b/>
          <w:sz w:val="24"/>
        </w:rPr>
        <w:t>项目名称：</w:t>
      </w:r>
      <w:r>
        <w:rPr>
          <w:rFonts w:hint="eastAsia" w:ascii="宋体" w:hAnsi="宋体" w:eastAsia="宋体" w:cs="宋体"/>
          <w:kern w:val="0"/>
          <w:sz w:val="24"/>
          <w:szCs w:val="24"/>
          <w:u w:val="none"/>
        </w:rPr>
        <w:t>中山大学孙逸仙纪念医</w:t>
      </w:r>
      <w:r>
        <w:rPr>
          <w:rFonts w:hint="eastAsia" w:ascii="宋体" w:hAnsi="宋体" w:eastAsia="宋体" w:cs="宋体"/>
          <w:color w:val="auto"/>
          <w:kern w:val="0"/>
          <w:sz w:val="24"/>
          <w:szCs w:val="24"/>
          <w:u w:val="none"/>
        </w:rPr>
        <w:t>院2026年度工程项目</w:t>
      </w:r>
      <w:r>
        <w:rPr>
          <w:rFonts w:hint="eastAsia" w:ascii="宋体" w:hAnsi="宋体" w:cs="宋体"/>
          <w:color w:val="auto"/>
          <w:kern w:val="0"/>
          <w:sz w:val="24"/>
          <w:szCs w:val="24"/>
          <w:u w:val="none"/>
          <w:lang w:val="en-US" w:eastAsia="zh-CN"/>
        </w:rPr>
        <w:t>监理</w:t>
      </w:r>
      <w:r>
        <w:rPr>
          <w:rFonts w:hint="eastAsia" w:ascii="宋体" w:hAnsi="宋体" w:eastAsia="宋体" w:cs="宋体"/>
          <w:color w:val="auto"/>
          <w:kern w:val="0"/>
          <w:sz w:val="24"/>
          <w:szCs w:val="24"/>
          <w:u w:val="none"/>
        </w:rPr>
        <w:t>服务</w:t>
      </w:r>
      <w:r>
        <w:rPr>
          <w:rFonts w:hint="eastAsia" w:ascii="宋体" w:hAnsi="宋体" w:eastAsia="宋体" w:cs="宋体"/>
          <w:color w:val="auto"/>
          <w:kern w:val="0"/>
          <w:sz w:val="24"/>
          <w:szCs w:val="24"/>
          <w:u w:val="none"/>
          <w:lang w:val="en-US" w:eastAsia="zh-CN"/>
        </w:rPr>
        <w:t>采购项目</w:t>
      </w:r>
    </w:p>
    <w:p w14:paraId="6DDC0C56">
      <w:pPr>
        <w:pStyle w:val="3"/>
        <w:ind w:firstLine="482" w:firstLineChars="200"/>
        <w:rPr>
          <w:rFonts w:hint="default"/>
          <w:sz w:val="24"/>
          <w:szCs w:val="24"/>
          <w:highlight w:val="none"/>
          <w:lang w:val="en-US"/>
        </w:rPr>
      </w:pPr>
      <w:r>
        <w:rPr>
          <w:rFonts w:hint="eastAsia" w:ascii="宋体" w:hAnsi="宋体" w:cs="宋体"/>
          <w:b/>
          <w:bCs/>
          <w:sz w:val="24"/>
          <w:szCs w:val="24"/>
          <w:highlight w:val="none"/>
          <w:lang w:val="en-US" w:eastAsia="zh-CN"/>
        </w:rPr>
        <w:t>3、</w:t>
      </w:r>
      <w:r>
        <w:rPr>
          <w:rFonts w:hint="eastAsia" w:ascii="宋体" w:hAnsi="宋体" w:cs="宋体"/>
          <w:b/>
          <w:bCs/>
          <w:sz w:val="24"/>
          <w:szCs w:val="24"/>
          <w:highlight w:val="none"/>
        </w:rPr>
        <w:t>项目地</w:t>
      </w:r>
      <w:r>
        <w:rPr>
          <w:rFonts w:hint="eastAsia" w:ascii="宋体" w:hAnsi="宋体" w:eastAsia="宋体" w:cs="SimSun-Identity-H"/>
          <w:b/>
          <w:bCs/>
          <w:kern w:val="0"/>
          <w:sz w:val="24"/>
          <w:szCs w:val="24"/>
          <w:highlight w:val="none"/>
          <w:lang w:val="en-US" w:eastAsia="zh-CN" w:bidi="ar-SA"/>
        </w:rPr>
        <w:t>点：</w:t>
      </w:r>
      <w:r>
        <w:rPr>
          <w:rFonts w:hint="eastAsia" w:ascii="宋体" w:hAnsi="宋体" w:eastAsia="宋体" w:cs="宋体"/>
          <w:kern w:val="0"/>
          <w:sz w:val="24"/>
          <w:szCs w:val="24"/>
          <w:u w:val="none"/>
        </w:rPr>
        <w:t>中山大学孙逸仙纪念医院</w:t>
      </w:r>
      <w:r>
        <w:rPr>
          <w:rFonts w:hint="eastAsia" w:ascii="宋体" w:hAnsi="宋体" w:eastAsia="宋体" w:cs="宋体"/>
          <w:bCs/>
          <w:sz w:val="24"/>
          <w:lang w:val="en-US" w:eastAsia="zh-CN"/>
        </w:rPr>
        <w:t>北院区、南院区、花都院区以及医院其他物业</w:t>
      </w:r>
      <w:r>
        <w:rPr>
          <w:rFonts w:hint="eastAsia" w:ascii="宋体" w:hAnsi="宋体" w:cs="宋体"/>
          <w:bCs/>
          <w:sz w:val="24"/>
          <w:lang w:val="en-US" w:eastAsia="zh-CN"/>
        </w:rPr>
        <w:t>（包括租赁物业）等</w:t>
      </w:r>
    </w:p>
    <w:p w14:paraId="6EEF7D54">
      <w:pPr>
        <w:ind w:firstLine="482" w:firstLineChars="200"/>
        <w:rPr>
          <w:rFonts w:hint="eastAsia" w:hAnsi="宋体" w:cs="宋体"/>
          <w:bCs/>
          <w:color w:val="auto"/>
          <w:sz w:val="24"/>
          <w:highlight w:val="none"/>
        </w:rPr>
      </w:pPr>
      <w:r>
        <w:rPr>
          <w:rFonts w:hint="eastAsia" w:ascii="宋体" w:hAnsi="宋体" w:cs="宋体"/>
          <w:b/>
          <w:sz w:val="24"/>
          <w:highlight w:val="none"/>
          <w:lang w:val="en-US" w:eastAsia="zh-CN"/>
        </w:rPr>
        <w:t>4、</w:t>
      </w:r>
      <w:r>
        <w:rPr>
          <w:rFonts w:hint="eastAsia" w:hAnsi="宋体" w:cs="宋体"/>
          <w:b/>
          <w:bCs/>
          <w:sz w:val="24"/>
          <w:highlight w:val="none"/>
        </w:rPr>
        <w:t>采购方式：</w:t>
      </w:r>
      <w:r>
        <w:rPr>
          <w:rFonts w:hint="eastAsia" w:hAnsi="宋体" w:cs="宋体"/>
          <w:bCs/>
          <w:sz w:val="24"/>
          <w:highlight w:val="none"/>
        </w:rPr>
        <w:t>公开</w:t>
      </w:r>
      <w:r>
        <w:rPr>
          <w:rFonts w:hint="eastAsia" w:hAnsi="宋体" w:cs="宋体"/>
          <w:bCs/>
          <w:color w:val="auto"/>
          <w:sz w:val="24"/>
          <w:highlight w:val="none"/>
        </w:rPr>
        <w:t>比选</w:t>
      </w:r>
    </w:p>
    <w:p w14:paraId="53DEA50A">
      <w:pPr>
        <w:spacing w:line="300" w:lineRule="auto"/>
        <w:ind w:firstLine="482" w:firstLineChars="200"/>
        <w:rPr>
          <w:rFonts w:hint="default" w:ascii="宋体" w:hAnsi="宋体" w:eastAsia="宋体" w:cs="宋体"/>
          <w:color w:val="auto"/>
          <w:kern w:val="0"/>
          <w:sz w:val="24"/>
          <w:szCs w:val="24"/>
          <w:u w:val="none"/>
          <w:lang w:val="en-US" w:eastAsia="zh-CN"/>
        </w:rPr>
      </w:pPr>
      <w:r>
        <w:rPr>
          <w:rFonts w:hint="eastAsia" w:ascii="宋体" w:hAnsi="宋体" w:cs="宋体"/>
          <w:b/>
          <w:color w:val="auto"/>
          <w:sz w:val="24"/>
          <w:highlight w:val="none"/>
          <w:lang w:val="en-US" w:eastAsia="zh-CN"/>
        </w:rPr>
        <w:t>5、</w:t>
      </w:r>
      <w:r>
        <w:rPr>
          <w:rFonts w:hint="eastAsia" w:hAnsi="宋体" w:cs="宋体"/>
          <w:b/>
          <w:bCs w:val="0"/>
          <w:color w:val="auto"/>
          <w:sz w:val="24"/>
          <w:highlight w:val="none"/>
          <w:lang w:val="en-US" w:eastAsia="zh-CN"/>
        </w:rPr>
        <w:t>预算金额：</w:t>
      </w:r>
      <w:r>
        <w:rPr>
          <w:rFonts w:hint="eastAsia" w:ascii="宋体" w:hAnsi="宋体" w:eastAsia="宋体" w:cs="宋体"/>
          <w:color w:val="auto"/>
          <w:kern w:val="0"/>
          <w:sz w:val="24"/>
          <w:szCs w:val="24"/>
          <w:highlight w:val="none"/>
          <w:u w:val="none"/>
        </w:rPr>
        <w:t>63</w:t>
      </w:r>
      <w:r>
        <w:rPr>
          <w:rFonts w:hint="eastAsia" w:ascii="宋体" w:hAnsi="宋体" w:cs="宋体"/>
          <w:color w:val="auto"/>
          <w:kern w:val="0"/>
          <w:sz w:val="24"/>
          <w:szCs w:val="24"/>
          <w:highlight w:val="none"/>
          <w:u w:val="none"/>
          <w:lang w:val="en-US" w:eastAsia="zh-CN"/>
        </w:rPr>
        <w:t>.</w:t>
      </w:r>
      <w:r>
        <w:rPr>
          <w:rFonts w:hint="eastAsia" w:ascii="宋体" w:hAnsi="宋体" w:eastAsia="宋体" w:cs="宋体"/>
          <w:color w:val="auto"/>
          <w:kern w:val="0"/>
          <w:sz w:val="24"/>
          <w:szCs w:val="24"/>
          <w:highlight w:val="none"/>
          <w:u w:val="none"/>
        </w:rPr>
        <w:t>7</w:t>
      </w:r>
      <w:r>
        <w:rPr>
          <w:rFonts w:hint="eastAsia" w:ascii="宋体" w:hAnsi="宋体" w:cs="宋体"/>
          <w:color w:val="auto"/>
          <w:kern w:val="0"/>
          <w:sz w:val="24"/>
          <w:szCs w:val="24"/>
          <w:highlight w:val="none"/>
          <w:u w:val="none"/>
          <w:lang w:val="en-US" w:eastAsia="zh-CN"/>
        </w:rPr>
        <w:t>9万元</w:t>
      </w:r>
    </w:p>
    <w:p w14:paraId="317811C7">
      <w:pPr>
        <w:keepNext w:val="0"/>
        <w:keepLines w:val="0"/>
        <w:widowControl/>
        <w:suppressLineNumbers w:val="0"/>
        <w:ind w:firstLine="482" w:firstLineChars="200"/>
        <w:jc w:val="left"/>
        <w:rPr>
          <w:rFonts w:hint="eastAsia" w:ascii="宋体" w:hAnsi="宋体" w:eastAsia="宋体" w:cs="宋体"/>
          <w:bCs/>
          <w:color w:val="auto"/>
          <w:kern w:val="2"/>
          <w:sz w:val="24"/>
          <w:szCs w:val="24"/>
          <w:highlight w:val="none"/>
          <w:lang w:val="en-US" w:eastAsia="zh-CN" w:bidi="ar-SA"/>
        </w:rPr>
      </w:pPr>
      <w:r>
        <w:rPr>
          <w:rFonts w:hint="eastAsia" w:ascii="宋体" w:hAnsi="宋体" w:cs="宋体"/>
          <w:b/>
          <w:color w:val="auto"/>
          <w:sz w:val="24"/>
          <w:highlight w:val="none"/>
          <w:lang w:val="en-US" w:eastAsia="zh-CN"/>
        </w:rPr>
        <w:t>6、最高限价：</w:t>
      </w:r>
      <w:r>
        <w:rPr>
          <w:rFonts w:hint="eastAsia" w:ascii="宋体" w:hAnsi="宋体" w:eastAsia="宋体" w:cs="宋体"/>
          <w:bCs/>
          <w:color w:val="auto"/>
          <w:kern w:val="2"/>
          <w:sz w:val="24"/>
          <w:szCs w:val="24"/>
          <w:highlight w:val="none"/>
          <w:lang w:val="en-US" w:eastAsia="zh-CN" w:bidi="ar-SA"/>
        </w:rPr>
        <w:t>监理服务费率最高限价为2.16%</w:t>
      </w:r>
      <w:r>
        <w:rPr>
          <w:rFonts w:hint="eastAsia" w:ascii="宋体" w:hAnsi="宋体" w:cs="宋体"/>
          <w:bCs/>
          <w:color w:val="auto"/>
          <w:kern w:val="2"/>
          <w:sz w:val="24"/>
          <w:szCs w:val="24"/>
          <w:highlight w:val="none"/>
          <w:lang w:val="en-US" w:eastAsia="zh-CN" w:bidi="ar-SA"/>
        </w:rPr>
        <w:t>。2026年</w:t>
      </w:r>
      <w:r>
        <w:rPr>
          <w:rFonts w:hint="eastAsia" w:ascii="宋体" w:hAnsi="宋体" w:eastAsia="宋体" w:cs="宋体"/>
          <w:bCs/>
          <w:color w:val="auto"/>
          <w:kern w:val="2"/>
          <w:sz w:val="24"/>
          <w:szCs w:val="24"/>
          <w:highlight w:val="none"/>
          <w:lang w:val="en-US" w:eastAsia="zh-CN" w:bidi="ar-SA"/>
        </w:rPr>
        <w:t>本项目暂定工程费</w:t>
      </w:r>
      <w:r>
        <w:rPr>
          <w:rFonts w:hint="eastAsia" w:ascii="宋体" w:hAnsi="宋体" w:cs="宋体"/>
          <w:bCs/>
          <w:color w:val="auto"/>
          <w:kern w:val="2"/>
          <w:sz w:val="24"/>
          <w:szCs w:val="24"/>
          <w:highlight w:val="none"/>
          <w:lang w:val="en-US" w:eastAsia="zh-CN" w:bidi="ar-SA"/>
        </w:rPr>
        <w:t>2953</w:t>
      </w:r>
      <w:r>
        <w:rPr>
          <w:rFonts w:hint="eastAsia" w:ascii="宋体" w:hAnsi="宋体" w:eastAsia="宋体" w:cs="宋体"/>
          <w:bCs/>
          <w:color w:val="auto"/>
          <w:kern w:val="2"/>
          <w:sz w:val="24"/>
          <w:szCs w:val="24"/>
          <w:highlight w:val="none"/>
          <w:lang w:val="en-US" w:eastAsia="zh-CN" w:bidi="ar-SA"/>
        </w:rPr>
        <w:t>万元，各项目监理费合计预算金额为</w:t>
      </w:r>
      <w:r>
        <w:rPr>
          <w:rFonts w:hint="eastAsia" w:ascii="宋体" w:hAnsi="宋体" w:cs="宋体"/>
          <w:bCs/>
          <w:color w:val="auto"/>
          <w:kern w:val="2"/>
          <w:sz w:val="24"/>
          <w:szCs w:val="24"/>
          <w:highlight w:val="none"/>
          <w:lang w:val="en-US" w:eastAsia="zh-CN" w:bidi="ar-SA"/>
        </w:rPr>
        <w:t>6</w:t>
      </w:r>
      <w:r>
        <w:rPr>
          <w:rFonts w:hint="eastAsia" w:ascii="宋体" w:hAnsi="宋体" w:eastAsia="宋体" w:cs="宋体"/>
          <w:bCs/>
          <w:color w:val="auto"/>
          <w:kern w:val="2"/>
          <w:sz w:val="24"/>
          <w:szCs w:val="24"/>
          <w:highlight w:val="none"/>
          <w:lang w:val="en-US" w:eastAsia="zh-CN" w:bidi="ar-SA"/>
        </w:rPr>
        <w:t>3.79万元，监理费费率=监理费/暂定工程费。</w:t>
      </w:r>
    </w:p>
    <w:p w14:paraId="3E7E35BD">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ascii="宋体" w:hAnsi="宋体" w:eastAsia="宋体" w:cs="宋体"/>
          <w:bCs/>
          <w:color w:val="auto"/>
          <w:sz w:val="24"/>
          <w:lang w:val="zh-CN" w:eastAsia="zh-CN"/>
        </w:rPr>
      </w:pPr>
      <w:r>
        <w:rPr>
          <w:rFonts w:hint="eastAsia" w:hAnsi="宋体" w:cs="宋体"/>
          <w:b/>
          <w:bCs/>
          <w:color w:val="auto"/>
          <w:sz w:val="24"/>
          <w:highlight w:val="none"/>
          <w:lang w:val="en-US" w:eastAsia="zh-CN"/>
        </w:rPr>
        <w:t>7、</w:t>
      </w:r>
      <w:r>
        <w:rPr>
          <w:rFonts w:hint="eastAsia" w:hAnsi="宋体" w:cs="宋体"/>
          <w:b/>
          <w:bCs/>
          <w:color w:val="auto"/>
          <w:sz w:val="24"/>
          <w:highlight w:val="none"/>
        </w:rPr>
        <w:t>项目内容</w:t>
      </w:r>
      <w:r>
        <w:rPr>
          <w:rFonts w:hint="eastAsia" w:hAnsi="宋体" w:cs="宋体"/>
          <w:b/>
          <w:bCs/>
          <w:color w:val="auto"/>
          <w:sz w:val="24"/>
        </w:rPr>
        <w:t>：</w:t>
      </w:r>
      <w:r>
        <w:rPr>
          <w:rFonts w:hint="eastAsia" w:ascii="宋体" w:hAnsi="宋体" w:cs="宋体"/>
          <w:bCs/>
          <w:color w:val="auto"/>
          <w:sz w:val="24"/>
          <w:lang w:val="en-US" w:eastAsia="zh-CN"/>
        </w:rPr>
        <w:t>见第二章用户需求书</w:t>
      </w:r>
      <w:r>
        <w:rPr>
          <w:rFonts w:hint="eastAsia" w:ascii="宋体" w:hAnsi="宋体" w:eastAsia="宋体" w:cs="宋体"/>
          <w:bCs/>
          <w:color w:val="auto"/>
          <w:sz w:val="24"/>
          <w:lang w:val="en-US" w:eastAsia="zh-CN"/>
        </w:rPr>
        <w:t>。</w:t>
      </w:r>
    </w:p>
    <w:p w14:paraId="21E285D8">
      <w:pPr>
        <w:pStyle w:val="36"/>
        <w:numPr>
          <w:ilvl w:val="0"/>
          <w:numId w:val="0"/>
        </w:numPr>
        <w:snapToGrid w:val="0"/>
        <w:spacing w:line="360" w:lineRule="exact"/>
        <w:ind w:left="0" w:leftChars="0" w:firstLine="482" w:firstLineChars="200"/>
        <w:rPr>
          <w:rFonts w:hint="eastAsia" w:ascii="宋体" w:hAnsi="宋体" w:cs="宋体"/>
          <w:bCs/>
          <w:color w:val="auto"/>
          <w:sz w:val="24"/>
          <w:highlight w:val="none"/>
          <w:lang w:val="en-US" w:eastAsia="zh-CN"/>
        </w:rPr>
      </w:pPr>
      <w:r>
        <w:rPr>
          <w:rFonts w:hint="eastAsia" w:ascii="宋体" w:hAnsi="宋体" w:cs="宋体"/>
          <w:b/>
          <w:bCs/>
          <w:sz w:val="24"/>
          <w:lang w:val="en-US" w:eastAsia="zh-CN"/>
        </w:rPr>
        <w:t>8、</w:t>
      </w:r>
      <w:r>
        <w:rPr>
          <w:rFonts w:hint="eastAsia" w:ascii="宋体" w:hAnsi="宋体" w:cs="宋体"/>
          <w:b/>
          <w:bCs/>
          <w:color w:val="auto"/>
          <w:sz w:val="24"/>
          <w:highlight w:val="none"/>
          <w:lang w:eastAsia="zh-CN"/>
        </w:rPr>
        <w:t>项目</w:t>
      </w:r>
      <w:r>
        <w:rPr>
          <w:rFonts w:hint="eastAsia" w:ascii="宋体" w:hAnsi="宋体" w:cs="宋体"/>
          <w:b/>
          <w:bCs/>
          <w:color w:val="auto"/>
          <w:sz w:val="24"/>
          <w:highlight w:val="none"/>
          <w:lang w:val="en-US" w:eastAsia="zh-CN"/>
        </w:rPr>
        <w:t>服务</w:t>
      </w:r>
      <w:r>
        <w:rPr>
          <w:rFonts w:hint="eastAsia" w:ascii="宋体" w:hAnsi="宋体" w:cs="宋体"/>
          <w:b/>
          <w:bCs/>
          <w:color w:val="auto"/>
          <w:sz w:val="24"/>
          <w:highlight w:val="none"/>
          <w:lang w:eastAsia="zh-CN"/>
        </w:rPr>
        <w:t>期</w:t>
      </w:r>
      <w:r>
        <w:rPr>
          <w:rFonts w:hint="eastAsia" w:ascii="宋体" w:hAnsi="宋体" w:cs="宋体"/>
          <w:b/>
          <w:bCs/>
          <w:color w:val="auto"/>
          <w:sz w:val="24"/>
          <w:szCs w:val="20"/>
          <w:highlight w:val="none"/>
        </w:rPr>
        <w:t>：</w:t>
      </w:r>
      <w:r>
        <w:rPr>
          <w:rFonts w:hint="eastAsia" w:ascii="宋体" w:hAnsi="宋体" w:cs="宋体"/>
          <w:b w:val="0"/>
          <w:bCs w:val="0"/>
          <w:color w:val="auto"/>
          <w:sz w:val="24"/>
          <w:szCs w:val="20"/>
          <w:highlight w:val="none"/>
          <w:lang w:val="en-US" w:eastAsia="zh-CN"/>
        </w:rPr>
        <w:t>监理委托期限自</w:t>
      </w:r>
      <w:r>
        <w:rPr>
          <w:rFonts w:hint="eastAsia" w:ascii="宋体" w:hAnsi="宋体" w:cs="宋体"/>
          <w:bCs/>
          <w:color w:val="auto"/>
          <w:sz w:val="24"/>
          <w:highlight w:val="none"/>
          <w:lang w:val="en-US" w:eastAsia="zh-CN"/>
        </w:rPr>
        <w:t>2026年1月1日至2026年12月31日</w:t>
      </w:r>
      <w:r>
        <w:rPr>
          <w:rFonts w:hint="eastAsia" w:ascii="宋体" w:hAnsi="宋体" w:cs="宋体"/>
          <w:bCs/>
          <w:color w:val="auto"/>
          <w:sz w:val="24"/>
          <w:highlight w:val="none"/>
        </w:rPr>
        <w:t>，</w:t>
      </w:r>
      <w:r>
        <w:rPr>
          <w:rFonts w:hint="eastAsia" w:ascii="宋体" w:hAnsi="宋体" w:cs="宋体"/>
          <w:color w:val="auto"/>
          <w:sz w:val="24"/>
          <w:szCs w:val="24"/>
          <w:highlight w:val="none"/>
          <w:lang w:val="en-US" w:eastAsia="zh-CN"/>
        </w:rPr>
        <w:t>或累计实际结算款项达到本项目的采购预算时止</w:t>
      </w:r>
      <w:r>
        <w:rPr>
          <w:rFonts w:hint="eastAsia" w:ascii="宋体" w:hAnsi="宋体" w:eastAsia="宋体" w:cs="宋体"/>
          <w:color w:val="auto"/>
          <w:sz w:val="24"/>
          <w:szCs w:val="24"/>
          <w:highlight w:val="none"/>
        </w:rPr>
        <w:t>。具体项目</w:t>
      </w:r>
      <w:r>
        <w:rPr>
          <w:rFonts w:hint="eastAsia" w:ascii="宋体" w:hAnsi="宋体" w:cs="宋体"/>
          <w:color w:val="auto"/>
          <w:sz w:val="24"/>
          <w:szCs w:val="24"/>
          <w:highlight w:val="none"/>
          <w:lang w:val="en-US" w:eastAsia="zh-CN"/>
        </w:rPr>
        <w:t>服务时间到</w:t>
      </w:r>
      <w:r>
        <w:rPr>
          <w:rFonts w:hint="eastAsia" w:ascii="宋体" w:hAnsi="宋体" w:cs="宋体"/>
          <w:bCs/>
          <w:color w:val="auto"/>
          <w:sz w:val="24"/>
          <w:highlight w:val="none"/>
          <w:lang w:val="zh-CN"/>
        </w:rPr>
        <w:t>项目工程竣工验收合格并投入使用为止</w:t>
      </w:r>
      <w:r>
        <w:rPr>
          <w:rFonts w:hint="eastAsia" w:ascii="宋体" w:hAnsi="宋体" w:cs="宋体"/>
          <w:bCs/>
          <w:color w:val="auto"/>
          <w:sz w:val="24"/>
          <w:highlight w:val="none"/>
          <w:lang w:val="en-US" w:eastAsia="zh-CN"/>
        </w:rPr>
        <w:t>。</w:t>
      </w:r>
    </w:p>
    <w:p w14:paraId="755CC024">
      <w:pPr>
        <w:pStyle w:val="20"/>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36"/>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36"/>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36"/>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36"/>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36"/>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36"/>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6E3EF834">
      <w:pPr>
        <w:pStyle w:val="36"/>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0AECDE5C">
      <w:pPr>
        <w:pStyle w:val="36"/>
        <w:adjustRightInd w:val="0"/>
        <w:snapToGrid w:val="0"/>
        <w:spacing w:line="360" w:lineRule="exact"/>
        <w:ind w:firstLine="480"/>
        <w:jc w:val="left"/>
        <w:rPr>
          <w:rFonts w:hint="eastAsia" w:ascii="宋体" w:hAnsi="宋体" w:eastAsia="宋体" w:cs="宋体"/>
          <w:color w:val="auto"/>
          <w:sz w:val="24"/>
          <w:szCs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eastAsia="宋体" w:cs="宋体"/>
          <w:color w:val="auto"/>
          <w:sz w:val="24"/>
          <w:szCs w:val="24"/>
        </w:rPr>
        <w:t>活动。</w:t>
      </w:r>
    </w:p>
    <w:p w14:paraId="62D36E23">
      <w:pPr>
        <w:pStyle w:val="36"/>
        <w:adjustRightInd w:val="0"/>
        <w:snapToGrid w:val="0"/>
        <w:spacing w:line="360" w:lineRule="exact"/>
        <w:ind w:firstLine="480"/>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r>
        <w:rPr>
          <w:rFonts w:hint="eastAsia" w:ascii="宋体" w:hAnsi="宋体" w:cs="宋体"/>
          <w:sz w:val="24"/>
        </w:rPr>
        <w:t>为采购项目提供整体设计、规范编制或者项目管理、监理、检测等服务的供应商，不得再参加该采购项目的其他采购活动。</w:t>
      </w:r>
    </w:p>
    <w:p w14:paraId="61072E3E">
      <w:pPr>
        <w:pStyle w:val="36"/>
        <w:adjustRightInd w:val="0"/>
        <w:snapToGrid w:val="0"/>
        <w:spacing w:line="360" w:lineRule="exact"/>
        <w:ind w:firstLine="480"/>
        <w:jc w:val="left"/>
        <w:rPr>
          <w:rFonts w:hint="eastAsia" w:ascii="宋体" w:hAnsi="宋体" w:eastAsia="宋体" w:cs="宋体"/>
          <w:color w:val="auto"/>
          <w:sz w:val="24"/>
          <w:szCs w:val="24"/>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供应商</w:t>
      </w:r>
      <w:r>
        <w:rPr>
          <w:rFonts w:hint="eastAsia" w:ascii="宋体" w:hAnsi="宋体" w:eastAsia="宋体" w:cs="宋体"/>
          <w:color w:val="auto"/>
          <w:sz w:val="24"/>
          <w:szCs w:val="24"/>
          <w:lang w:val="en-US" w:eastAsia="zh-CN"/>
        </w:rPr>
        <w:t>须具备</w:t>
      </w:r>
      <w:r>
        <w:rPr>
          <w:rFonts w:hint="eastAsia" w:ascii="宋体" w:hAnsi="宋体" w:cs="宋体"/>
          <w:sz w:val="24"/>
        </w:rPr>
        <w:t>工程</w:t>
      </w:r>
      <w:r>
        <w:rPr>
          <w:rFonts w:hint="eastAsia" w:ascii="宋体" w:hAnsi="宋体" w:cs="宋体"/>
          <w:color w:val="auto"/>
          <w:sz w:val="24"/>
        </w:rPr>
        <w:t>监理综合资质或房屋建筑工程监理</w:t>
      </w:r>
      <w:r>
        <w:rPr>
          <w:rFonts w:hint="eastAsia" w:ascii="宋体" w:hAnsi="宋体" w:cs="宋体"/>
          <w:color w:val="auto"/>
          <w:sz w:val="24"/>
          <w:lang w:val="en-US" w:eastAsia="zh-CN"/>
        </w:rPr>
        <w:t>专业</w:t>
      </w:r>
      <w:r>
        <w:rPr>
          <w:rFonts w:hint="eastAsia" w:ascii="宋体" w:hAnsi="宋体" w:cs="宋体"/>
          <w:color w:val="auto"/>
          <w:sz w:val="24"/>
        </w:rPr>
        <w:t>乙级(或以上）资质</w:t>
      </w:r>
      <w:r>
        <w:rPr>
          <w:rFonts w:hint="eastAsia" w:ascii="宋体" w:hAnsi="宋体" w:eastAsia="宋体" w:cs="宋体"/>
          <w:color w:val="auto"/>
          <w:sz w:val="24"/>
          <w:szCs w:val="24"/>
        </w:rPr>
        <w:t>。</w:t>
      </w:r>
    </w:p>
    <w:p w14:paraId="6C5B75EA">
      <w:pPr>
        <w:pStyle w:val="36"/>
        <w:adjustRightInd w:val="0"/>
        <w:snapToGrid w:val="0"/>
        <w:spacing w:line="360" w:lineRule="exact"/>
        <w:ind w:firstLine="480"/>
        <w:jc w:val="left"/>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cs="宋体"/>
          <w:color w:val="auto"/>
          <w:sz w:val="24"/>
        </w:rPr>
        <w:t>拟派总监理工程师：具</w:t>
      </w:r>
      <w:r>
        <w:rPr>
          <w:rFonts w:hint="eastAsia" w:ascii="宋体" w:hAnsi="宋体" w:eastAsia="宋体" w:cs="宋体"/>
          <w:color w:val="auto"/>
          <w:sz w:val="24"/>
          <w:szCs w:val="24"/>
          <w:lang w:val="en-US" w:eastAsia="zh-CN"/>
        </w:rPr>
        <w:t>备</w:t>
      </w:r>
      <w:r>
        <w:rPr>
          <w:rFonts w:hint="eastAsia" w:ascii="宋体" w:hAnsi="宋体" w:eastAsia="宋体" w:cs="宋体"/>
          <w:color w:val="auto"/>
          <w:sz w:val="24"/>
          <w:szCs w:val="24"/>
          <w:highlight w:val="none"/>
          <w:lang w:val="en-US" w:eastAsia="zh-CN"/>
        </w:rPr>
        <w:t>建设部 2006 年 4 月 1 日后颁发</w:t>
      </w:r>
      <w:r>
        <w:rPr>
          <w:rFonts w:hint="eastAsia" w:ascii="宋体" w:hAnsi="宋体" w:cs="宋体"/>
          <w:color w:val="auto"/>
          <w:sz w:val="24"/>
          <w:szCs w:val="24"/>
          <w:lang w:val="en-US" w:eastAsia="zh-CN"/>
        </w:rPr>
        <w:t>的</w:t>
      </w:r>
      <w:r>
        <w:rPr>
          <w:rFonts w:hint="eastAsia" w:ascii="宋体" w:hAnsi="宋体" w:eastAsia="宋体" w:cs="宋体"/>
          <w:color w:val="auto"/>
          <w:sz w:val="24"/>
          <w:szCs w:val="24"/>
          <w:lang w:val="en-US" w:eastAsia="zh-CN"/>
        </w:rPr>
        <w:t>中华人民共</w:t>
      </w:r>
      <w:r>
        <w:rPr>
          <w:rFonts w:hint="eastAsia" w:ascii="宋体" w:hAnsi="宋体" w:cs="宋体"/>
          <w:color w:val="auto"/>
          <w:sz w:val="24"/>
        </w:rPr>
        <w:t>和国注册监理工程师注册执业证书，且其</w:t>
      </w:r>
      <w:r>
        <w:rPr>
          <w:rFonts w:hint="eastAsia" w:ascii="宋体" w:hAnsi="宋体" w:cs="宋体"/>
          <w:sz w:val="24"/>
        </w:rPr>
        <w:t>注册专业为房屋建筑工程，注册执业单位为本公司</w:t>
      </w:r>
      <w:r>
        <w:rPr>
          <w:rFonts w:hint="eastAsia" w:ascii="宋体" w:hAnsi="宋体" w:eastAsia="宋体" w:cs="宋体"/>
          <w:color w:val="auto"/>
          <w:sz w:val="24"/>
          <w:szCs w:val="24"/>
          <w:lang w:val="en-US" w:eastAsia="zh-CN"/>
        </w:rPr>
        <w:t>。提供响应截止日前三个月内任一月份由供应商缴纳的社保证明。</w:t>
      </w:r>
    </w:p>
    <w:p w14:paraId="3E8AF43A">
      <w:pPr>
        <w:pStyle w:val="36"/>
        <w:adjustRightInd w:val="0"/>
        <w:snapToGrid w:val="0"/>
        <w:spacing w:line="360" w:lineRule="exact"/>
        <w:ind w:firstLine="480"/>
        <w:jc w:val="left"/>
        <w:rPr>
          <w:rFonts w:hint="eastAsia" w:ascii="宋体" w:hAnsi="宋体" w:cs="宋体"/>
          <w:sz w:val="24"/>
        </w:rPr>
      </w:pP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cs="宋体"/>
          <w:color w:val="auto"/>
          <w:sz w:val="24"/>
        </w:rPr>
        <w:t>供</w:t>
      </w:r>
      <w:r>
        <w:rPr>
          <w:rFonts w:hint="eastAsia" w:ascii="宋体" w:hAnsi="宋体" w:cs="宋体"/>
          <w:sz w:val="24"/>
        </w:rPr>
        <w:t>应商不得分包、转包。</w:t>
      </w:r>
    </w:p>
    <w:p w14:paraId="2D09D728">
      <w:pPr>
        <w:pStyle w:val="36"/>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9、</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20"/>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20"/>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36"/>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20"/>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32"/>
          <w:rFonts w:hint="eastAsia" w:hAnsi="宋体" w:cs="宋体"/>
          <w:bCs/>
          <w:color w:val="000000"/>
          <w:sz w:val="24"/>
          <w:szCs w:val="24"/>
          <w:lang w:eastAsia="zh-CN"/>
        </w:rPr>
        <w:t>报名</w:t>
      </w:r>
      <w:r>
        <w:rPr>
          <w:rStyle w:val="32"/>
          <w:rFonts w:hint="eastAsia" w:hAnsi="宋体" w:cs="宋体"/>
          <w:bCs/>
          <w:color w:val="000000"/>
          <w:sz w:val="24"/>
          <w:szCs w:val="24"/>
        </w:rPr>
        <w:t>资料</w:t>
      </w:r>
      <w:r>
        <w:rPr>
          <w:rStyle w:val="32"/>
          <w:rFonts w:hint="eastAsia" w:hAnsi="宋体" w:cs="宋体"/>
          <w:bCs/>
          <w:color w:val="000000"/>
          <w:sz w:val="24"/>
          <w:szCs w:val="24"/>
          <w:lang w:eastAsia="zh-CN"/>
        </w:rPr>
        <w:t>提交的</w:t>
      </w:r>
      <w:r>
        <w:rPr>
          <w:rStyle w:val="32"/>
          <w:rFonts w:hint="eastAsia" w:hAnsi="宋体" w:cs="宋体"/>
          <w:bCs/>
          <w:color w:val="000000"/>
          <w:sz w:val="24"/>
          <w:szCs w:val="24"/>
        </w:rPr>
        <w:t>相关事项：</w:t>
      </w:r>
    </w:p>
    <w:p w14:paraId="7565570E">
      <w:pPr>
        <w:pStyle w:val="36"/>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36"/>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36"/>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36"/>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0000FF"/>
          <w:sz w:val="24"/>
          <w:lang w:val="en-US" w:eastAsia="zh-CN"/>
        </w:rPr>
        <w:t>2025年11月4日17:00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36"/>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36"/>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36"/>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36"/>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36"/>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36"/>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36"/>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36"/>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联系地址：广州市越秀区长堤大马路171号一方长堤健康产业中心907室</w:t>
      </w:r>
    </w:p>
    <w:p w14:paraId="2AB53453">
      <w:pPr>
        <w:pStyle w:val="36"/>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A9829A2">
      <w:pPr>
        <w:pStyle w:val="36"/>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五</w:t>
      </w:r>
      <w:r>
        <w:rPr>
          <w:rFonts w:hint="eastAsia" w:ascii="宋体" w:hAnsi="宋体" w:cs="宋体"/>
          <w:b/>
          <w:bCs/>
          <w:sz w:val="24"/>
        </w:rPr>
        <w:t>、公告期限：</w:t>
      </w:r>
    </w:p>
    <w:p w14:paraId="03D96967">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自本公告发布之日起5个工作日。</w:t>
      </w:r>
    </w:p>
    <w:p w14:paraId="42E5688F">
      <w:pPr>
        <w:pStyle w:val="36"/>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auto"/>
          <w:sz w:val="24"/>
        </w:rPr>
        <w:t xml:space="preserve"> </w:t>
      </w:r>
      <w:r>
        <w:rPr>
          <w:rFonts w:hint="eastAsia" w:ascii="宋体" w:hAnsi="宋体" w:cs="宋体"/>
          <w:color w:val="0000FF"/>
          <w:sz w:val="24"/>
          <w:lang w:val="en-US" w:eastAsia="zh-CN"/>
        </w:rPr>
        <w:t>2025年11月7日17：00</w:t>
      </w:r>
      <w:r>
        <w:rPr>
          <w:rFonts w:hint="eastAsia" w:ascii="宋体" w:hAnsi="宋体" w:cs="宋体"/>
          <w:color w:val="auto"/>
          <w:sz w:val="24"/>
          <w:highlight w:val="none"/>
        </w:rPr>
        <w:t>，广州市越秀区长堤大马路171号一方长堤健康产业中心907室。</w:t>
      </w:r>
    </w:p>
    <w:p w14:paraId="39D70FA1">
      <w:pPr>
        <w:pStyle w:val="36"/>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36"/>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2、响应文件正本扫描PDF版电子文件提交邮箱的截止时间：</w:t>
      </w:r>
      <w:r>
        <w:rPr>
          <w:rFonts w:hint="eastAsia" w:ascii="宋体" w:hAnsi="宋体" w:cs="宋体"/>
          <w:color w:val="0000FF"/>
          <w:sz w:val="24"/>
          <w:lang w:val="en-US" w:eastAsia="zh-CN"/>
        </w:rPr>
        <w:t>2025年11月7</w:t>
      </w:r>
      <w:bookmarkStart w:id="139" w:name="_GoBack"/>
      <w:bookmarkEnd w:id="139"/>
      <w:r>
        <w:rPr>
          <w:rFonts w:hint="eastAsia" w:ascii="宋体" w:hAnsi="宋体" w:cs="宋体"/>
          <w:color w:val="0000FF"/>
          <w:sz w:val="24"/>
          <w:lang w:val="en-US" w:eastAsia="zh-CN"/>
        </w:rPr>
        <w:t>日17:00</w:t>
      </w:r>
      <w:r>
        <w:rPr>
          <w:rFonts w:hint="eastAsia" w:ascii="宋体" w:hAnsi="宋体" w:cs="宋体"/>
          <w:color w:val="auto"/>
          <w:sz w:val="24"/>
          <w:lang w:val="en-US" w:eastAsia="zh-CN"/>
        </w:rPr>
        <w:t>。</w:t>
      </w:r>
    </w:p>
    <w:p w14:paraId="2D9EA0A7">
      <w:pPr>
        <w:pStyle w:val="36"/>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36"/>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36"/>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36"/>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582535E2">
      <w:pPr>
        <w:pStyle w:val="36"/>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00F84313">
      <w:pPr>
        <w:pStyle w:val="36"/>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585D9FF">
      <w:pPr>
        <w:pStyle w:val="36"/>
        <w:adjustRightInd w:val="0"/>
        <w:snapToGrid w:val="0"/>
        <w:spacing w:line="360" w:lineRule="exact"/>
        <w:ind w:firstLine="480"/>
        <w:jc w:val="right"/>
        <w:rPr>
          <w:rFonts w:hint="eastAsia" w:ascii="宋体" w:hAnsi="宋体" w:cs="宋体"/>
          <w:color w:val="auto"/>
          <w:sz w:val="24"/>
        </w:rPr>
      </w:pPr>
    </w:p>
    <w:p w14:paraId="49218BDF">
      <w:pPr>
        <w:pStyle w:val="36"/>
        <w:adjustRightInd w:val="0"/>
        <w:snapToGrid w:val="0"/>
        <w:spacing w:line="360" w:lineRule="exact"/>
        <w:ind w:firstLine="480"/>
        <w:jc w:val="right"/>
        <w:rPr>
          <w:rFonts w:hint="eastAsia" w:ascii="宋体" w:hAnsi="宋体" w:cs="宋体"/>
          <w:color w:val="auto"/>
          <w:sz w:val="24"/>
        </w:rPr>
      </w:pPr>
    </w:p>
    <w:p w14:paraId="1CE8B069">
      <w:pPr>
        <w:pStyle w:val="36"/>
        <w:adjustRightInd w:val="0"/>
        <w:snapToGrid w:val="0"/>
        <w:spacing w:line="360" w:lineRule="exact"/>
        <w:ind w:firstLine="480"/>
        <w:jc w:val="right"/>
        <w:rPr>
          <w:rFonts w:hint="eastAsia" w:ascii="宋体" w:hAnsi="宋体" w:cs="宋体"/>
          <w:color w:val="auto"/>
          <w:sz w:val="24"/>
        </w:rPr>
      </w:pPr>
    </w:p>
    <w:p w14:paraId="26D19493">
      <w:pPr>
        <w:pStyle w:val="36"/>
        <w:adjustRightInd w:val="0"/>
        <w:snapToGrid w:val="0"/>
        <w:spacing w:line="360" w:lineRule="exact"/>
        <w:ind w:firstLine="480"/>
        <w:jc w:val="right"/>
        <w:rPr>
          <w:rFonts w:hint="eastAsia" w:ascii="宋体" w:hAnsi="宋体" w:cs="宋体"/>
          <w:color w:val="FF0000"/>
          <w:sz w:val="24"/>
          <w:lang w:val="en-US" w:eastAsia="zh-CN"/>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10</w:t>
      </w:r>
      <w:r>
        <w:rPr>
          <w:rFonts w:hint="eastAsia" w:ascii="宋体" w:hAnsi="宋体" w:cs="宋体"/>
          <w:color w:val="auto"/>
          <w:sz w:val="24"/>
        </w:rPr>
        <w:t>月</w:t>
      </w:r>
      <w:r>
        <w:rPr>
          <w:rFonts w:hint="eastAsia" w:ascii="宋体" w:hAnsi="宋体" w:cs="宋体"/>
          <w:color w:val="auto"/>
          <w:sz w:val="24"/>
          <w:lang w:val="en-US" w:eastAsia="zh-CN"/>
        </w:rPr>
        <w:t>29日</w:t>
      </w:r>
    </w:p>
    <w:p w14:paraId="2655E5F6">
      <w:pPr>
        <w:pStyle w:val="36"/>
        <w:adjustRightInd w:val="0"/>
        <w:snapToGrid w:val="0"/>
        <w:spacing w:line="360" w:lineRule="exact"/>
        <w:ind w:firstLine="480"/>
        <w:jc w:val="right"/>
        <w:rPr>
          <w:rFonts w:hint="eastAsia" w:ascii="宋体" w:hAnsi="宋体" w:cs="宋体"/>
          <w:color w:val="FF0000"/>
          <w:sz w:val="24"/>
          <w:lang w:val="en-US" w:eastAsia="zh-CN"/>
        </w:rPr>
      </w:pPr>
    </w:p>
    <w:p w14:paraId="2DA94846">
      <w:pPr>
        <w:pStyle w:val="36"/>
        <w:adjustRightInd w:val="0"/>
        <w:snapToGrid w:val="0"/>
        <w:spacing w:line="360" w:lineRule="exact"/>
        <w:ind w:firstLine="480"/>
        <w:jc w:val="right"/>
        <w:rPr>
          <w:rFonts w:hint="eastAsia" w:ascii="宋体" w:hAnsi="宋体" w:cs="宋体"/>
          <w:color w:val="FF0000"/>
          <w:sz w:val="24"/>
          <w:lang w:val="en-US" w:eastAsia="zh-CN"/>
        </w:rPr>
      </w:pPr>
    </w:p>
    <w:p w14:paraId="28BC3EB0">
      <w:pPr>
        <w:pStyle w:val="36"/>
        <w:adjustRightInd w:val="0"/>
        <w:snapToGrid w:val="0"/>
        <w:spacing w:line="360" w:lineRule="exact"/>
        <w:ind w:firstLine="480"/>
        <w:jc w:val="right"/>
        <w:rPr>
          <w:rFonts w:hint="eastAsia" w:ascii="宋体" w:hAnsi="宋体" w:cs="宋体"/>
          <w:color w:val="FF0000"/>
          <w:sz w:val="24"/>
          <w:lang w:val="en-US" w:eastAsia="zh-CN"/>
        </w:rPr>
      </w:pPr>
    </w:p>
    <w:p w14:paraId="44E99EFD">
      <w:pPr>
        <w:pStyle w:val="36"/>
        <w:adjustRightInd w:val="0"/>
        <w:snapToGrid w:val="0"/>
        <w:spacing w:line="360" w:lineRule="exact"/>
        <w:ind w:firstLine="480"/>
        <w:jc w:val="right"/>
        <w:rPr>
          <w:rFonts w:hint="eastAsia" w:ascii="宋体" w:hAnsi="宋体" w:cs="宋体"/>
          <w:color w:val="FF0000"/>
          <w:sz w:val="24"/>
          <w:lang w:val="en-US" w:eastAsia="zh-CN"/>
        </w:rPr>
      </w:pPr>
    </w:p>
    <w:p w14:paraId="5DE70867">
      <w:pPr>
        <w:pStyle w:val="36"/>
        <w:adjustRightInd w:val="0"/>
        <w:snapToGrid w:val="0"/>
        <w:spacing w:line="360" w:lineRule="exact"/>
        <w:ind w:firstLine="480"/>
        <w:jc w:val="right"/>
        <w:rPr>
          <w:rFonts w:hint="eastAsia" w:ascii="宋体" w:hAnsi="宋体" w:cs="宋体"/>
          <w:color w:val="FF0000"/>
          <w:sz w:val="24"/>
          <w:lang w:val="en-US" w:eastAsia="zh-CN"/>
        </w:rPr>
      </w:pPr>
    </w:p>
    <w:p w14:paraId="18D17395">
      <w:pPr>
        <w:pStyle w:val="36"/>
        <w:adjustRightInd w:val="0"/>
        <w:snapToGrid w:val="0"/>
        <w:spacing w:line="360" w:lineRule="exact"/>
        <w:ind w:firstLine="480"/>
        <w:jc w:val="right"/>
        <w:rPr>
          <w:rFonts w:hint="eastAsia" w:ascii="宋体" w:hAnsi="宋体" w:cs="宋体"/>
          <w:color w:val="FF0000"/>
          <w:sz w:val="24"/>
          <w:lang w:val="en-US" w:eastAsia="zh-CN"/>
        </w:rPr>
      </w:pPr>
    </w:p>
    <w:p w14:paraId="5039B3DE">
      <w:pPr>
        <w:pStyle w:val="36"/>
        <w:adjustRightInd w:val="0"/>
        <w:snapToGrid w:val="0"/>
        <w:spacing w:line="360" w:lineRule="exact"/>
        <w:ind w:firstLine="480"/>
        <w:jc w:val="right"/>
        <w:rPr>
          <w:rFonts w:hint="eastAsia" w:ascii="宋体" w:hAnsi="宋体" w:cs="宋体"/>
          <w:color w:val="FF0000"/>
          <w:sz w:val="24"/>
          <w:lang w:val="en-US" w:eastAsia="zh-CN"/>
        </w:rPr>
      </w:pPr>
    </w:p>
    <w:p w14:paraId="15747B83">
      <w:pPr>
        <w:pStyle w:val="36"/>
        <w:adjustRightInd w:val="0"/>
        <w:snapToGrid w:val="0"/>
        <w:spacing w:line="360" w:lineRule="exact"/>
        <w:ind w:firstLine="480"/>
        <w:jc w:val="right"/>
        <w:rPr>
          <w:rFonts w:hint="eastAsia" w:ascii="宋体" w:hAnsi="宋体" w:cs="宋体"/>
          <w:color w:val="FF0000"/>
          <w:sz w:val="24"/>
          <w:lang w:val="en-US" w:eastAsia="zh-CN"/>
        </w:rPr>
      </w:pPr>
    </w:p>
    <w:p w14:paraId="704798B2">
      <w:pPr>
        <w:pStyle w:val="36"/>
        <w:adjustRightInd w:val="0"/>
        <w:snapToGrid w:val="0"/>
        <w:spacing w:line="360" w:lineRule="exact"/>
        <w:ind w:firstLine="480"/>
        <w:jc w:val="right"/>
        <w:rPr>
          <w:rFonts w:hint="eastAsia" w:ascii="宋体" w:hAnsi="宋体" w:cs="宋体"/>
          <w:color w:val="FF0000"/>
          <w:sz w:val="24"/>
          <w:lang w:val="en-US" w:eastAsia="zh-CN"/>
        </w:rPr>
      </w:pPr>
    </w:p>
    <w:p w14:paraId="6E75EABF">
      <w:pPr>
        <w:pStyle w:val="36"/>
        <w:adjustRightInd w:val="0"/>
        <w:snapToGrid w:val="0"/>
        <w:spacing w:line="360" w:lineRule="exact"/>
        <w:ind w:firstLine="480"/>
        <w:jc w:val="right"/>
        <w:rPr>
          <w:rFonts w:hint="eastAsia" w:ascii="宋体" w:hAnsi="宋体" w:cs="宋体"/>
          <w:color w:val="FF0000"/>
          <w:sz w:val="24"/>
          <w:lang w:val="en-US" w:eastAsia="zh-CN"/>
        </w:rPr>
      </w:pPr>
    </w:p>
    <w:p w14:paraId="5F62C158">
      <w:pPr>
        <w:pStyle w:val="36"/>
        <w:adjustRightInd w:val="0"/>
        <w:snapToGrid w:val="0"/>
        <w:spacing w:line="360" w:lineRule="exact"/>
        <w:ind w:firstLine="480"/>
        <w:jc w:val="right"/>
        <w:rPr>
          <w:rFonts w:hint="eastAsia" w:ascii="宋体" w:hAnsi="宋体" w:cs="宋体"/>
          <w:color w:val="FF0000"/>
          <w:sz w:val="24"/>
          <w:lang w:val="en-US" w:eastAsia="zh-CN"/>
        </w:rPr>
      </w:pPr>
    </w:p>
    <w:p w14:paraId="496120D7">
      <w:pPr>
        <w:pStyle w:val="36"/>
        <w:adjustRightInd w:val="0"/>
        <w:snapToGrid w:val="0"/>
        <w:spacing w:line="360" w:lineRule="exact"/>
        <w:ind w:firstLine="480"/>
        <w:jc w:val="right"/>
        <w:rPr>
          <w:rFonts w:hint="eastAsia" w:ascii="宋体" w:hAnsi="宋体" w:cs="宋体"/>
          <w:color w:val="FF0000"/>
          <w:sz w:val="24"/>
          <w:lang w:val="en-US" w:eastAsia="zh-CN"/>
        </w:rPr>
      </w:pPr>
    </w:p>
    <w:p w14:paraId="239FE36C">
      <w:pPr>
        <w:pStyle w:val="36"/>
        <w:adjustRightInd w:val="0"/>
        <w:snapToGrid w:val="0"/>
        <w:spacing w:line="360" w:lineRule="exact"/>
        <w:ind w:firstLine="480"/>
        <w:jc w:val="right"/>
        <w:rPr>
          <w:rFonts w:hint="eastAsia" w:ascii="宋体" w:hAnsi="宋体" w:cs="宋体"/>
          <w:color w:val="FF0000"/>
          <w:sz w:val="24"/>
          <w:lang w:val="en-US" w:eastAsia="zh-CN"/>
        </w:rPr>
      </w:pPr>
    </w:p>
    <w:p w14:paraId="26C16906">
      <w:pPr>
        <w:pStyle w:val="36"/>
        <w:adjustRightInd w:val="0"/>
        <w:snapToGrid w:val="0"/>
        <w:spacing w:line="360" w:lineRule="exact"/>
        <w:ind w:firstLine="480"/>
        <w:jc w:val="right"/>
        <w:rPr>
          <w:rFonts w:hint="eastAsia" w:ascii="宋体" w:hAnsi="宋体" w:cs="宋体"/>
          <w:color w:val="FF0000"/>
          <w:sz w:val="24"/>
          <w:lang w:val="en-US" w:eastAsia="zh-CN"/>
        </w:rPr>
      </w:pPr>
    </w:p>
    <w:p w14:paraId="0ABEB5B6">
      <w:pPr>
        <w:pStyle w:val="36"/>
        <w:adjustRightInd w:val="0"/>
        <w:snapToGrid w:val="0"/>
        <w:spacing w:line="360" w:lineRule="exact"/>
        <w:ind w:firstLine="480"/>
        <w:jc w:val="right"/>
        <w:rPr>
          <w:rFonts w:hint="eastAsia" w:ascii="宋体" w:hAnsi="宋体" w:cs="宋体"/>
          <w:color w:val="FF0000"/>
          <w:sz w:val="24"/>
          <w:lang w:val="en-US" w:eastAsia="zh-CN"/>
        </w:rPr>
      </w:pPr>
    </w:p>
    <w:p w14:paraId="7694D5F3">
      <w:pPr>
        <w:pStyle w:val="36"/>
        <w:adjustRightInd w:val="0"/>
        <w:snapToGrid w:val="0"/>
        <w:spacing w:line="360" w:lineRule="exact"/>
        <w:ind w:firstLine="480"/>
        <w:jc w:val="right"/>
        <w:rPr>
          <w:rFonts w:hint="eastAsia" w:ascii="宋体" w:hAnsi="宋体" w:cs="宋体"/>
          <w:color w:val="FF0000"/>
          <w:sz w:val="24"/>
          <w:lang w:val="en-US" w:eastAsia="zh-CN"/>
        </w:rPr>
      </w:pPr>
    </w:p>
    <w:p w14:paraId="522EBB89">
      <w:pPr>
        <w:pStyle w:val="36"/>
        <w:adjustRightInd w:val="0"/>
        <w:snapToGrid w:val="0"/>
        <w:spacing w:line="360" w:lineRule="exact"/>
        <w:ind w:firstLine="480"/>
        <w:jc w:val="right"/>
        <w:rPr>
          <w:rFonts w:hint="eastAsia" w:ascii="宋体" w:hAnsi="宋体" w:cs="宋体"/>
          <w:color w:val="FF0000"/>
          <w:sz w:val="24"/>
          <w:lang w:val="en-US" w:eastAsia="zh-CN"/>
        </w:rPr>
      </w:pPr>
    </w:p>
    <w:p w14:paraId="0DEBDE36">
      <w:pPr>
        <w:pStyle w:val="36"/>
        <w:adjustRightInd w:val="0"/>
        <w:snapToGrid w:val="0"/>
        <w:spacing w:line="360" w:lineRule="exact"/>
        <w:ind w:firstLine="480"/>
        <w:jc w:val="right"/>
        <w:rPr>
          <w:rFonts w:hint="eastAsia" w:ascii="宋体" w:hAnsi="宋体" w:cs="宋体"/>
          <w:color w:val="FF0000"/>
          <w:sz w:val="24"/>
          <w:lang w:val="en-US" w:eastAsia="zh-CN"/>
        </w:rPr>
      </w:pPr>
    </w:p>
    <w:p w14:paraId="06C16376">
      <w:pPr>
        <w:pStyle w:val="36"/>
        <w:adjustRightInd w:val="0"/>
        <w:snapToGrid w:val="0"/>
        <w:spacing w:line="360" w:lineRule="exact"/>
        <w:ind w:firstLine="480"/>
        <w:jc w:val="right"/>
        <w:rPr>
          <w:rFonts w:hint="eastAsia" w:ascii="宋体" w:hAnsi="宋体" w:cs="宋体"/>
          <w:color w:val="FF0000"/>
          <w:sz w:val="24"/>
          <w:lang w:val="en-US" w:eastAsia="zh-CN"/>
        </w:rPr>
      </w:pPr>
    </w:p>
    <w:p w14:paraId="4DC2752D">
      <w:pPr>
        <w:pStyle w:val="36"/>
        <w:adjustRightInd w:val="0"/>
        <w:snapToGrid w:val="0"/>
        <w:spacing w:line="360" w:lineRule="exact"/>
        <w:ind w:firstLine="480"/>
        <w:jc w:val="right"/>
        <w:rPr>
          <w:rFonts w:hint="eastAsia" w:ascii="宋体" w:hAnsi="宋体" w:cs="宋体"/>
          <w:color w:val="FF0000"/>
          <w:sz w:val="24"/>
          <w:lang w:val="en-US" w:eastAsia="zh-CN"/>
        </w:rPr>
      </w:pPr>
    </w:p>
    <w:p w14:paraId="1DBC5D9D">
      <w:pPr>
        <w:pStyle w:val="36"/>
        <w:adjustRightInd w:val="0"/>
        <w:snapToGrid w:val="0"/>
        <w:spacing w:line="360" w:lineRule="exact"/>
        <w:ind w:firstLine="480"/>
        <w:jc w:val="right"/>
        <w:rPr>
          <w:rFonts w:hint="eastAsia" w:ascii="宋体" w:hAnsi="宋体" w:cs="宋体"/>
          <w:color w:val="FF0000"/>
          <w:sz w:val="24"/>
          <w:lang w:val="en-US" w:eastAsia="zh-CN"/>
        </w:rPr>
      </w:pPr>
    </w:p>
    <w:p w14:paraId="6F3B653C">
      <w:pPr>
        <w:pStyle w:val="36"/>
        <w:adjustRightInd w:val="0"/>
        <w:snapToGrid w:val="0"/>
        <w:spacing w:line="360" w:lineRule="exact"/>
        <w:ind w:firstLine="480"/>
        <w:jc w:val="right"/>
        <w:rPr>
          <w:rFonts w:hint="eastAsia" w:ascii="宋体" w:hAnsi="宋体" w:cs="宋体"/>
          <w:color w:val="FF0000"/>
          <w:sz w:val="24"/>
          <w:lang w:val="en-US" w:eastAsia="zh-CN"/>
        </w:rPr>
      </w:pPr>
    </w:p>
    <w:p w14:paraId="11F0944B">
      <w:pPr>
        <w:pStyle w:val="36"/>
        <w:adjustRightInd w:val="0"/>
        <w:snapToGrid w:val="0"/>
        <w:spacing w:line="360" w:lineRule="exact"/>
        <w:ind w:firstLine="480"/>
        <w:jc w:val="right"/>
        <w:rPr>
          <w:rFonts w:hint="eastAsia" w:ascii="宋体" w:hAnsi="宋体" w:cs="宋体"/>
          <w:color w:val="FF0000"/>
          <w:sz w:val="24"/>
          <w:lang w:val="en-US" w:eastAsia="zh-CN"/>
        </w:rPr>
      </w:pPr>
    </w:p>
    <w:p w14:paraId="08FE57FD">
      <w:pPr>
        <w:pStyle w:val="36"/>
        <w:adjustRightInd w:val="0"/>
        <w:snapToGrid w:val="0"/>
        <w:spacing w:line="360" w:lineRule="exact"/>
        <w:ind w:firstLine="480"/>
        <w:jc w:val="right"/>
        <w:rPr>
          <w:rFonts w:hint="eastAsia" w:ascii="宋体" w:hAnsi="宋体" w:cs="宋体"/>
          <w:color w:val="FF0000"/>
          <w:sz w:val="24"/>
          <w:lang w:val="en-US" w:eastAsia="zh-CN"/>
        </w:rPr>
      </w:pPr>
    </w:p>
    <w:p w14:paraId="1D8C7DB9">
      <w:pPr>
        <w:pStyle w:val="36"/>
        <w:adjustRightInd w:val="0"/>
        <w:snapToGrid w:val="0"/>
        <w:spacing w:line="360" w:lineRule="exact"/>
        <w:ind w:firstLine="480"/>
        <w:jc w:val="right"/>
        <w:rPr>
          <w:rFonts w:hint="eastAsia" w:ascii="宋体" w:hAnsi="宋体" w:cs="宋体"/>
          <w:color w:val="FF0000"/>
          <w:sz w:val="24"/>
          <w:lang w:val="en-US" w:eastAsia="zh-CN"/>
        </w:rPr>
      </w:pPr>
    </w:p>
    <w:p w14:paraId="03B3BE9B">
      <w:pPr>
        <w:pStyle w:val="36"/>
        <w:adjustRightInd w:val="0"/>
        <w:snapToGrid w:val="0"/>
        <w:spacing w:line="360" w:lineRule="exact"/>
        <w:ind w:firstLine="480"/>
        <w:jc w:val="right"/>
        <w:rPr>
          <w:rFonts w:hint="eastAsia" w:ascii="宋体" w:hAnsi="宋体" w:cs="宋体"/>
          <w:color w:val="FF0000"/>
          <w:sz w:val="24"/>
          <w:lang w:val="en-US" w:eastAsia="zh-CN"/>
        </w:rPr>
      </w:pPr>
    </w:p>
    <w:p w14:paraId="62B930BF">
      <w:pPr>
        <w:pStyle w:val="36"/>
        <w:adjustRightInd w:val="0"/>
        <w:snapToGrid w:val="0"/>
        <w:spacing w:line="360" w:lineRule="exact"/>
        <w:ind w:firstLine="480"/>
        <w:jc w:val="right"/>
        <w:rPr>
          <w:rFonts w:hint="eastAsia" w:ascii="宋体" w:hAnsi="宋体" w:cs="宋体"/>
          <w:color w:val="FF0000"/>
          <w:sz w:val="24"/>
          <w:lang w:val="en-US" w:eastAsia="zh-CN"/>
        </w:rPr>
      </w:pPr>
    </w:p>
    <w:p w14:paraId="5E32FEE8">
      <w:pPr>
        <w:pStyle w:val="36"/>
        <w:adjustRightInd w:val="0"/>
        <w:snapToGrid w:val="0"/>
        <w:spacing w:line="360" w:lineRule="exact"/>
        <w:ind w:firstLine="480"/>
        <w:jc w:val="right"/>
        <w:rPr>
          <w:rFonts w:hint="eastAsia" w:ascii="宋体" w:hAnsi="宋体" w:cs="宋体"/>
          <w:color w:val="FF0000"/>
          <w:sz w:val="24"/>
          <w:lang w:val="en-US" w:eastAsia="zh-CN"/>
        </w:rPr>
      </w:pPr>
    </w:p>
    <w:p w14:paraId="168720B1">
      <w:pPr>
        <w:pStyle w:val="36"/>
        <w:adjustRightInd w:val="0"/>
        <w:snapToGrid w:val="0"/>
        <w:spacing w:line="360" w:lineRule="exact"/>
        <w:ind w:firstLine="480"/>
        <w:jc w:val="right"/>
        <w:rPr>
          <w:rFonts w:hint="eastAsia" w:ascii="宋体" w:hAnsi="宋体" w:cs="宋体"/>
          <w:color w:val="FF0000"/>
          <w:sz w:val="24"/>
          <w:lang w:val="en-US" w:eastAsia="zh-CN"/>
        </w:rPr>
      </w:pPr>
    </w:p>
    <w:p w14:paraId="3D8900AA">
      <w:pPr>
        <w:pStyle w:val="36"/>
        <w:adjustRightInd w:val="0"/>
        <w:snapToGrid w:val="0"/>
        <w:spacing w:line="360" w:lineRule="exact"/>
        <w:ind w:firstLine="480"/>
        <w:jc w:val="right"/>
        <w:rPr>
          <w:rFonts w:hint="eastAsia" w:ascii="宋体" w:hAnsi="宋体" w:cs="宋体"/>
          <w:color w:val="FF0000"/>
          <w:sz w:val="24"/>
          <w:lang w:val="en-US" w:eastAsia="zh-CN"/>
        </w:rPr>
      </w:pPr>
    </w:p>
    <w:p w14:paraId="6CE5E06D">
      <w:pPr>
        <w:pStyle w:val="36"/>
        <w:adjustRightInd w:val="0"/>
        <w:snapToGrid w:val="0"/>
        <w:spacing w:line="360" w:lineRule="exact"/>
        <w:ind w:firstLine="480"/>
        <w:jc w:val="right"/>
        <w:rPr>
          <w:rFonts w:hint="eastAsia" w:ascii="宋体" w:hAnsi="宋体" w:cs="宋体"/>
          <w:color w:val="FF0000"/>
          <w:sz w:val="24"/>
          <w:lang w:val="en-US" w:eastAsia="zh-CN"/>
        </w:rPr>
      </w:pPr>
    </w:p>
    <w:p w14:paraId="697AEA49">
      <w:pPr>
        <w:pStyle w:val="36"/>
        <w:adjustRightInd w:val="0"/>
        <w:snapToGrid w:val="0"/>
        <w:spacing w:line="360" w:lineRule="exact"/>
        <w:ind w:firstLine="480"/>
        <w:jc w:val="right"/>
        <w:rPr>
          <w:rFonts w:hint="eastAsia" w:ascii="宋体" w:hAnsi="宋体" w:cs="宋体"/>
          <w:color w:val="FF0000"/>
          <w:sz w:val="24"/>
          <w:lang w:val="en-US" w:eastAsia="zh-CN"/>
        </w:rPr>
      </w:pPr>
    </w:p>
    <w:p w14:paraId="52F47E09">
      <w:pPr>
        <w:pStyle w:val="36"/>
        <w:adjustRightInd w:val="0"/>
        <w:snapToGrid w:val="0"/>
        <w:spacing w:line="360" w:lineRule="exact"/>
        <w:ind w:firstLine="480"/>
        <w:jc w:val="right"/>
        <w:rPr>
          <w:rFonts w:hint="eastAsia" w:ascii="宋体" w:hAnsi="宋体" w:cs="宋体"/>
          <w:color w:val="FF0000"/>
          <w:sz w:val="24"/>
          <w:lang w:val="en-US" w:eastAsia="zh-CN"/>
        </w:rPr>
      </w:pPr>
    </w:p>
    <w:p w14:paraId="18449C8B">
      <w:pPr>
        <w:pStyle w:val="36"/>
        <w:adjustRightInd w:val="0"/>
        <w:snapToGrid w:val="0"/>
        <w:spacing w:line="360" w:lineRule="exact"/>
        <w:ind w:firstLine="480"/>
        <w:jc w:val="right"/>
        <w:rPr>
          <w:rFonts w:hint="default" w:ascii="宋体" w:hAnsi="宋体" w:cs="宋体"/>
          <w:color w:val="FF0000"/>
          <w:sz w:val="24"/>
          <w:lang w:val="en-US" w:eastAsia="zh-CN"/>
        </w:rPr>
      </w:pP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8"/>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1994"/>
      <w:bookmarkStart w:id="9" w:name="_Toc40776111"/>
      <w:bookmarkStart w:id="10" w:name="_Toc28703"/>
      <w:bookmarkStart w:id="11" w:name="_Toc29113"/>
      <w:bookmarkStart w:id="12" w:name="_Toc7291"/>
      <w:bookmarkStart w:id="13" w:name="_Toc12520"/>
      <w:bookmarkStart w:id="14" w:name="_Toc6547"/>
      <w:bookmarkStart w:id="15" w:name="_Toc40346375"/>
      <w:bookmarkStart w:id="16" w:name="_Toc11305"/>
      <w:bookmarkStart w:id="17" w:name="_Toc15870"/>
      <w:bookmarkStart w:id="18" w:name="_Toc11075"/>
      <w:bookmarkStart w:id="19" w:name="_Toc435"/>
      <w:bookmarkStart w:id="20" w:name="_Toc26267"/>
      <w:bookmarkStart w:id="21" w:name="_Toc3471"/>
      <w:bookmarkStart w:id="22" w:name="_Toc40346216"/>
      <w:bookmarkStart w:id="23" w:name="_Toc21249"/>
      <w:bookmarkStart w:id="24" w:name="_Toc8364"/>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8"/>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8"/>
        <w:ind w:left="0" w:leftChars="0" w:firstLine="637" w:firstLineChars="177"/>
        <w:jc w:val="left"/>
        <w:rPr>
          <w:rFonts w:hint="eastAsia" w:ascii="宋体" w:hAnsi="宋体" w:eastAsia="宋体" w:cs="宋体"/>
          <w:b w:val="0"/>
          <w:bCs w:val="0"/>
          <w:sz w:val="36"/>
          <w:szCs w:val="36"/>
          <w:lang w:eastAsia="zh-CN"/>
        </w:rPr>
      </w:pPr>
    </w:p>
    <w:p w14:paraId="26329440">
      <w:pPr>
        <w:pStyle w:val="8"/>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40346217"/>
      <w:bookmarkStart w:id="26" w:name="_Toc40346376"/>
      <w:bookmarkStart w:id="27" w:name="_Toc27997"/>
      <w:bookmarkStart w:id="28" w:name="_Toc20884"/>
      <w:bookmarkStart w:id="29" w:name="_Toc1743"/>
      <w:bookmarkStart w:id="30" w:name="_Toc17709"/>
      <w:bookmarkStart w:id="31" w:name="_Toc2916"/>
      <w:bookmarkStart w:id="32" w:name="_Toc40776112"/>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19699"/>
      <w:bookmarkStart w:id="34" w:name="_Toc23097"/>
      <w:bookmarkStart w:id="35" w:name="_Toc2029"/>
      <w:bookmarkStart w:id="36" w:name="_Toc11485"/>
      <w:bookmarkStart w:id="37" w:name="_Toc31538"/>
      <w:bookmarkStart w:id="38" w:name="_Toc30979"/>
      <w:bookmarkStart w:id="39" w:name="_Toc5238"/>
      <w:bookmarkStart w:id="40" w:name="_Toc29102"/>
      <w:bookmarkStart w:id="41" w:name="_Toc2012"/>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29767"/>
      <w:bookmarkStart w:id="43" w:name="_Toc16794"/>
      <w:bookmarkStart w:id="44" w:name="_Toc21483"/>
      <w:bookmarkStart w:id="45" w:name="_Toc27867"/>
      <w:bookmarkStart w:id="46" w:name="_Toc11141"/>
      <w:bookmarkStart w:id="47" w:name="_Toc14824"/>
      <w:bookmarkStart w:id="48" w:name="_Toc7052"/>
      <w:bookmarkStart w:id="49" w:name="_Toc11558"/>
      <w:bookmarkStart w:id="50" w:name="_Toc12645"/>
      <w:bookmarkStart w:id="51" w:name="_Toc24763"/>
      <w:bookmarkStart w:id="52" w:name="_Toc28064"/>
      <w:bookmarkStart w:id="53" w:name="_Toc40346377"/>
      <w:bookmarkStart w:id="54" w:name="_Toc31993"/>
      <w:bookmarkStart w:id="55" w:name="_Toc40776113"/>
      <w:bookmarkStart w:id="56" w:name="_Toc4013"/>
      <w:bookmarkStart w:id="57" w:name="_Toc40346218"/>
      <w:bookmarkStart w:id="58" w:name="_Toc17930"/>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27771"/>
      <w:bookmarkStart w:id="60" w:name="_Toc16813"/>
      <w:bookmarkStart w:id="61" w:name="_Toc9883"/>
      <w:bookmarkStart w:id="62" w:name="_Toc6438"/>
      <w:bookmarkStart w:id="63" w:name="_Toc11334"/>
      <w:bookmarkStart w:id="64" w:name="_Toc1324"/>
      <w:bookmarkStart w:id="65" w:name="_Toc17537"/>
      <w:bookmarkStart w:id="66" w:name="_Toc19831"/>
      <w:bookmarkStart w:id="67" w:name="_Toc14287"/>
      <w:bookmarkStart w:id="68" w:name="_Toc4563"/>
      <w:bookmarkStart w:id="69" w:name="_Toc24651"/>
      <w:bookmarkStart w:id="70" w:name="_Toc26029"/>
      <w:bookmarkStart w:id="71" w:name="_Toc32709"/>
      <w:bookmarkStart w:id="72" w:name="_Toc40346219"/>
      <w:bookmarkStart w:id="73" w:name="_Toc40346378"/>
      <w:bookmarkStart w:id="74" w:name="_Toc31197"/>
      <w:bookmarkStart w:id="75" w:name="_Toc40776114"/>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30336"/>
      <w:bookmarkStart w:id="77" w:name="_Toc20994"/>
      <w:bookmarkStart w:id="78" w:name="_Toc3895"/>
      <w:bookmarkStart w:id="79" w:name="_Toc5634"/>
      <w:bookmarkStart w:id="80" w:name="_Toc21940"/>
      <w:bookmarkStart w:id="81" w:name="_Toc13222"/>
      <w:bookmarkStart w:id="82" w:name="_Toc12650"/>
      <w:bookmarkStart w:id="83" w:name="_Toc18353"/>
      <w:bookmarkStart w:id="84" w:name="_Toc27868"/>
      <w:bookmarkStart w:id="85" w:name="_Toc27206"/>
      <w:bookmarkStart w:id="86" w:name="_Toc40776115"/>
      <w:bookmarkStart w:id="87" w:name="_Toc14586"/>
      <w:bookmarkStart w:id="88" w:name="_Toc21686"/>
      <w:bookmarkStart w:id="89" w:name="_Toc40346220"/>
      <w:bookmarkStart w:id="90" w:name="_Toc17483"/>
      <w:bookmarkStart w:id="91" w:name="_Toc5189"/>
      <w:bookmarkStart w:id="92" w:name="_Toc40346379"/>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30904"/>
      <w:bookmarkStart w:id="94" w:name="_Toc10454"/>
      <w:bookmarkStart w:id="95" w:name="_Toc27009"/>
      <w:bookmarkStart w:id="96" w:name="_Toc21449"/>
      <w:bookmarkStart w:id="97" w:name="_Toc9282"/>
      <w:bookmarkStart w:id="98" w:name="_Toc40346221"/>
      <w:bookmarkStart w:id="99" w:name="_Toc40776116"/>
      <w:bookmarkStart w:id="100" w:name="_Toc12127"/>
      <w:bookmarkStart w:id="101" w:name="_Toc30856"/>
      <w:bookmarkStart w:id="102" w:name="_Toc27646"/>
      <w:bookmarkStart w:id="103" w:name="_Toc32371"/>
      <w:bookmarkStart w:id="104" w:name="_Toc11547"/>
      <w:bookmarkStart w:id="105" w:name="_Toc5220"/>
      <w:bookmarkStart w:id="106" w:name="_Toc40346380"/>
      <w:bookmarkStart w:id="107" w:name="_Toc14462"/>
      <w:bookmarkStart w:id="108" w:name="_Toc8526"/>
      <w:bookmarkStart w:id="109" w:name="_Toc3498"/>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36"/>
        <w:ind w:firstLine="400"/>
      </w:pPr>
    </w:p>
    <w:p w14:paraId="2431AA75">
      <w:pPr>
        <w:pStyle w:val="36"/>
        <w:ind w:firstLine="400"/>
      </w:pPr>
    </w:p>
    <w:p w14:paraId="75AE698D">
      <w:pPr>
        <w:pStyle w:val="36"/>
        <w:ind w:firstLine="400"/>
      </w:pPr>
    </w:p>
    <w:p w14:paraId="110C0AA3">
      <w:pPr>
        <w:pStyle w:val="36"/>
        <w:ind w:firstLine="400"/>
      </w:pPr>
    </w:p>
    <w:p w14:paraId="69EB5568">
      <w:pPr>
        <w:pStyle w:val="36"/>
        <w:ind w:firstLine="400"/>
      </w:pPr>
    </w:p>
    <w:p w14:paraId="29B17A70">
      <w:pPr>
        <w:pStyle w:val="36"/>
        <w:ind w:firstLine="400"/>
      </w:pPr>
    </w:p>
    <w:p w14:paraId="11555BFC">
      <w:pPr>
        <w:pStyle w:val="36"/>
        <w:ind w:firstLine="400"/>
      </w:pPr>
    </w:p>
    <w:p w14:paraId="7469F9BD">
      <w:pPr>
        <w:widowControl/>
        <w:jc w:val="left"/>
        <w:rPr>
          <w:b/>
          <w:bCs/>
          <w:color w:val="000000" w:themeColor="text1"/>
          <w:sz w:val="32"/>
          <w:szCs w:val="32"/>
          <w14:textFill>
            <w14:solidFill>
              <w14:schemeClr w14:val="tx1"/>
            </w14:solidFill>
          </w14:textFill>
        </w:rPr>
      </w:pPr>
      <w:bookmarkStart w:id="110" w:name="_Toc16728"/>
      <w:bookmarkStart w:id="111" w:name="_Toc31077"/>
      <w:bookmarkStart w:id="112" w:name="_Toc9697"/>
      <w:bookmarkStart w:id="113" w:name="_Toc15539"/>
      <w:bookmarkStart w:id="114" w:name="_Toc28747"/>
      <w:bookmarkStart w:id="115" w:name="_Toc10399"/>
      <w:bookmarkStart w:id="116" w:name="_Toc21213"/>
      <w:bookmarkStart w:id="117" w:name="_Toc8637"/>
      <w:bookmarkStart w:id="118" w:name="_Toc6691"/>
      <w:bookmarkStart w:id="119" w:name="_Toc16608"/>
      <w:bookmarkStart w:id="120" w:name="_Toc13184"/>
      <w:r>
        <w:rPr>
          <w:rFonts w:hint="eastAsia" w:ascii="宋体" w:hAnsi="宋体" w:cs="宋体"/>
          <w:b/>
          <w:bCs/>
          <w:color w:val="000000" w:themeColor="text1"/>
          <w:kern w:val="0"/>
          <w:sz w:val="32"/>
          <w:szCs w:val="32"/>
          <w14:textFill>
            <w14:solidFill>
              <w14:schemeClr w14:val="tx1"/>
            </w14:solidFill>
          </w14:textFill>
        </w:rPr>
        <w:t>一、资格声明函</w:t>
      </w:r>
    </w:p>
    <w:p w14:paraId="7DFF0B14">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3FF43D73">
      <w:pPr>
        <w:adjustRightInd w:val="0"/>
        <w:snapToGrid w:val="0"/>
        <w:spacing w:line="360" w:lineRule="auto"/>
        <w:ind w:left="0" w:leftChars="0" w:firstLine="0" w:firstLineChars="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36"/>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36"/>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36"/>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19B68896">
      <w:pPr>
        <w:pStyle w:val="36"/>
        <w:adjustRightInd w:val="0"/>
        <w:snapToGrid w:val="0"/>
        <w:spacing w:line="360" w:lineRule="auto"/>
        <w:ind w:firstLineChars="175"/>
        <w:rPr>
          <w:rFonts w:hint="eastAsia"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13C154C7">
      <w:pPr>
        <w:pStyle w:val="36"/>
        <w:adjustRightInd w:val="0"/>
        <w:snapToGrid w:val="0"/>
        <w:spacing w:line="360" w:lineRule="auto"/>
        <w:ind w:firstLineChars="175"/>
        <w:rPr>
          <w:rFonts w:hint="default" w:ascii="宋体" w:hAnsi="宋体" w:cs="宋体"/>
          <w:sz w:val="24"/>
          <w:lang w:val="en-US" w:eastAsia="zh-CN"/>
        </w:rPr>
      </w:pPr>
      <w:r>
        <w:rPr>
          <w:rFonts w:hint="eastAsia" w:ascii="宋体" w:hAnsi="宋体" w:cs="宋体"/>
          <w:sz w:val="24"/>
        </w:rPr>
        <w:t>(5)为采购项目提供整体设计、规范编制或者项目管理、监理、检测等服务的供应商，不得再参加该采购项目的其他采购活动。</w:t>
      </w:r>
    </w:p>
    <w:p w14:paraId="4203934F">
      <w:pPr>
        <w:pStyle w:val="36"/>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6</w:t>
      </w:r>
      <w:r>
        <w:rPr>
          <w:rFonts w:hint="eastAsia" w:ascii="宋体" w:hAnsi="宋体" w:cs="宋体"/>
          <w:sz w:val="24"/>
        </w:rPr>
        <w:t>)本</w:t>
      </w:r>
      <w:r>
        <w:rPr>
          <w:rFonts w:hint="eastAsia" w:ascii="宋体" w:hAnsi="宋体" w:cs="宋体"/>
          <w:sz w:val="24"/>
          <w:lang w:val="en-US" w:eastAsia="zh-CN"/>
        </w:rPr>
        <w:t>单位</w:t>
      </w:r>
      <w:r>
        <w:rPr>
          <w:rFonts w:hint="eastAsia" w:ascii="宋体" w:hAnsi="宋体" w:cs="宋体"/>
          <w:sz w:val="24"/>
        </w:rPr>
        <w:t>（企业）参加本次采购活动，具备独立实施能力，属于非联合体响应。</w:t>
      </w:r>
    </w:p>
    <w:p w14:paraId="209E40FB">
      <w:pPr>
        <w:pStyle w:val="36"/>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36"/>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36"/>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6FA01EF9">
      <w:pPr>
        <w:spacing w:line="360" w:lineRule="auto"/>
        <w:ind w:firstLine="3542" w:firstLineChars="1476"/>
        <w:jc w:val="left"/>
        <w:rPr>
          <w:rFonts w:hint="eastAsia" w:ascii="宋体" w:hAnsi="宋体" w:cs="宋体"/>
          <w:sz w:val="24"/>
        </w:rPr>
      </w:pPr>
    </w:p>
    <w:p w14:paraId="4ED3668C">
      <w:pPr>
        <w:pStyle w:val="3"/>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540A60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68576F3">
      <w:pPr>
        <w:spacing w:line="360" w:lineRule="auto"/>
        <w:ind w:firstLine="3542" w:firstLineChars="1476"/>
        <w:jc w:val="left"/>
        <w:rPr>
          <w:rFonts w:hint="eastAsia" w:ascii="宋体" w:hAnsi="宋体" w:eastAsia="宋体" w:cs="宋体"/>
          <w:color w:val="000000" w:themeColor="text1"/>
          <w:sz w:val="24"/>
          <w:lang w:val="en-US" w:eastAsia="zh-CN"/>
          <w14:textFill>
            <w14:solidFill>
              <w14:schemeClr w14:val="tx1"/>
            </w14:solidFill>
          </w14:textFill>
        </w:rPr>
      </w:pPr>
    </w:p>
    <w:p w14:paraId="61A96194">
      <w:pPr>
        <w:pStyle w:val="36"/>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36"/>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r>
        <w:rPr>
          <w:rFonts w:hint="eastAsia" w:ascii="宋体" w:hAnsi="宋体" w:eastAsia="宋体" w:cs="宋体"/>
          <w:color w:val="auto"/>
          <w:sz w:val="24"/>
          <w:szCs w:val="24"/>
        </w:rPr>
        <w:t>已由总公司授权的，总公司取得的相关资质证书对分公司有效，法律法规或者行业另有规定的除外。</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215AFFE2">
      <w:pPr>
        <w:pStyle w:val="9"/>
      </w:pPr>
    </w:p>
    <w:p w14:paraId="1DD5048D"/>
    <w:p w14:paraId="503DEE0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22169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01FF8C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0382BB6">
      <w:pPr>
        <w:pStyle w:val="36"/>
        <w:ind w:firstLine="400"/>
      </w:pPr>
    </w:p>
    <w:p w14:paraId="4AB53C0F">
      <w:pPr>
        <w:pStyle w:val="36"/>
        <w:ind w:firstLine="400"/>
      </w:pPr>
    </w:p>
    <w:p w14:paraId="6B3F80FF">
      <w:pPr>
        <w:pStyle w:val="36"/>
        <w:ind w:firstLine="400"/>
      </w:pPr>
    </w:p>
    <w:p w14:paraId="512CA53D">
      <w:pPr>
        <w:pStyle w:val="36"/>
        <w:ind w:firstLine="400"/>
      </w:pPr>
    </w:p>
    <w:p w14:paraId="22936ABF">
      <w:pPr>
        <w:pStyle w:val="36"/>
        <w:ind w:firstLine="400"/>
      </w:pPr>
    </w:p>
    <w:p w14:paraId="2AD83A9B">
      <w:pPr>
        <w:pStyle w:val="36"/>
        <w:ind w:firstLine="400"/>
      </w:pPr>
    </w:p>
    <w:p w14:paraId="70DC6DC5">
      <w:pPr>
        <w:pStyle w:val="36"/>
        <w:ind w:firstLine="400"/>
      </w:pPr>
    </w:p>
    <w:p w14:paraId="5578D062">
      <w:pPr>
        <w:pStyle w:val="36"/>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cs="Times New Roman"/>
          <w:b/>
          <w:bCs/>
          <w:color w:val="000000" w:themeColor="text1"/>
          <w:sz w:val="32"/>
          <w:szCs w:val="32"/>
          <w:lang w:eastAsia="zh-CN"/>
          <w14:textFill>
            <w14:solidFill>
              <w14:schemeClr w14:val="tx1"/>
            </w14:solidFill>
          </w14:textFill>
        </w:rPr>
        <w:t>三、资质要求</w:t>
      </w:r>
    </w:p>
    <w:p w14:paraId="50BCD907">
      <w:pPr>
        <w:pStyle w:val="36"/>
        <w:adjustRightInd w:val="0"/>
        <w:snapToGrid w:val="0"/>
        <w:spacing w:line="360" w:lineRule="exact"/>
        <w:ind w:left="0" w:leftChars="0" w:firstLine="480" w:firstLineChars="200"/>
        <w:jc w:val="left"/>
        <w:rPr>
          <w:rFonts w:hint="eastAsia" w:ascii="宋体" w:hAnsi="宋体" w:eastAsia="宋体" w:cs="宋体"/>
          <w:color w:val="auto"/>
          <w:sz w:val="24"/>
          <w:lang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val="en-US" w:eastAsia="zh-CN"/>
        </w:rPr>
        <w:t>须具备</w:t>
      </w:r>
      <w:r>
        <w:rPr>
          <w:rFonts w:hint="eastAsia" w:ascii="宋体" w:hAnsi="宋体" w:cs="宋体"/>
          <w:sz w:val="24"/>
        </w:rPr>
        <w:t>工</w:t>
      </w:r>
      <w:r>
        <w:rPr>
          <w:rFonts w:hint="eastAsia" w:ascii="宋体" w:hAnsi="宋体" w:cs="宋体"/>
          <w:color w:val="auto"/>
          <w:sz w:val="24"/>
        </w:rPr>
        <w:t>程监理综合资质或房屋建筑工程监理乙级(或以上）资质</w:t>
      </w:r>
      <w:r>
        <w:rPr>
          <w:rFonts w:hint="eastAsia" w:ascii="宋体" w:hAnsi="宋体" w:eastAsia="宋体" w:cs="宋体"/>
          <w:color w:val="auto"/>
          <w:sz w:val="24"/>
          <w:szCs w:val="24"/>
        </w:rPr>
        <w:t>。</w:t>
      </w:r>
      <w:r>
        <w:rPr>
          <w:rFonts w:hint="eastAsia" w:ascii="宋体" w:hAnsi="宋体" w:cs="宋体"/>
          <w:color w:val="auto"/>
          <w:sz w:val="24"/>
          <w:lang w:eastAsia="zh-CN"/>
        </w:rPr>
        <w:t>提</w:t>
      </w:r>
      <w:r>
        <w:rPr>
          <w:rFonts w:hint="eastAsia" w:ascii="宋体" w:hAnsi="宋体" w:cs="宋体"/>
          <w:sz w:val="24"/>
          <w:lang w:eastAsia="zh-CN"/>
        </w:rPr>
        <w:t>供</w:t>
      </w:r>
      <w:r>
        <w:rPr>
          <w:rFonts w:hint="eastAsia" w:ascii="宋体" w:hAnsi="宋体" w:cs="宋体"/>
          <w:color w:val="auto"/>
          <w:sz w:val="24"/>
          <w:lang w:eastAsia="zh-CN"/>
        </w:rPr>
        <w:t>资质证书</w:t>
      </w:r>
      <w:r>
        <w:rPr>
          <w:rFonts w:hint="eastAsia" w:ascii="宋体" w:hAnsi="宋体" w:cs="宋体"/>
          <w:sz w:val="24"/>
          <w:lang w:eastAsia="zh-CN"/>
        </w:rPr>
        <w:t>复印件，</w:t>
      </w: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14:paraId="058DBDA9">
      <w:pPr>
        <w:pStyle w:val="36"/>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592B66EA">
      <w:pPr>
        <w:pStyle w:val="36"/>
        <w:ind w:firstLine="400"/>
      </w:pPr>
    </w:p>
    <w:p w14:paraId="50E0AE89">
      <w:pPr>
        <w:pStyle w:val="36"/>
        <w:ind w:firstLine="400"/>
      </w:pPr>
    </w:p>
    <w:p w14:paraId="31F020AA">
      <w:pPr>
        <w:pStyle w:val="36"/>
        <w:ind w:firstLine="400"/>
      </w:pPr>
    </w:p>
    <w:p w14:paraId="283A9FFD">
      <w:pPr>
        <w:pStyle w:val="36"/>
        <w:ind w:firstLine="400"/>
      </w:pPr>
    </w:p>
    <w:p w14:paraId="0803981A">
      <w:pPr>
        <w:pStyle w:val="36"/>
        <w:ind w:firstLine="400"/>
      </w:pPr>
    </w:p>
    <w:p w14:paraId="0C9D38CD">
      <w:pPr>
        <w:pStyle w:val="36"/>
        <w:ind w:firstLine="400"/>
      </w:pPr>
    </w:p>
    <w:p w14:paraId="792666AC">
      <w:pPr>
        <w:pStyle w:val="36"/>
        <w:ind w:firstLine="400"/>
      </w:pPr>
    </w:p>
    <w:p w14:paraId="099FCF62">
      <w:pPr>
        <w:pStyle w:val="36"/>
        <w:ind w:firstLine="400"/>
      </w:pPr>
    </w:p>
    <w:p w14:paraId="37E4E37E">
      <w:pPr>
        <w:pStyle w:val="36"/>
        <w:ind w:firstLine="400"/>
      </w:pPr>
    </w:p>
    <w:p w14:paraId="4561B6E3">
      <w:pPr>
        <w:pStyle w:val="36"/>
        <w:ind w:firstLine="400"/>
      </w:pPr>
    </w:p>
    <w:p w14:paraId="42C83C92">
      <w:pPr>
        <w:pStyle w:val="36"/>
        <w:ind w:firstLine="400"/>
      </w:pPr>
    </w:p>
    <w:p w14:paraId="6ED1B391">
      <w:pPr>
        <w:pStyle w:val="36"/>
        <w:ind w:firstLine="400"/>
      </w:pPr>
    </w:p>
    <w:p w14:paraId="7877839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BAA99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00821B">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9B1E79B">
      <w:pPr>
        <w:pStyle w:val="9"/>
      </w:pPr>
    </w:p>
    <w:p w14:paraId="4505D7BF">
      <w:pPr>
        <w:pStyle w:val="36"/>
        <w:ind w:firstLine="400"/>
      </w:pPr>
    </w:p>
    <w:p w14:paraId="41466FBA">
      <w:pPr>
        <w:pStyle w:val="9"/>
        <w:rPr>
          <w:rFonts w:hint="eastAsia" w:ascii="微软雅黑" w:hAnsi="微软雅黑" w:eastAsia="微软雅黑" w:cs="微软雅黑"/>
          <w:color w:val="auto"/>
        </w:rPr>
      </w:pPr>
      <w:bookmarkStart w:id="121" w:name="_Toc50737288"/>
      <w:bookmarkStart w:id="122" w:name="_Toc76354916"/>
      <w:bookmarkStart w:id="123" w:name="_Toc50691021"/>
      <w:bookmarkStart w:id="124" w:name="_Toc50736468"/>
      <w:bookmarkStart w:id="125" w:name="_Toc50737320"/>
      <w:bookmarkStart w:id="126" w:name="_Toc385940869"/>
      <w:bookmarkStart w:id="127" w:name="_Toc385939528"/>
      <w:bookmarkStart w:id="128" w:name="_Toc417914518"/>
    </w:p>
    <w:p w14:paraId="3839BC6C">
      <w:pPr>
        <w:rPr>
          <w:rFonts w:hint="eastAsia" w:ascii="微软雅黑" w:hAnsi="微软雅黑" w:eastAsia="微软雅黑" w:cs="微软雅黑"/>
          <w:color w:val="auto"/>
        </w:rPr>
      </w:pPr>
    </w:p>
    <w:p w14:paraId="7303112B">
      <w:pPr>
        <w:pStyle w:val="8"/>
        <w:spacing w:line="360" w:lineRule="auto"/>
        <w:rPr>
          <w:rFonts w:hint="eastAsia" w:ascii="微软雅黑" w:hAnsi="微软雅黑" w:eastAsia="微软雅黑" w:cs="微软雅黑"/>
          <w:color w:val="auto"/>
        </w:rPr>
      </w:pPr>
    </w:p>
    <w:p w14:paraId="341523E9">
      <w:pPr>
        <w:rPr>
          <w:rFonts w:hint="eastAsia"/>
        </w:rPr>
      </w:pPr>
    </w:p>
    <w:p w14:paraId="137EC7CC">
      <w:pPr>
        <w:rPr>
          <w:rFonts w:hint="eastAsia"/>
        </w:rPr>
      </w:pPr>
    </w:p>
    <w:p w14:paraId="02339874">
      <w:pPr>
        <w:rPr>
          <w:rFonts w:hint="eastAsia" w:ascii="微软雅黑" w:hAnsi="微软雅黑" w:eastAsia="微软雅黑" w:cs="微软雅黑"/>
          <w:color w:val="auto"/>
        </w:rPr>
      </w:pPr>
    </w:p>
    <w:p w14:paraId="0E11970C">
      <w:pPr>
        <w:pStyle w:val="9"/>
        <w:rPr>
          <w:rFonts w:hint="eastAsia"/>
        </w:rPr>
      </w:pPr>
    </w:p>
    <w:p w14:paraId="05AF2EA3">
      <w:pPr>
        <w:pStyle w:val="8"/>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9"/>
        <w:rPr>
          <w:rFonts w:hint="eastAsia"/>
        </w:rPr>
      </w:pPr>
    </w:p>
    <w:p w14:paraId="20018DCE">
      <w:pPr>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5681AA9B">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202EA6C6">
      <w:pPr>
        <w:pStyle w:val="36"/>
        <w:ind w:firstLine="400"/>
        <w:rPr>
          <w:color w:val="000000" w:themeColor="text1"/>
          <w14:textFill>
            <w14:solidFill>
              <w14:schemeClr w14:val="tx1"/>
            </w14:solidFill>
          </w14:textFill>
        </w:rPr>
      </w:pPr>
    </w:p>
    <w:p w14:paraId="20040B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color w:val="auto"/>
          <w:sz w:val="24"/>
          <w:szCs w:val="24"/>
          <w:highlight w:val="none"/>
          <w:lang w:val="en-US" w:eastAsia="zh-CN"/>
        </w:rPr>
      </w:pPr>
    </w:p>
    <w:p w14:paraId="2D5196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一、项目</w:t>
      </w:r>
      <w:r>
        <w:rPr>
          <w:rFonts w:hint="eastAsia" w:ascii="宋体" w:hAnsi="宋体" w:eastAsia="宋体" w:cs="宋体"/>
          <w:b/>
          <w:bCs/>
          <w:color w:val="auto"/>
          <w:sz w:val="24"/>
          <w:szCs w:val="24"/>
          <w:highlight w:val="none"/>
          <w:lang w:eastAsia="zh-CN"/>
        </w:rPr>
        <w:t>概况</w:t>
      </w:r>
    </w:p>
    <w:p w14:paraId="0F0270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lang w:val="zh-CN" w:eastAsia="zh-CN"/>
        </w:rPr>
        <w:t>项目名称：中山大学孙逸仙纪念医院2026年度工程项目</w:t>
      </w:r>
      <w:r>
        <w:rPr>
          <w:rFonts w:hint="eastAsia" w:ascii="宋体" w:hAnsi="宋体" w:cs="宋体"/>
          <w:bCs/>
          <w:color w:val="auto"/>
          <w:sz w:val="24"/>
          <w:lang w:val="en-US" w:eastAsia="zh-CN"/>
        </w:rPr>
        <w:t>监理</w:t>
      </w:r>
      <w:r>
        <w:rPr>
          <w:rFonts w:hint="eastAsia" w:ascii="宋体" w:hAnsi="宋体" w:eastAsia="宋体" w:cs="宋体"/>
          <w:bCs/>
          <w:color w:val="auto"/>
          <w:sz w:val="24"/>
          <w:lang w:val="zh-CN" w:eastAsia="zh-CN"/>
        </w:rPr>
        <w:t>服务</w:t>
      </w:r>
      <w:r>
        <w:rPr>
          <w:rFonts w:hint="eastAsia" w:ascii="宋体" w:hAnsi="宋体" w:eastAsia="宋体" w:cs="宋体"/>
          <w:bCs/>
          <w:color w:val="auto"/>
          <w:sz w:val="24"/>
          <w:lang w:val="en-US" w:eastAsia="zh-CN"/>
        </w:rPr>
        <w:t>采购项目</w:t>
      </w:r>
    </w:p>
    <w:p w14:paraId="6BAC70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bookmarkStart w:id="129" w:name="_Hlk55324807"/>
      <w:r>
        <w:rPr>
          <w:rFonts w:hint="eastAsia" w:ascii="宋体" w:hAnsi="宋体" w:eastAsia="宋体" w:cs="宋体"/>
          <w:bCs/>
          <w:color w:val="auto"/>
          <w:sz w:val="24"/>
          <w:lang w:val="en-US" w:eastAsia="zh-CN"/>
        </w:rPr>
        <w:t>2、</w:t>
      </w:r>
      <w:r>
        <w:rPr>
          <w:rFonts w:hint="eastAsia" w:ascii="宋体" w:hAnsi="宋体" w:eastAsia="宋体" w:cs="宋体"/>
          <w:bCs/>
          <w:color w:val="auto"/>
          <w:sz w:val="24"/>
          <w:lang w:val="zh-CN" w:eastAsia="zh-CN"/>
        </w:rPr>
        <w:t>采购单位</w:t>
      </w:r>
      <w:bookmarkEnd w:id="129"/>
      <w:r>
        <w:rPr>
          <w:rFonts w:hint="eastAsia" w:ascii="宋体" w:hAnsi="宋体" w:eastAsia="宋体" w:cs="宋体"/>
          <w:bCs/>
          <w:color w:val="auto"/>
          <w:sz w:val="24"/>
          <w:lang w:val="zh-CN" w:eastAsia="zh-CN"/>
        </w:rPr>
        <w:t>：中山大学孙逸仙纪念医院</w:t>
      </w:r>
    </w:p>
    <w:p w14:paraId="51612C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ascii="宋体" w:hAnsi="宋体" w:eastAsia="宋体" w:cs="宋体"/>
          <w:bCs/>
          <w:color w:val="auto"/>
          <w:sz w:val="24"/>
          <w:lang w:val="en-US" w:eastAsia="zh-CN"/>
        </w:rPr>
      </w:pPr>
      <w:r>
        <w:rPr>
          <w:rFonts w:hint="eastAsia" w:ascii="宋体" w:hAnsi="宋体" w:eastAsia="宋体" w:cs="宋体"/>
          <w:bCs/>
          <w:color w:val="auto"/>
          <w:sz w:val="24"/>
          <w:lang w:val="en-US" w:eastAsia="zh-CN"/>
        </w:rPr>
        <w:t>3、</w:t>
      </w:r>
      <w:r>
        <w:rPr>
          <w:rFonts w:hint="eastAsia" w:ascii="宋体" w:hAnsi="宋体" w:eastAsia="宋体" w:cs="宋体"/>
          <w:bCs/>
          <w:color w:val="auto"/>
          <w:sz w:val="24"/>
          <w:lang w:val="zh-CN" w:eastAsia="zh-CN"/>
        </w:rPr>
        <w:t>项目地点：中山大学孙逸仙纪念医院北院区、</w:t>
      </w:r>
      <w:r>
        <w:rPr>
          <w:rFonts w:hint="eastAsia" w:ascii="宋体" w:hAnsi="宋体" w:eastAsia="宋体" w:cs="宋体"/>
          <w:bCs/>
          <w:color w:val="auto"/>
          <w:sz w:val="24"/>
          <w:lang w:val="en-US" w:eastAsia="zh-CN"/>
        </w:rPr>
        <w:t>南院区、花都院区以及医院其他物业</w:t>
      </w:r>
      <w:r>
        <w:rPr>
          <w:rFonts w:hint="eastAsia" w:ascii="宋体" w:hAnsi="宋体" w:cs="宋体"/>
          <w:bCs/>
          <w:sz w:val="24"/>
          <w:lang w:val="en-US" w:eastAsia="zh-CN"/>
        </w:rPr>
        <w:t>（包括租赁物业）</w:t>
      </w:r>
      <w:r>
        <w:rPr>
          <w:rFonts w:hint="eastAsia" w:ascii="宋体" w:hAnsi="宋体" w:cs="宋体"/>
          <w:bCs/>
          <w:color w:val="auto"/>
          <w:sz w:val="24"/>
          <w:lang w:val="en-US" w:eastAsia="zh-CN"/>
        </w:rPr>
        <w:t>等。</w:t>
      </w:r>
    </w:p>
    <w:p w14:paraId="32E89D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bCs/>
          <w:color w:val="auto"/>
          <w:sz w:val="24"/>
          <w:lang w:val="en-US" w:eastAsia="zh-CN"/>
        </w:rPr>
      </w:pPr>
      <w:r>
        <w:rPr>
          <w:rFonts w:hint="eastAsia" w:ascii="宋体" w:hAnsi="宋体" w:eastAsia="宋体" w:cs="宋体"/>
          <w:bCs/>
          <w:color w:val="auto"/>
          <w:sz w:val="24"/>
          <w:lang w:val="en-US" w:eastAsia="zh-CN"/>
        </w:rPr>
        <w:t>4、</w:t>
      </w:r>
      <w:r>
        <w:rPr>
          <w:rFonts w:hint="eastAsia" w:ascii="宋体" w:hAnsi="宋体" w:eastAsia="宋体" w:cs="宋体"/>
          <w:bCs/>
          <w:color w:val="auto"/>
          <w:sz w:val="24"/>
          <w:lang w:val="zh-CN" w:eastAsia="zh-CN"/>
        </w:rPr>
        <w:t>项目服务期：</w:t>
      </w:r>
      <w:r>
        <w:rPr>
          <w:rFonts w:hint="eastAsia" w:ascii="宋体" w:hAnsi="宋体" w:cs="宋体"/>
          <w:b w:val="0"/>
          <w:bCs w:val="0"/>
          <w:color w:val="auto"/>
          <w:sz w:val="24"/>
          <w:szCs w:val="20"/>
          <w:highlight w:val="none"/>
          <w:lang w:val="en-US" w:eastAsia="zh-CN"/>
        </w:rPr>
        <w:t>监理委托期限自</w:t>
      </w:r>
      <w:r>
        <w:rPr>
          <w:rFonts w:hint="eastAsia" w:ascii="宋体" w:hAnsi="宋体" w:cs="宋体"/>
          <w:bCs/>
          <w:color w:val="auto"/>
          <w:sz w:val="24"/>
          <w:highlight w:val="none"/>
          <w:lang w:val="en-US" w:eastAsia="zh-CN"/>
        </w:rPr>
        <w:t>2026年1月1日至2026年12月31日</w:t>
      </w:r>
      <w:r>
        <w:rPr>
          <w:rFonts w:hint="eastAsia" w:ascii="宋体" w:hAnsi="宋体" w:cs="宋体"/>
          <w:bCs/>
          <w:color w:val="auto"/>
          <w:sz w:val="24"/>
          <w:highlight w:val="none"/>
        </w:rPr>
        <w:t>，</w:t>
      </w:r>
      <w:r>
        <w:rPr>
          <w:rFonts w:hint="eastAsia" w:ascii="宋体" w:hAnsi="宋体" w:cs="宋体"/>
          <w:color w:val="auto"/>
          <w:sz w:val="24"/>
          <w:szCs w:val="24"/>
          <w:highlight w:val="none"/>
          <w:lang w:val="en-US" w:eastAsia="zh-CN"/>
        </w:rPr>
        <w:t>或累计实际结算款项达到本项目采购预算时止</w:t>
      </w:r>
      <w:r>
        <w:rPr>
          <w:rFonts w:hint="eastAsia" w:ascii="宋体" w:hAnsi="宋体" w:eastAsia="宋体" w:cs="宋体"/>
          <w:color w:val="auto"/>
          <w:sz w:val="24"/>
          <w:szCs w:val="24"/>
          <w:highlight w:val="none"/>
        </w:rPr>
        <w:t>。具体项目</w:t>
      </w:r>
      <w:r>
        <w:rPr>
          <w:rFonts w:hint="eastAsia" w:ascii="宋体" w:hAnsi="宋体" w:cs="宋体"/>
          <w:color w:val="auto"/>
          <w:sz w:val="24"/>
          <w:szCs w:val="24"/>
          <w:highlight w:val="none"/>
          <w:lang w:val="en-US" w:eastAsia="zh-CN"/>
        </w:rPr>
        <w:t>服务时间到</w:t>
      </w:r>
      <w:r>
        <w:rPr>
          <w:rFonts w:hint="eastAsia" w:ascii="宋体" w:hAnsi="宋体" w:cs="宋体"/>
          <w:bCs/>
          <w:color w:val="auto"/>
          <w:sz w:val="24"/>
          <w:highlight w:val="none"/>
          <w:lang w:val="zh-CN"/>
        </w:rPr>
        <w:t>项目工程竣工验收合格并投入使用为止</w:t>
      </w:r>
      <w:r>
        <w:rPr>
          <w:rFonts w:hint="eastAsia" w:ascii="宋体" w:hAnsi="宋体" w:cs="宋体"/>
          <w:bCs/>
          <w:color w:val="auto"/>
          <w:sz w:val="24"/>
          <w:highlight w:val="none"/>
          <w:lang w:val="en-US" w:eastAsia="zh-CN"/>
        </w:rPr>
        <w:t>。</w:t>
      </w:r>
    </w:p>
    <w:p w14:paraId="2479B0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r>
        <w:rPr>
          <w:rFonts w:hint="eastAsia" w:ascii="宋体" w:hAnsi="宋体" w:cs="宋体"/>
          <w:bCs/>
          <w:color w:val="auto"/>
          <w:sz w:val="24"/>
          <w:lang w:val="en-US" w:eastAsia="zh-CN"/>
        </w:rPr>
        <w:t>5、</w:t>
      </w:r>
      <w:r>
        <w:rPr>
          <w:rFonts w:hint="eastAsia" w:ascii="宋体" w:hAnsi="宋体" w:cs="宋体"/>
          <w:bCs/>
          <w:color w:val="auto"/>
          <w:sz w:val="24"/>
          <w:lang w:val="zh-CN" w:eastAsia="zh-CN"/>
        </w:rPr>
        <w:t>最高限价：</w:t>
      </w:r>
      <w:r>
        <w:rPr>
          <w:rFonts w:hint="eastAsia" w:ascii="宋体" w:hAnsi="宋体" w:cs="宋体"/>
          <w:bCs/>
          <w:color w:val="auto"/>
          <w:sz w:val="24"/>
          <w:lang w:val="en-US" w:eastAsia="zh-CN"/>
        </w:rPr>
        <w:t>最高监理</w:t>
      </w:r>
      <w:r>
        <w:rPr>
          <w:rFonts w:hint="eastAsia" w:ascii="宋体" w:hAnsi="宋体" w:cs="宋体"/>
          <w:bCs/>
          <w:color w:val="auto"/>
          <w:sz w:val="24"/>
          <w:lang w:val="zh-CN" w:eastAsia="zh-CN"/>
        </w:rPr>
        <w:t>费率为</w:t>
      </w:r>
      <w:r>
        <w:rPr>
          <w:rFonts w:hint="eastAsia" w:ascii="宋体" w:hAnsi="宋体" w:cs="宋体"/>
          <w:bCs/>
          <w:color w:val="auto"/>
          <w:sz w:val="24"/>
          <w:lang w:val="en-US" w:eastAsia="zh-CN"/>
        </w:rPr>
        <w:t>2</w:t>
      </w:r>
      <w:r>
        <w:rPr>
          <w:rFonts w:hint="eastAsia" w:ascii="宋体" w:hAnsi="宋体" w:eastAsia="宋体" w:cs="宋体"/>
          <w:bCs/>
          <w:color w:val="auto"/>
          <w:sz w:val="24"/>
          <w:lang w:val="en-US" w:eastAsia="zh-CN"/>
        </w:rPr>
        <w:t>.</w:t>
      </w:r>
      <w:r>
        <w:rPr>
          <w:rFonts w:hint="eastAsia" w:ascii="宋体" w:hAnsi="宋体" w:cs="宋体"/>
          <w:bCs/>
          <w:color w:val="auto"/>
          <w:sz w:val="24"/>
          <w:lang w:val="en-US" w:eastAsia="zh-CN"/>
        </w:rPr>
        <w:t>1</w:t>
      </w:r>
      <w:r>
        <w:rPr>
          <w:rFonts w:hint="eastAsia" w:ascii="宋体" w:hAnsi="宋体" w:eastAsia="宋体" w:cs="宋体"/>
          <w:bCs/>
          <w:color w:val="auto"/>
          <w:sz w:val="24"/>
          <w:lang w:val="en-US" w:eastAsia="zh-CN"/>
        </w:rPr>
        <w:t>6</w:t>
      </w:r>
      <w:r>
        <w:rPr>
          <w:rFonts w:hint="eastAsia" w:ascii="宋体" w:hAnsi="宋体" w:eastAsia="宋体" w:cs="宋体"/>
          <w:bCs/>
          <w:color w:val="auto"/>
          <w:sz w:val="24"/>
          <w:lang w:val="zh-CN" w:eastAsia="zh-CN"/>
        </w:rPr>
        <w:t>%。</w:t>
      </w:r>
    </w:p>
    <w:p w14:paraId="75A6C3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6、</w:t>
      </w:r>
      <w:r>
        <w:rPr>
          <w:rFonts w:hint="eastAsia" w:ascii="宋体" w:hAnsi="宋体" w:cs="宋体"/>
          <w:bCs/>
          <w:color w:val="auto"/>
          <w:sz w:val="24"/>
          <w:lang w:val="en-US" w:eastAsia="zh-CN"/>
        </w:rPr>
        <w:t>服务</w:t>
      </w:r>
      <w:r>
        <w:rPr>
          <w:rFonts w:hint="eastAsia" w:ascii="宋体" w:hAnsi="宋体" w:eastAsia="宋体" w:cs="宋体"/>
          <w:bCs/>
          <w:color w:val="auto"/>
          <w:sz w:val="24"/>
          <w:lang w:val="en-US" w:eastAsia="zh-CN"/>
        </w:rPr>
        <w:t>规模：</w:t>
      </w:r>
      <w:r>
        <w:rPr>
          <w:rFonts w:hint="eastAsia" w:ascii="宋体" w:hAnsi="宋体" w:cs="宋体"/>
          <w:bCs/>
          <w:color w:val="auto"/>
          <w:sz w:val="24"/>
          <w:lang w:val="en-US" w:eastAsia="zh-CN"/>
        </w:rPr>
        <w:t>2026年度工程项目的监理</w:t>
      </w:r>
      <w:r>
        <w:rPr>
          <w:rFonts w:hint="eastAsia" w:ascii="宋体" w:hAnsi="宋体" w:eastAsia="宋体" w:cs="宋体"/>
          <w:bCs/>
          <w:color w:val="auto"/>
          <w:sz w:val="24"/>
          <w:lang w:val="en-US" w:eastAsia="zh-CN"/>
        </w:rPr>
        <w:t>合同限额</w:t>
      </w:r>
      <w:r>
        <w:rPr>
          <w:rFonts w:hint="eastAsia" w:ascii="宋体" w:hAnsi="宋体" w:cs="宋体"/>
          <w:bCs/>
          <w:color w:val="auto"/>
          <w:sz w:val="24"/>
          <w:lang w:val="en-US" w:eastAsia="zh-CN"/>
        </w:rPr>
        <w:t>637</w:t>
      </w:r>
      <w:r>
        <w:rPr>
          <w:rFonts w:hint="eastAsia" w:ascii="宋体" w:hAnsi="宋体" w:eastAsia="宋体" w:cs="宋体"/>
          <w:bCs/>
          <w:color w:val="auto"/>
          <w:sz w:val="24"/>
          <w:lang w:val="en-US" w:eastAsia="zh-CN"/>
        </w:rPr>
        <w:t>,</w:t>
      </w:r>
      <w:r>
        <w:rPr>
          <w:rFonts w:hint="eastAsia" w:ascii="宋体" w:hAnsi="宋体" w:cs="宋体"/>
          <w:bCs/>
          <w:color w:val="auto"/>
          <w:sz w:val="24"/>
          <w:lang w:val="en-US" w:eastAsia="zh-CN"/>
        </w:rPr>
        <w:t>848</w:t>
      </w:r>
      <w:r>
        <w:rPr>
          <w:rFonts w:hint="eastAsia" w:ascii="宋体" w:hAnsi="宋体" w:eastAsia="宋体" w:cs="宋体"/>
          <w:bCs/>
          <w:color w:val="auto"/>
          <w:sz w:val="24"/>
          <w:lang w:val="en-US" w:eastAsia="zh-CN"/>
        </w:rPr>
        <w:t>.00元，单个</w:t>
      </w:r>
      <w:r>
        <w:rPr>
          <w:rFonts w:hint="eastAsia" w:ascii="宋体" w:hAnsi="宋体" w:cs="宋体"/>
          <w:bCs/>
          <w:color w:val="auto"/>
          <w:sz w:val="24"/>
          <w:lang w:val="en-US" w:eastAsia="zh-CN"/>
        </w:rPr>
        <w:t>工程项目监理费</w:t>
      </w:r>
      <w:r>
        <w:rPr>
          <w:rFonts w:hint="eastAsia" w:ascii="宋体" w:hAnsi="宋体" w:eastAsia="宋体" w:cs="宋体"/>
          <w:bCs/>
          <w:color w:val="auto"/>
          <w:sz w:val="24"/>
          <w:lang w:val="en-US" w:eastAsia="zh-CN"/>
        </w:rPr>
        <w:t>小于20万元。每个工程项目实施时间和规模大小不确定，采购人不承诺成交供应商服务期内承接项目的具体数量和额度，供应商需充分考虑项目风险。</w:t>
      </w:r>
    </w:p>
    <w:p w14:paraId="511AAE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bCs/>
          <w:color w:val="auto"/>
          <w:sz w:val="24"/>
          <w:lang w:val="en-US" w:eastAsia="zh-CN"/>
        </w:rPr>
      </w:pPr>
      <w:r>
        <w:rPr>
          <w:rFonts w:hint="eastAsia" w:ascii="宋体" w:hAnsi="宋体" w:eastAsia="宋体" w:cs="宋体"/>
          <w:bCs/>
          <w:color w:val="auto"/>
          <w:sz w:val="24"/>
          <w:lang w:val="en-US" w:eastAsia="zh-CN"/>
        </w:rPr>
        <w:t>7、服务内容：以采购人实际需求为准，提供</w:t>
      </w:r>
      <w:r>
        <w:rPr>
          <w:rFonts w:hint="eastAsia" w:ascii="宋体" w:hAnsi="宋体" w:eastAsia="宋体" w:cs="宋体"/>
          <w:bCs/>
          <w:color w:val="auto"/>
          <w:sz w:val="24"/>
          <w:lang w:val="zh-CN" w:eastAsia="zh-CN"/>
        </w:rPr>
        <w:t>包括但不限于质量管理、</w:t>
      </w:r>
      <w:r>
        <w:rPr>
          <w:rFonts w:hint="eastAsia" w:ascii="宋体" w:hAnsi="宋体" w:cs="宋体"/>
          <w:bCs/>
          <w:color w:val="auto"/>
          <w:sz w:val="24"/>
          <w:lang w:val="en-US" w:eastAsia="zh-CN"/>
        </w:rPr>
        <w:t>进度</w:t>
      </w:r>
      <w:r>
        <w:rPr>
          <w:rFonts w:hint="eastAsia" w:ascii="宋体" w:hAnsi="宋体" w:eastAsia="宋体" w:cs="宋体"/>
          <w:bCs/>
          <w:color w:val="auto"/>
          <w:sz w:val="24"/>
          <w:lang w:val="zh-CN" w:eastAsia="zh-CN"/>
        </w:rPr>
        <w:t>管理、投资管理</w:t>
      </w:r>
      <w:r>
        <w:rPr>
          <w:rFonts w:hint="eastAsia" w:ascii="宋体" w:hAnsi="宋体" w:cs="宋体"/>
          <w:bCs/>
          <w:color w:val="auto"/>
          <w:sz w:val="24"/>
          <w:lang w:val="en-US" w:eastAsia="zh-CN"/>
        </w:rPr>
        <w:t>及安全生产</w:t>
      </w:r>
      <w:r>
        <w:rPr>
          <w:rFonts w:hint="eastAsia" w:ascii="宋体" w:hAnsi="宋体" w:eastAsia="宋体" w:cs="宋体"/>
          <w:bCs/>
          <w:color w:val="auto"/>
          <w:sz w:val="24"/>
          <w:lang w:val="zh-CN" w:eastAsia="zh-CN"/>
        </w:rPr>
        <w:t>等</w:t>
      </w:r>
      <w:r>
        <w:rPr>
          <w:rFonts w:hint="eastAsia" w:ascii="宋体" w:hAnsi="宋体" w:cs="宋体"/>
          <w:bCs/>
          <w:color w:val="auto"/>
          <w:sz w:val="24"/>
          <w:lang w:val="zh-CN" w:eastAsia="zh-CN"/>
        </w:rPr>
        <w:t>全过程监理服务</w:t>
      </w:r>
      <w:r>
        <w:rPr>
          <w:rFonts w:hint="eastAsia" w:ascii="宋体" w:hAnsi="宋体" w:cs="宋体"/>
          <w:bCs/>
          <w:color w:val="auto"/>
          <w:sz w:val="24"/>
          <w:lang w:val="en-US" w:eastAsia="zh-CN"/>
        </w:rPr>
        <w:t>。</w:t>
      </w:r>
    </w:p>
    <w:p w14:paraId="509794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bCs/>
          <w:color w:val="auto"/>
          <w:sz w:val="24"/>
          <w:lang w:val="en-US" w:eastAsia="zh-CN"/>
        </w:rPr>
      </w:pPr>
      <w:r>
        <w:rPr>
          <w:rFonts w:hint="eastAsia" w:ascii="宋体" w:hAnsi="宋体" w:cs="宋体"/>
          <w:bCs/>
          <w:color w:val="auto"/>
          <w:sz w:val="24"/>
          <w:lang w:val="en-US" w:eastAsia="zh-CN"/>
        </w:rPr>
        <w:t>8、服务范围：包括所服务的工程项目施工准备阶段、施工阶段、验收阶段、竣工结算阶段、移交阶段、保修阶段的质量、投资、进度、安全控制；监督、管理建设工程合同的履行，以及协调和工程建设有关各方的工作关系，协助预、结算审核及主材定价、竣工图审核、质量保修等全过程监理工作。</w:t>
      </w:r>
    </w:p>
    <w:p w14:paraId="10B024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default" w:ascii="宋体" w:hAnsi="宋体" w:cs="宋体"/>
          <w:bCs/>
          <w:color w:val="auto"/>
          <w:sz w:val="24"/>
          <w:lang w:val="en-US" w:eastAsia="zh-CN"/>
        </w:rPr>
      </w:pPr>
      <w:r>
        <w:rPr>
          <w:rFonts w:hint="eastAsia" w:ascii="宋体" w:hAnsi="宋体" w:cs="宋体"/>
          <w:b/>
          <w:bCs/>
          <w:color w:val="auto"/>
          <w:sz w:val="24"/>
          <w:szCs w:val="24"/>
          <w:highlight w:val="none"/>
          <w:lang w:val="en-US" w:eastAsia="zh-CN"/>
        </w:rPr>
        <w:t>二、总体要求</w:t>
      </w:r>
    </w:p>
    <w:p w14:paraId="0C9134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en-US" w:eastAsia="zh-CN"/>
        </w:rPr>
      </w:pPr>
      <w:r>
        <w:rPr>
          <w:rFonts w:hint="eastAsia" w:ascii="宋体" w:hAnsi="宋体" w:cs="宋体"/>
          <w:bCs/>
          <w:color w:val="auto"/>
          <w:sz w:val="24"/>
          <w:lang w:val="en-US" w:eastAsia="zh-CN"/>
        </w:rPr>
        <w:t>1、</w:t>
      </w:r>
      <w:r>
        <w:rPr>
          <w:rFonts w:hint="eastAsia" w:ascii="宋体" w:hAnsi="宋体" w:eastAsia="宋体" w:cs="宋体"/>
          <w:bCs/>
          <w:color w:val="auto"/>
          <w:sz w:val="24"/>
          <w:lang w:val="en-US" w:eastAsia="zh-CN"/>
        </w:rPr>
        <w:t>负责承担采购人2026年度</w:t>
      </w:r>
      <w:r>
        <w:rPr>
          <w:rFonts w:hint="eastAsia" w:ascii="宋体" w:hAnsi="宋体" w:cs="宋体"/>
          <w:sz w:val="24"/>
          <w:szCs w:val="24"/>
        </w:rPr>
        <w:t>小型项目（按计费费率乘以工程造价得出监理费低于20万元的项目）的全过程监理服务，包括但不限于质量管理、</w:t>
      </w:r>
      <w:r>
        <w:rPr>
          <w:rFonts w:hint="eastAsia" w:ascii="宋体" w:hAnsi="宋体" w:cs="宋体"/>
          <w:sz w:val="24"/>
          <w:szCs w:val="24"/>
          <w:lang w:val="en-US" w:eastAsia="zh-CN"/>
        </w:rPr>
        <w:t>进度</w:t>
      </w:r>
      <w:r>
        <w:rPr>
          <w:rFonts w:hint="eastAsia" w:ascii="宋体" w:hAnsi="宋体" w:cs="宋体"/>
          <w:sz w:val="24"/>
          <w:szCs w:val="24"/>
        </w:rPr>
        <w:t>管理、投资管理</w:t>
      </w:r>
      <w:r>
        <w:rPr>
          <w:rFonts w:hint="eastAsia" w:ascii="宋体" w:hAnsi="宋体" w:cs="宋体"/>
          <w:sz w:val="24"/>
          <w:szCs w:val="24"/>
          <w:lang w:val="en-US" w:eastAsia="zh-CN"/>
        </w:rPr>
        <w:t>及安全生产</w:t>
      </w:r>
      <w:r>
        <w:rPr>
          <w:rFonts w:hint="eastAsia" w:ascii="宋体" w:hAnsi="宋体" w:cs="宋体"/>
          <w:sz w:val="24"/>
          <w:szCs w:val="24"/>
        </w:rPr>
        <w:t>等全过程监理服务。具体实施服务项目以</w:t>
      </w:r>
      <w:r>
        <w:rPr>
          <w:rFonts w:hint="eastAsia" w:ascii="宋体" w:hAnsi="宋体" w:cs="宋体"/>
          <w:sz w:val="24"/>
          <w:szCs w:val="24"/>
          <w:lang w:val="en-US" w:eastAsia="zh-CN"/>
        </w:rPr>
        <w:t>采购人</w:t>
      </w:r>
      <w:r>
        <w:rPr>
          <w:rFonts w:hint="eastAsia" w:ascii="宋体" w:hAnsi="宋体" w:cs="宋体"/>
          <w:sz w:val="24"/>
          <w:szCs w:val="24"/>
        </w:rPr>
        <w:t>发出的联系函为准</w:t>
      </w:r>
      <w:r>
        <w:rPr>
          <w:rFonts w:hint="eastAsia" w:ascii="宋体" w:hAnsi="宋体" w:cs="宋体"/>
          <w:sz w:val="24"/>
          <w:szCs w:val="24"/>
          <w:lang w:eastAsia="zh-CN"/>
        </w:rPr>
        <w:t>。</w:t>
      </w:r>
    </w:p>
    <w:p w14:paraId="6FEE26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根据统计，2026年拟开展的工程项目中需要</w:t>
      </w:r>
      <w:r>
        <w:rPr>
          <w:rFonts w:hint="eastAsia" w:ascii="宋体" w:hAnsi="宋体" w:cs="宋体"/>
          <w:bCs/>
          <w:color w:val="auto"/>
          <w:sz w:val="24"/>
          <w:lang w:val="en-US" w:eastAsia="zh-CN"/>
        </w:rPr>
        <w:t>监理</w:t>
      </w:r>
      <w:r>
        <w:rPr>
          <w:rFonts w:hint="eastAsia" w:ascii="宋体" w:hAnsi="宋体" w:eastAsia="宋体" w:cs="宋体"/>
          <w:bCs/>
          <w:color w:val="auto"/>
          <w:sz w:val="24"/>
          <w:lang w:val="en-US" w:eastAsia="zh-CN"/>
        </w:rPr>
        <w:t>且</w:t>
      </w:r>
      <w:r>
        <w:rPr>
          <w:rFonts w:hint="eastAsia" w:ascii="宋体" w:hAnsi="宋体" w:cs="宋体"/>
          <w:bCs/>
          <w:color w:val="auto"/>
          <w:sz w:val="24"/>
          <w:lang w:val="en-US" w:eastAsia="zh-CN"/>
        </w:rPr>
        <w:t>监理</w:t>
      </w:r>
      <w:r>
        <w:rPr>
          <w:rFonts w:hint="eastAsia" w:ascii="宋体" w:hAnsi="宋体" w:eastAsia="宋体" w:cs="宋体"/>
          <w:bCs/>
          <w:color w:val="auto"/>
          <w:sz w:val="24"/>
          <w:lang w:val="en-US" w:eastAsia="zh-CN"/>
        </w:rPr>
        <w:t>费小于20万元的项目施工合同总金额约2</w:t>
      </w:r>
      <w:r>
        <w:rPr>
          <w:rFonts w:hint="eastAsia" w:ascii="宋体" w:hAnsi="宋体" w:cs="宋体"/>
          <w:bCs/>
          <w:color w:val="auto"/>
          <w:sz w:val="24"/>
          <w:lang w:val="en-US" w:eastAsia="zh-CN"/>
        </w:rPr>
        <w:t>953</w:t>
      </w:r>
      <w:r>
        <w:rPr>
          <w:rFonts w:hint="eastAsia" w:ascii="宋体" w:hAnsi="宋体" w:eastAsia="宋体" w:cs="宋体"/>
          <w:bCs/>
          <w:color w:val="auto"/>
          <w:sz w:val="24"/>
          <w:lang w:val="en-US" w:eastAsia="zh-CN"/>
        </w:rPr>
        <w:t>万元，实际的项目数量、项目总投资金额可能会因项目的具体情况而有所不同，仅供参考。</w:t>
      </w:r>
    </w:p>
    <w:p w14:paraId="59C393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lang w:val="en-US" w:eastAsia="zh-CN"/>
        </w:rPr>
        <w:t>2、</w:t>
      </w:r>
      <w:r>
        <w:rPr>
          <w:rFonts w:ascii="宋体" w:hAnsi="宋体" w:cs="宋体"/>
          <w:sz w:val="24"/>
          <w:szCs w:val="24"/>
        </w:rPr>
        <w:t>成交</w:t>
      </w:r>
      <w:r>
        <w:rPr>
          <w:rFonts w:hint="eastAsia" w:ascii="宋体" w:hAnsi="宋体" w:cs="宋体"/>
          <w:sz w:val="24"/>
          <w:szCs w:val="24"/>
          <w:lang w:val="en-US" w:eastAsia="zh-CN"/>
        </w:rPr>
        <w:t>供应商</w:t>
      </w:r>
      <w:r>
        <w:rPr>
          <w:rFonts w:ascii="宋体" w:hAnsi="宋体" w:cs="宋体"/>
          <w:sz w:val="24"/>
          <w:szCs w:val="24"/>
        </w:rPr>
        <w:t>不得以任何方式转包或分包本项目，否则采购人有权单方终止合同，由此产生的一切经济损失由成交</w:t>
      </w:r>
      <w:r>
        <w:rPr>
          <w:rFonts w:hint="eastAsia" w:ascii="宋体" w:hAnsi="宋体" w:cs="宋体"/>
          <w:sz w:val="24"/>
          <w:szCs w:val="24"/>
          <w:lang w:val="en-US" w:eastAsia="zh-CN"/>
        </w:rPr>
        <w:t>供应商</w:t>
      </w:r>
      <w:r>
        <w:rPr>
          <w:rFonts w:ascii="宋体" w:hAnsi="宋体" w:cs="宋体"/>
          <w:sz w:val="24"/>
          <w:szCs w:val="24"/>
        </w:rPr>
        <w:t>自行承担。</w:t>
      </w:r>
    </w:p>
    <w:p w14:paraId="1DB4C8AE">
      <w:pPr>
        <w:pStyle w:val="36"/>
        <w:spacing w:line="380" w:lineRule="exact"/>
        <w:ind w:left="0" w:leftChars="0" w:firstLine="482" w:firstLineChars="200"/>
        <w:rPr>
          <w:rFonts w:ascii="宋体" w:hAnsi="宋体" w:cs="宋体"/>
          <w:b/>
          <w:bCs/>
          <w:sz w:val="24"/>
        </w:rPr>
      </w:pPr>
      <w:r>
        <w:rPr>
          <w:rFonts w:hint="eastAsia" w:ascii="宋体" w:hAnsi="宋体" w:cs="宋体"/>
          <w:b/>
          <w:bCs/>
          <w:sz w:val="24"/>
        </w:rPr>
        <w:t>三、质量要求或技术要求</w:t>
      </w:r>
      <w:r>
        <w:rPr>
          <w:rFonts w:ascii="宋体" w:hAnsi="宋体" w:cs="宋体"/>
          <w:b/>
          <w:bCs/>
          <w:sz w:val="24"/>
        </w:rPr>
        <w:t xml:space="preserve"> </w:t>
      </w:r>
    </w:p>
    <w:p w14:paraId="79903A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1、</w:t>
      </w:r>
      <w:r>
        <w:rPr>
          <w:rFonts w:hint="eastAsia" w:ascii="宋体" w:hAnsi="宋体" w:cs="宋体"/>
          <w:sz w:val="24"/>
          <w:szCs w:val="24"/>
        </w:rPr>
        <w:t>质量控</w:t>
      </w:r>
      <w:r>
        <w:rPr>
          <w:rFonts w:hint="eastAsia" w:ascii="宋体" w:hAnsi="宋体" w:cs="宋体"/>
          <w:sz w:val="24"/>
          <w:szCs w:val="24"/>
          <w:lang w:val="en-US" w:eastAsia="zh-CN"/>
        </w:rPr>
        <w:t>制目标：监理人负责监理的工程，应符合《中华人民共和国建筑法》（2011 修订）《建筑内部装修设计防火规范》、《建设工程质量管理条例》、《给水排水管道工程施工及验收规范》（GB50268-2008）、《建筑工程施工质量验收统一标准》（GB50300-2013）及国家现行相关专业有关施工质量规范标准及设计图纸中相关设计规范、标准，达到合格或（以上标准），并通过供应商及相关主管部门进行的项目验收。</w:t>
      </w:r>
    </w:p>
    <w:p w14:paraId="35DADD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进度控制目标：以各项目施工合同约定的工期为准 ，监理人应加强工期统筹管理，运用先进技术手段，优化工序安排和劳动力、机械、材料的合同调配，杜绝人为管理不善导致窝工停工现象，督促施工单位确保按期或提前完成。</w:t>
      </w:r>
    </w:p>
    <w:p w14:paraId="1245D17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造价控制目标：所监理项目的结算造价不超</w:t>
      </w:r>
      <w:r>
        <w:rPr>
          <w:rFonts w:hint="eastAsia" w:ascii="宋体" w:hAnsi="宋体" w:cs="宋体"/>
          <w:color w:val="auto"/>
          <w:sz w:val="24"/>
          <w:szCs w:val="24"/>
        </w:rPr>
        <w:t>过施工</w:t>
      </w:r>
      <w:r>
        <w:rPr>
          <w:rFonts w:hint="eastAsia" w:ascii="宋体" w:hAnsi="宋体" w:cs="宋体"/>
          <w:color w:val="auto"/>
          <w:sz w:val="24"/>
          <w:szCs w:val="24"/>
          <w:highlight w:val="none"/>
        </w:rPr>
        <w:t>合同价的</w:t>
      </w:r>
      <w:r>
        <w:rPr>
          <w:rFonts w:hint="default" w:ascii="宋体" w:hAnsi="宋体" w:cs="宋体"/>
          <w:color w:val="auto"/>
          <w:sz w:val="24"/>
          <w:szCs w:val="24"/>
          <w:highlight w:val="none"/>
          <w:lang w:val="en-US"/>
        </w:rPr>
        <w:t>1</w:t>
      </w:r>
      <w:r>
        <w:rPr>
          <w:rFonts w:hint="default" w:ascii="宋体" w:hAnsi="宋体" w:cs="宋体"/>
          <w:color w:val="auto"/>
          <w:sz w:val="24"/>
          <w:szCs w:val="24"/>
          <w:highlight w:val="none"/>
          <w:lang w:val="en-US" w:eastAsia="zh-CN"/>
        </w:rPr>
        <w:t>1</w:t>
      </w:r>
      <w:r>
        <w:rPr>
          <w:rFonts w:hint="default" w:ascii="宋体" w:hAnsi="宋体" w:cs="宋体"/>
          <w:color w:val="auto"/>
          <w:sz w:val="24"/>
          <w:szCs w:val="24"/>
          <w:highlight w:val="none"/>
          <w:lang w:val="en-US"/>
        </w:rPr>
        <w:t>0</w:t>
      </w:r>
      <w:r>
        <w:rPr>
          <w:rFonts w:hint="eastAsia" w:ascii="宋体" w:hAnsi="宋体" w:cs="宋体"/>
          <w:color w:val="auto"/>
          <w:sz w:val="24"/>
          <w:szCs w:val="24"/>
          <w:highlight w:val="none"/>
        </w:rPr>
        <w:t>%</w:t>
      </w:r>
      <w:r>
        <w:rPr>
          <w:rFonts w:hint="eastAsia" w:ascii="宋体" w:hAnsi="宋体" w:cs="宋体"/>
          <w:color w:val="auto"/>
          <w:sz w:val="24"/>
          <w:szCs w:val="24"/>
        </w:rPr>
        <w:t>。</w:t>
      </w:r>
    </w:p>
    <w:p w14:paraId="01157450">
      <w:pPr>
        <w:pStyle w:val="36"/>
        <w:spacing w:line="380" w:lineRule="exact"/>
        <w:ind w:firstLine="480" w:firstLineChars="200"/>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安全文明管理目标：确保不发生一般事故等级及以上的安全生产事故且死亡人数为零；确保有关建设人员不违反使用单位安全监管规定。</w:t>
      </w:r>
    </w:p>
    <w:p w14:paraId="7DCE7ECD">
      <w:pPr>
        <w:pStyle w:val="36"/>
        <w:spacing w:line="380" w:lineRule="exact"/>
        <w:ind w:firstLine="480" w:firstLineChars="200"/>
        <w:rPr>
          <w:rFonts w:hint="eastAsia"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环境管理目标：《广州市建设工程现场文明施工管理办法》（穗建质〔2008〕937 号）、《广州市城乡建设委员会关于印发广州市加强建筑工地环保管理工作方案的通知》(穗建质〔2014〕754 号) 、《广州市提升建设工程安全文明施工管理水平的工作指引》（穗建质〔2017〕815 号）、《危险性较大的分部分项工程安全管理规定》(中华人民共和国住房和城乡建设部令第 37 号)、《关于加强建设工程安全生产管理 落实建设各方主体责任的暂行规定》（穗建规字〔2017〕21 号）、《广州市建设工程绿色施工围蔽指导图集（V1.0 试行版）》的通知（穗建质〔2018〕1953 号）、《广州市住房和城乡建设委员会关于实施&lt; 广州市建设工程绿色施工围蔽指导图集（V1.0 试行版）&gt;的补充通知》（穗建质〔2018〕2281 号）和《广州市住房和城乡建设委员会关于印发建设工程扬尘防治“6 个 100%”管理标准细化措施的通知》（穗建质〔2018〕1394 号）等国家、省、市现行标准、规定和文件要求。</w:t>
      </w:r>
    </w:p>
    <w:p w14:paraId="4F68409B">
      <w:pPr>
        <w:pStyle w:val="36"/>
        <w:spacing w:line="380" w:lineRule="exact"/>
        <w:ind w:firstLine="480" w:firstLineChars="200"/>
        <w:rPr>
          <w:rFonts w:hint="eastAsia"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监理文件及档案资料要求：按照广东省 2016 年版通表格式和要求，运用电子化、信息化手段，制作、收集、整理、归档全部监理及相关资料。</w:t>
      </w:r>
    </w:p>
    <w:p w14:paraId="51971E3E">
      <w:pPr>
        <w:pStyle w:val="36"/>
        <w:spacing w:line="380" w:lineRule="exact"/>
        <w:ind w:firstLine="480" w:firstLineChars="200"/>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其他要求：按照法律法规、工程建设标准、勘察设计文件及合同，全面落实对项目全部建设内容的监理服务工作，合同明确约定的必须全面执行，合同未明确的按现行法规、规范、标准及行业惯例落实。其他未尽事宜以合同和法规、规范、标准为准。</w:t>
      </w:r>
    </w:p>
    <w:p w14:paraId="6B2F7DB1">
      <w:pPr>
        <w:numPr>
          <w:ilvl w:val="0"/>
          <w:numId w:val="0"/>
        </w:numPr>
        <w:adjustRightInd w:val="0"/>
        <w:snapToGrid w:val="0"/>
        <w:spacing w:line="380" w:lineRule="exact"/>
        <w:ind w:firstLine="482" w:firstLineChars="200"/>
        <w:jc w:val="left"/>
        <w:rPr>
          <w:rFonts w:ascii="宋体" w:hAnsi="宋体" w:cs="宋体"/>
          <w:b/>
          <w:bCs/>
          <w:sz w:val="24"/>
        </w:rPr>
      </w:pPr>
      <w:r>
        <w:rPr>
          <w:rFonts w:hint="eastAsia" w:ascii="宋体" w:hAnsi="宋体" w:cs="宋体"/>
          <w:b/>
          <w:bCs/>
          <w:sz w:val="24"/>
          <w:lang w:val="en-US" w:eastAsia="zh-CN"/>
        </w:rPr>
        <w:t>四、</w:t>
      </w:r>
      <w:r>
        <w:rPr>
          <w:rFonts w:hint="eastAsia" w:ascii="宋体" w:hAnsi="宋体" w:cs="宋体"/>
          <w:b/>
          <w:bCs/>
          <w:sz w:val="24"/>
        </w:rPr>
        <w:t>服务期及服务成果</w:t>
      </w:r>
      <w:r>
        <w:rPr>
          <w:rFonts w:ascii="宋体" w:hAnsi="宋体" w:cs="宋体"/>
          <w:b/>
          <w:bCs/>
          <w:sz w:val="24"/>
        </w:rPr>
        <w:t xml:space="preserve"> </w:t>
      </w:r>
    </w:p>
    <w:p w14:paraId="0029D025">
      <w:pPr>
        <w:pStyle w:val="36"/>
        <w:spacing w:line="380" w:lineRule="exact"/>
        <w:ind w:firstLine="480"/>
        <w:rPr>
          <w:rFonts w:hint="eastAsia" w:ascii="宋体" w:hAnsi="宋体" w:cs="宋体"/>
          <w:bCs/>
          <w:sz w:val="24"/>
        </w:rPr>
      </w:pPr>
      <w:r>
        <w:rPr>
          <w:rFonts w:hint="eastAsia" w:ascii="宋体" w:hAnsi="宋体" w:cs="宋体"/>
          <w:b w:val="0"/>
          <w:bCs w:val="0"/>
          <w:color w:val="auto"/>
          <w:sz w:val="24"/>
          <w:szCs w:val="20"/>
          <w:highlight w:val="none"/>
          <w:lang w:val="en-US" w:eastAsia="zh-CN"/>
        </w:rPr>
        <w:t>监理委托期限</w:t>
      </w:r>
      <w:r>
        <w:rPr>
          <w:rFonts w:hint="eastAsia" w:ascii="宋体" w:hAnsi="宋体" w:cs="宋体"/>
          <w:bCs/>
          <w:sz w:val="24"/>
          <w:highlight w:val="none"/>
          <w:lang w:val="en-US" w:eastAsia="zh-CN"/>
        </w:rPr>
        <w:t>自2026年1月1日至2026年12月31日止</w:t>
      </w:r>
      <w:r>
        <w:rPr>
          <w:rFonts w:hint="eastAsia" w:ascii="宋体" w:hAnsi="宋体" w:cs="宋体"/>
          <w:bCs/>
          <w:sz w:val="24"/>
          <w:lang w:val="en-US" w:eastAsia="zh-CN"/>
        </w:rPr>
        <w:t>，</w:t>
      </w:r>
      <w:r>
        <w:rPr>
          <w:rFonts w:hint="eastAsia" w:ascii="宋体" w:hAnsi="宋体" w:cs="宋体"/>
          <w:bCs/>
          <w:sz w:val="24"/>
        </w:rPr>
        <w:t>或实际</w:t>
      </w:r>
      <w:r>
        <w:rPr>
          <w:rFonts w:hint="eastAsia" w:cs="宋体"/>
          <w:bCs/>
          <w:sz w:val="24"/>
          <w:lang w:val="en-US" w:eastAsia="zh-CN"/>
        </w:rPr>
        <w:t>监理费</w:t>
      </w:r>
      <w:r>
        <w:rPr>
          <w:rFonts w:hint="eastAsia" w:ascii="宋体" w:hAnsi="宋体" w:cs="宋体"/>
          <w:bCs/>
          <w:sz w:val="24"/>
        </w:rPr>
        <w:t>结算金额累计达到合同总额</w:t>
      </w:r>
      <w:r>
        <w:rPr>
          <w:rFonts w:hint="eastAsia" w:cs="宋体"/>
          <w:bCs/>
          <w:sz w:val="24"/>
          <w:lang w:val="en-US" w:eastAsia="zh-CN"/>
        </w:rPr>
        <w:t>后，委托方后续的改造项目不再委托监理方监理，两者</w:t>
      </w:r>
      <w:r>
        <w:rPr>
          <w:rFonts w:hint="eastAsia" w:ascii="宋体" w:hAnsi="宋体" w:cs="宋体"/>
          <w:bCs/>
          <w:sz w:val="24"/>
        </w:rPr>
        <w:t>以先到者为准</w:t>
      </w:r>
      <w:r>
        <w:rPr>
          <w:rFonts w:hint="eastAsia" w:ascii="宋体" w:hAnsi="宋体" w:cs="宋体"/>
          <w:bCs/>
          <w:sz w:val="24"/>
          <w:lang w:eastAsia="zh-CN"/>
        </w:rPr>
        <w:t>。</w:t>
      </w:r>
      <w:r>
        <w:rPr>
          <w:rFonts w:hint="eastAsia" w:cs="宋体"/>
          <w:bCs/>
          <w:sz w:val="24"/>
          <w:lang w:val="en-US" w:eastAsia="zh-CN"/>
        </w:rPr>
        <w:t>监理方需对已经委托的项目完成监理服务，</w:t>
      </w:r>
      <w:r>
        <w:rPr>
          <w:rFonts w:hint="eastAsia" w:ascii="宋体" w:hAnsi="宋体" w:cs="宋体"/>
          <w:bCs/>
          <w:sz w:val="24"/>
        </w:rPr>
        <w:t>本合同期限</w:t>
      </w:r>
      <w:r>
        <w:rPr>
          <w:rFonts w:hint="eastAsia" w:ascii="宋体" w:hAnsi="宋体" w:cs="宋体"/>
          <w:bCs/>
          <w:sz w:val="24"/>
          <w:lang w:val="en-US" w:eastAsia="zh-CN"/>
        </w:rPr>
        <w:t>为委托监理项目质保期结束并完成项目结算</w:t>
      </w:r>
      <w:r>
        <w:rPr>
          <w:rFonts w:hint="eastAsia" w:ascii="宋体" w:hAnsi="宋体" w:cs="宋体"/>
          <w:bCs/>
          <w:sz w:val="24"/>
          <w:lang w:eastAsia="zh-CN"/>
        </w:rPr>
        <w:t>，</w:t>
      </w:r>
      <w:r>
        <w:rPr>
          <w:rFonts w:hint="eastAsia" w:ascii="宋体" w:hAnsi="宋体" w:cs="宋体"/>
          <w:bCs/>
          <w:sz w:val="24"/>
        </w:rPr>
        <w:t>监理服务周期必须满足实际施工要求，监理人须实行全过程监理服务</w:t>
      </w:r>
      <w:r>
        <w:rPr>
          <w:rFonts w:hint="eastAsia"/>
          <w:color w:val="000000"/>
          <w:sz w:val="24"/>
          <w:szCs w:val="24"/>
          <w:lang w:eastAsia="zh-CN"/>
        </w:rPr>
        <w:t>，</w:t>
      </w:r>
      <w:r>
        <w:rPr>
          <w:rFonts w:hint="eastAsia"/>
          <w:color w:val="000000"/>
          <w:sz w:val="24"/>
          <w:szCs w:val="24"/>
          <w:lang w:val="en-US" w:eastAsia="zh-CN"/>
        </w:rPr>
        <w:t>不得以监理合同到期作为推脱的理由</w:t>
      </w:r>
      <w:r>
        <w:rPr>
          <w:rFonts w:hint="eastAsia" w:ascii="宋体" w:hAnsi="宋体" w:cs="宋体"/>
          <w:bCs/>
          <w:sz w:val="24"/>
        </w:rPr>
        <w:t>。若因工程建设需要延长工程监理服务期的，监理人不得因工程监理服务期延长而要求增加工程监理服务费。</w:t>
      </w:r>
    </w:p>
    <w:p w14:paraId="65A68763">
      <w:pPr>
        <w:pStyle w:val="36"/>
        <w:spacing w:line="380" w:lineRule="exact"/>
        <w:ind w:firstLine="480"/>
        <w:rPr>
          <w:rFonts w:hint="eastAsia" w:ascii="宋体" w:hAnsi="宋体" w:cs="宋体"/>
          <w:bCs/>
          <w:sz w:val="24"/>
        </w:rPr>
      </w:pPr>
      <w:r>
        <w:rPr>
          <w:rFonts w:hint="eastAsia" w:ascii="宋体" w:hAnsi="宋体" w:cs="宋体"/>
          <w:bCs/>
          <w:sz w:val="24"/>
        </w:rPr>
        <w:t>按合同约定定时提交周报，月报，现场签证等资料。</w:t>
      </w:r>
    </w:p>
    <w:p w14:paraId="1D9485BA">
      <w:pPr>
        <w:pStyle w:val="36"/>
        <w:spacing w:line="380" w:lineRule="exact"/>
        <w:ind w:firstLine="480"/>
        <w:rPr>
          <w:rFonts w:hint="default" w:ascii="宋体" w:hAnsi="宋体" w:cs="宋体"/>
          <w:bCs/>
          <w:sz w:val="24"/>
          <w:lang w:val="en-US" w:eastAsia="zh-CN"/>
        </w:rPr>
      </w:pPr>
      <w:r>
        <w:rPr>
          <w:rFonts w:hint="eastAsia" w:ascii="宋体" w:hAnsi="宋体" w:cs="宋体"/>
          <w:b/>
          <w:bCs w:val="0"/>
          <w:sz w:val="24"/>
          <w:lang w:val="en-US" w:eastAsia="zh-CN"/>
        </w:rPr>
        <w:t>五、</w:t>
      </w:r>
      <w:r>
        <w:rPr>
          <w:rFonts w:hint="eastAsia" w:ascii="宋体" w:hAnsi="宋体" w:cs="宋体"/>
          <w:b/>
          <w:bCs w:val="0"/>
          <w:sz w:val="24"/>
        </w:rPr>
        <w:t>服务</w:t>
      </w:r>
      <w:r>
        <w:rPr>
          <w:rFonts w:hint="eastAsia" w:ascii="宋体" w:hAnsi="宋体" w:cs="宋体"/>
          <w:b/>
          <w:bCs w:val="0"/>
          <w:sz w:val="24"/>
          <w:lang w:val="en-US" w:eastAsia="zh-CN"/>
        </w:rPr>
        <w:t>要求</w:t>
      </w:r>
    </w:p>
    <w:p w14:paraId="44D52C62">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具体见合同。</w:t>
      </w:r>
    </w:p>
    <w:p w14:paraId="1574E4E2">
      <w:pPr>
        <w:pStyle w:val="36"/>
        <w:spacing w:line="380" w:lineRule="exact"/>
        <w:ind w:firstLine="480"/>
        <w:rPr>
          <w:rFonts w:hint="eastAsia" w:ascii="宋体" w:hAnsi="宋体" w:cs="宋体"/>
          <w:bCs/>
          <w:sz w:val="24"/>
          <w:lang w:val="en-US" w:eastAsia="zh-CN"/>
        </w:rPr>
      </w:pPr>
      <w:r>
        <w:rPr>
          <w:rFonts w:hint="eastAsia" w:ascii="宋体" w:hAnsi="宋体" w:cs="宋体"/>
          <w:b/>
          <w:bCs w:val="0"/>
          <w:sz w:val="24"/>
          <w:lang w:val="en-US" w:eastAsia="zh-CN"/>
        </w:rPr>
        <w:t>六、团队要求</w:t>
      </w:r>
    </w:p>
    <w:p w14:paraId="3EC99127">
      <w:pPr>
        <w:pStyle w:val="36"/>
        <w:spacing w:line="380" w:lineRule="exact"/>
        <w:ind w:firstLine="480"/>
        <w:rPr>
          <w:rFonts w:hint="default" w:ascii="宋体" w:hAnsi="宋体" w:cs="宋体"/>
          <w:bCs/>
          <w:sz w:val="24"/>
          <w:lang w:val="en-US" w:eastAsia="zh-CN"/>
        </w:rPr>
      </w:pPr>
      <w:r>
        <w:rPr>
          <w:rFonts w:hint="eastAsia" w:ascii="宋体" w:hAnsi="宋体" w:cs="宋体"/>
          <w:bCs/>
          <w:sz w:val="24"/>
          <w:lang w:val="en-US" w:eastAsia="zh-CN"/>
        </w:rPr>
        <w:t>1、总监理工程师1名。</w:t>
      </w:r>
    </w:p>
    <w:p w14:paraId="66C210DE">
      <w:pPr>
        <w:pStyle w:val="36"/>
        <w:spacing w:line="380" w:lineRule="exact"/>
        <w:ind w:firstLine="480"/>
        <w:rPr>
          <w:rFonts w:hint="eastAsia" w:ascii="宋体" w:hAnsi="宋体" w:cs="宋体"/>
          <w:bCs/>
          <w:color w:val="auto"/>
          <w:sz w:val="24"/>
        </w:rPr>
      </w:pPr>
      <w:r>
        <w:rPr>
          <w:rFonts w:hint="eastAsia" w:ascii="宋体" w:hAnsi="宋体" w:cs="宋体"/>
          <w:bCs/>
          <w:sz w:val="24"/>
          <w:lang w:val="en-US" w:eastAsia="zh-CN"/>
        </w:rPr>
        <w:t>2</w:t>
      </w:r>
      <w:r>
        <w:rPr>
          <w:rFonts w:hint="eastAsia" w:ascii="宋体" w:hAnsi="宋体" w:cs="宋体"/>
          <w:bCs/>
          <w:sz w:val="24"/>
        </w:rPr>
        <w:t>、总监理工程师代表1名，需在采购人指定地方</w:t>
      </w:r>
      <w:r>
        <w:rPr>
          <w:rFonts w:hint="eastAsia" w:ascii="宋体" w:hAnsi="宋体" w:cs="宋体"/>
          <w:bCs/>
          <w:color w:val="auto"/>
          <w:sz w:val="24"/>
        </w:rPr>
        <w:t>驻场工作。</w:t>
      </w:r>
    </w:p>
    <w:p w14:paraId="282A4199">
      <w:pPr>
        <w:pStyle w:val="36"/>
        <w:spacing w:line="380" w:lineRule="exact"/>
        <w:ind w:firstLine="480"/>
        <w:rPr>
          <w:rFonts w:hint="default" w:ascii="宋体" w:hAnsi="宋体" w:cs="宋体"/>
          <w:bCs/>
          <w:sz w:val="24"/>
          <w:lang w:val="en-US" w:eastAsia="zh-CN"/>
        </w:rPr>
      </w:pPr>
      <w:r>
        <w:rPr>
          <w:rFonts w:hint="eastAsia" w:ascii="宋体" w:hAnsi="宋体" w:cs="宋体"/>
          <w:bCs/>
          <w:color w:val="auto"/>
          <w:sz w:val="24"/>
          <w:lang w:val="en-US" w:eastAsia="zh-CN"/>
        </w:rPr>
        <w:t>3</w:t>
      </w:r>
      <w:r>
        <w:rPr>
          <w:rFonts w:hint="eastAsia" w:ascii="宋体" w:hAnsi="宋体" w:cs="宋体"/>
          <w:bCs/>
          <w:color w:val="auto"/>
          <w:sz w:val="24"/>
        </w:rPr>
        <w:t>、</w:t>
      </w:r>
      <w:r>
        <w:rPr>
          <w:rFonts w:hint="eastAsia" w:ascii="宋体" w:hAnsi="宋体" w:cs="宋体"/>
          <w:bCs/>
          <w:color w:val="auto"/>
          <w:sz w:val="24"/>
          <w:lang w:val="en-US" w:eastAsia="zh-CN"/>
        </w:rPr>
        <w:t>需</w:t>
      </w:r>
      <w:r>
        <w:rPr>
          <w:rFonts w:hint="eastAsia" w:ascii="宋体" w:hAnsi="宋体" w:cs="宋体"/>
          <w:bCs/>
          <w:color w:val="auto"/>
          <w:sz w:val="24"/>
        </w:rPr>
        <w:t>配备专业监理工程师3人（</w:t>
      </w:r>
      <w:r>
        <w:rPr>
          <w:rFonts w:hint="eastAsia" w:ascii="宋体" w:hAnsi="宋体" w:cs="宋体"/>
          <w:bCs/>
          <w:color w:val="auto"/>
          <w:sz w:val="24"/>
          <w:lang w:val="en-US" w:eastAsia="zh-CN"/>
        </w:rPr>
        <w:t>房建</w:t>
      </w:r>
      <w:r>
        <w:rPr>
          <w:rFonts w:hint="eastAsia" w:ascii="宋体" w:hAnsi="宋体" w:cs="宋体"/>
          <w:bCs/>
          <w:color w:val="auto"/>
          <w:sz w:val="24"/>
        </w:rPr>
        <w:t>1人、</w:t>
      </w:r>
      <w:r>
        <w:rPr>
          <w:rFonts w:hint="eastAsia" w:ascii="宋体" w:hAnsi="宋体" w:cs="宋体"/>
          <w:bCs/>
          <w:color w:val="auto"/>
          <w:sz w:val="24"/>
          <w:lang w:val="en-US" w:eastAsia="zh-CN"/>
        </w:rPr>
        <w:t>机电</w:t>
      </w:r>
      <w:r>
        <w:rPr>
          <w:rFonts w:hint="eastAsia" w:ascii="宋体" w:hAnsi="宋体" w:cs="宋体"/>
          <w:bCs/>
          <w:color w:val="auto"/>
          <w:sz w:val="24"/>
        </w:rPr>
        <w:t>1人、</w:t>
      </w:r>
      <w:r>
        <w:rPr>
          <w:rFonts w:hint="eastAsia" w:ascii="宋体" w:hAnsi="宋体" w:cs="宋体"/>
          <w:bCs/>
          <w:color w:val="auto"/>
          <w:sz w:val="24"/>
          <w:lang w:val="en-US" w:eastAsia="zh-CN"/>
        </w:rPr>
        <w:t>给排水</w:t>
      </w:r>
      <w:r>
        <w:rPr>
          <w:rFonts w:hint="eastAsia" w:ascii="宋体" w:hAnsi="宋体" w:cs="宋体"/>
          <w:bCs/>
          <w:color w:val="auto"/>
          <w:sz w:val="24"/>
        </w:rPr>
        <w:t>1人），</w:t>
      </w:r>
      <w:r>
        <w:rPr>
          <w:rFonts w:hint="eastAsia" w:ascii="宋体" w:hAnsi="宋体" w:cs="宋体"/>
          <w:bCs/>
          <w:color w:val="auto"/>
          <w:sz w:val="24"/>
          <w:lang w:val="en-US" w:eastAsia="zh-CN"/>
        </w:rPr>
        <w:t>造价工程师1人，</w:t>
      </w:r>
      <w:r>
        <w:rPr>
          <w:rFonts w:hint="eastAsia" w:ascii="宋体" w:hAnsi="宋体" w:cs="宋体"/>
          <w:bCs/>
          <w:color w:val="auto"/>
          <w:sz w:val="24"/>
        </w:rPr>
        <w:t>安全监理</w:t>
      </w:r>
      <w:r>
        <w:rPr>
          <w:rFonts w:hint="eastAsia" w:ascii="宋体" w:hAnsi="宋体" w:cs="宋体"/>
          <w:bCs/>
          <w:color w:val="auto"/>
          <w:sz w:val="24"/>
          <w:lang w:val="en-US" w:eastAsia="zh-CN"/>
        </w:rPr>
        <w:t>注册安全</w:t>
      </w:r>
      <w:r>
        <w:rPr>
          <w:rFonts w:hint="eastAsia" w:ascii="宋体" w:hAnsi="宋体" w:cs="宋体"/>
          <w:bCs/>
          <w:color w:val="auto"/>
          <w:sz w:val="24"/>
        </w:rPr>
        <w:t>工程师</w:t>
      </w:r>
      <w:r>
        <w:rPr>
          <w:rFonts w:hint="eastAsia" w:ascii="宋体" w:hAnsi="宋体" w:cs="宋体"/>
          <w:bCs/>
          <w:color w:val="auto"/>
          <w:sz w:val="24"/>
          <w:lang w:val="en-US" w:eastAsia="zh-CN"/>
        </w:rPr>
        <w:t>或安全监理员</w:t>
      </w:r>
      <w:r>
        <w:rPr>
          <w:rFonts w:hint="eastAsia" w:ascii="宋体" w:hAnsi="宋体" w:cs="宋体"/>
          <w:bCs/>
          <w:color w:val="auto"/>
          <w:sz w:val="24"/>
        </w:rPr>
        <w:t>1人，监理员1人</w:t>
      </w:r>
      <w:r>
        <w:rPr>
          <w:rFonts w:hint="eastAsia" w:ascii="宋体" w:hAnsi="宋体" w:cs="宋体"/>
          <w:bCs/>
          <w:sz w:val="24"/>
        </w:rPr>
        <w:t>，</w:t>
      </w:r>
      <w:r>
        <w:rPr>
          <w:rFonts w:hint="eastAsia" w:ascii="宋体" w:hAnsi="宋体" w:cs="宋体"/>
          <w:bCs/>
          <w:sz w:val="24"/>
          <w:lang w:val="en-US" w:eastAsia="zh-CN"/>
        </w:rPr>
        <w:t>以及资料员1人等。需</w:t>
      </w:r>
      <w:r>
        <w:rPr>
          <w:rFonts w:hint="eastAsia" w:ascii="宋体" w:hAnsi="宋体" w:cs="宋体"/>
          <w:bCs/>
          <w:sz w:val="24"/>
        </w:rPr>
        <w:t>满足最低人员配置，且承诺人员可根据工程项目建设实际需要和采购人对工程项目管理的实际需求随时增加。</w:t>
      </w:r>
    </w:p>
    <w:p w14:paraId="2E17484E">
      <w:pPr>
        <w:pStyle w:val="36"/>
        <w:spacing w:line="380" w:lineRule="exact"/>
        <w:ind w:firstLine="480"/>
        <w:rPr>
          <w:rFonts w:hint="eastAsia" w:ascii="宋体" w:hAnsi="宋体" w:cs="宋体"/>
          <w:bCs/>
          <w:sz w:val="24"/>
          <w:lang w:val="en-US" w:eastAsia="zh-CN"/>
        </w:rPr>
      </w:pPr>
      <w:r>
        <w:rPr>
          <w:rFonts w:hint="eastAsia" w:ascii="宋体" w:hAnsi="宋体" w:cs="宋体"/>
          <w:b/>
          <w:bCs w:val="0"/>
          <w:sz w:val="24"/>
          <w:lang w:val="en-US" w:eastAsia="zh-CN"/>
        </w:rPr>
        <w:t>七、报价要求</w:t>
      </w:r>
    </w:p>
    <w:p w14:paraId="28CA238B">
      <w:pPr>
        <w:pStyle w:val="36"/>
        <w:spacing w:line="380" w:lineRule="exact"/>
        <w:ind w:firstLine="480"/>
        <w:rPr>
          <w:rFonts w:hint="eastAsia" w:ascii="宋体" w:hAnsi="宋体" w:cs="宋体"/>
          <w:bCs/>
          <w:sz w:val="24"/>
          <w:lang w:eastAsia="zh-CN"/>
        </w:rPr>
      </w:pPr>
      <w:r>
        <w:rPr>
          <w:rFonts w:hint="eastAsia" w:ascii="宋体" w:hAnsi="宋体" w:cs="宋体"/>
          <w:bCs/>
          <w:sz w:val="24"/>
          <w:lang w:val="en-US" w:eastAsia="zh-CN"/>
        </w:rPr>
        <w:t>1、供应商综合考虑各种风险因素，结合自身成本报出本项目最优惠的</w:t>
      </w:r>
      <w:r>
        <w:rPr>
          <w:rFonts w:hint="eastAsia" w:ascii="宋体" w:hAnsi="宋体" w:cs="宋体"/>
          <w:bCs/>
          <w:sz w:val="24"/>
        </w:rPr>
        <w:t>监理</w:t>
      </w:r>
      <w:r>
        <w:rPr>
          <w:rFonts w:hint="eastAsia" w:ascii="宋体" w:hAnsi="宋体" w:cs="宋体"/>
          <w:bCs/>
          <w:sz w:val="24"/>
          <w:lang w:val="en-US" w:eastAsia="zh-CN"/>
        </w:rPr>
        <w:t>服务费</w:t>
      </w:r>
      <w:r>
        <w:rPr>
          <w:rFonts w:hint="eastAsia" w:ascii="宋体" w:hAnsi="宋体" w:cs="宋体"/>
          <w:bCs/>
          <w:sz w:val="24"/>
        </w:rPr>
        <w:t>费率，</w:t>
      </w:r>
      <w:r>
        <w:rPr>
          <w:rFonts w:hint="eastAsia" w:ascii="宋体" w:hAnsi="宋体" w:cs="宋体"/>
          <w:bCs/>
          <w:sz w:val="24"/>
          <w:lang w:val="en-US" w:eastAsia="zh-CN"/>
        </w:rPr>
        <w:t>须报人民币含税价，</w:t>
      </w:r>
      <w:r>
        <w:rPr>
          <w:rFonts w:hint="eastAsia" w:ascii="宋体" w:hAnsi="宋体" w:cs="宋体"/>
          <w:bCs/>
          <w:sz w:val="24"/>
        </w:rPr>
        <w:t>监理</w:t>
      </w:r>
      <w:r>
        <w:rPr>
          <w:rFonts w:hint="eastAsia" w:ascii="宋体" w:hAnsi="宋体" w:cs="宋体"/>
          <w:bCs/>
          <w:sz w:val="24"/>
          <w:lang w:val="en-US" w:eastAsia="zh-CN"/>
        </w:rPr>
        <w:t>服务费</w:t>
      </w:r>
      <w:r>
        <w:rPr>
          <w:rFonts w:hint="eastAsia" w:ascii="宋体" w:hAnsi="宋体" w:cs="宋体"/>
          <w:bCs/>
          <w:sz w:val="24"/>
        </w:rPr>
        <w:t>率</w:t>
      </w:r>
      <w:r>
        <w:rPr>
          <w:rFonts w:hint="eastAsia" w:ascii="宋体" w:hAnsi="宋体" w:cs="宋体"/>
          <w:bCs/>
          <w:sz w:val="24"/>
          <w:lang w:val="en-US" w:eastAsia="zh-CN"/>
        </w:rPr>
        <w:t>须报百分数，精确到0.01。</w:t>
      </w:r>
    </w:p>
    <w:p w14:paraId="22D7AFF0">
      <w:pPr>
        <w:pStyle w:val="36"/>
        <w:spacing w:line="380" w:lineRule="exact"/>
        <w:ind w:firstLine="480"/>
        <w:rPr>
          <w:rFonts w:hint="eastAsia" w:ascii="宋体" w:hAnsi="宋体" w:cs="宋体"/>
          <w:bCs/>
          <w:sz w:val="24"/>
        </w:rPr>
      </w:pPr>
      <w:r>
        <w:rPr>
          <w:rFonts w:hint="eastAsia" w:ascii="宋体" w:hAnsi="宋体" w:cs="宋体"/>
          <w:bCs/>
          <w:sz w:val="24"/>
          <w:lang w:val="en-US" w:eastAsia="zh-CN"/>
        </w:rPr>
        <w:t>2、供应商</w:t>
      </w:r>
      <w:r>
        <w:rPr>
          <w:rFonts w:hint="eastAsia" w:ascii="宋体" w:hAnsi="宋体" w:cs="宋体"/>
          <w:bCs/>
          <w:sz w:val="24"/>
        </w:rPr>
        <w:t>的最高报价不得超过最高</w:t>
      </w:r>
      <w:r>
        <w:rPr>
          <w:rFonts w:hint="eastAsia" w:ascii="宋体" w:hAnsi="宋体" w:cs="宋体"/>
          <w:bCs/>
          <w:sz w:val="24"/>
          <w:lang w:val="en-US" w:eastAsia="zh-CN"/>
        </w:rPr>
        <w:t>监理</w:t>
      </w:r>
      <w:r>
        <w:rPr>
          <w:rFonts w:hint="eastAsia" w:ascii="宋体" w:hAnsi="宋体" w:cs="宋体"/>
          <w:bCs/>
          <w:sz w:val="24"/>
        </w:rPr>
        <w:t>费率</w:t>
      </w:r>
      <w:r>
        <w:rPr>
          <w:rFonts w:hint="eastAsia" w:ascii="宋体" w:hAnsi="宋体" w:cs="宋体"/>
          <w:bCs/>
          <w:sz w:val="24"/>
          <w:lang w:val="en-US" w:eastAsia="zh-CN"/>
        </w:rPr>
        <w:t>2.16</w:t>
      </w:r>
      <w:r>
        <w:rPr>
          <w:rFonts w:hint="eastAsia" w:ascii="宋体" w:hAnsi="宋体" w:cs="宋体"/>
          <w:bCs/>
          <w:sz w:val="24"/>
        </w:rPr>
        <w:t>%。</w:t>
      </w:r>
    </w:p>
    <w:p w14:paraId="7F0CBCFC">
      <w:pPr>
        <w:pStyle w:val="36"/>
        <w:spacing w:line="380" w:lineRule="exact"/>
        <w:ind w:firstLine="480"/>
        <w:rPr>
          <w:rFonts w:hint="eastAsia" w:ascii="宋体" w:hAnsi="宋体" w:cs="宋体"/>
          <w:bCs/>
          <w:sz w:val="24"/>
        </w:rPr>
      </w:pPr>
      <w:r>
        <w:rPr>
          <w:rFonts w:hint="eastAsia" w:ascii="宋体" w:hAnsi="宋体" w:cs="宋体"/>
          <w:bCs/>
          <w:sz w:val="24"/>
          <w:lang w:val="en-US" w:eastAsia="zh-CN"/>
        </w:rPr>
        <w:t>3、单个项目的监理</w:t>
      </w:r>
      <w:r>
        <w:rPr>
          <w:rFonts w:hint="eastAsia" w:ascii="宋体" w:hAnsi="宋体" w:cs="宋体"/>
          <w:bCs/>
          <w:sz w:val="24"/>
        </w:rPr>
        <w:t>费实行总价包干，出现设计变更或调整时，</w:t>
      </w:r>
      <w:r>
        <w:rPr>
          <w:rFonts w:hint="eastAsia" w:ascii="宋体" w:hAnsi="宋体" w:cs="宋体"/>
          <w:bCs/>
          <w:sz w:val="24"/>
          <w:lang w:val="en-US" w:eastAsia="zh-CN"/>
        </w:rPr>
        <w:t>供应商</w:t>
      </w:r>
      <w:r>
        <w:rPr>
          <w:rFonts w:hint="eastAsia" w:ascii="宋体" w:hAnsi="宋体" w:cs="宋体"/>
          <w:bCs/>
          <w:sz w:val="24"/>
        </w:rPr>
        <w:t>不得再向</w:t>
      </w:r>
      <w:r>
        <w:rPr>
          <w:rFonts w:hint="eastAsia" w:ascii="宋体" w:hAnsi="宋体" w:cs="宋体"/>
          <w:bCs/>
          <w:sz w:val="24"/>
          <w:lang w:val="en-US" w:eastAsia="zh-CN"/>
        </w:rPr>
        <w:t>采购</w:t>
      </w:r>
      <w:r>
        <w:rPr>
          <w:rFonts w:hint="eastAsia" w:ascii="宋体" w:hAnsi="宋体" w:cs="宋体"/>
          <w:bCs/>
          <w:sz w:val="24"/>
        </w:rPr>
        <w:t>人提出任何款项。</w:t>
      </w:r>
    </w:p>
    <w:p w14:paraId="32ED3893">
      <w:pPr>
        <w:pStyle w:val="36"/>
        <w:spacing w:line="380" w:lineRule="exact"/>
        <w:ind w:firstLine="480"/>
        <w:rPr>
          <w:rFonts w:hint="eastAsia" w:ascii="宋体" w:hAnsi="宋体" w:cs="宋体"/>
          <w:bCs/>
          <w:sz w:val="24"/>
        </w:rPr>
      </w:pPr>
      <w:r>
        <w:rPr>
          <w:rFonts w:hint="eastAsia" w:ascii="宋体" w:hAnsi="宋体" w:cs="宋体"/>
          <w:bCs/>
          <w:sz w:val="24"/>
          <w:lang w:val="en-US" w:eastAsia="zh-CN"/>
        </w:rPr>
        <w:t>4、供应商需</w:t>
      </w:r>
      <w:r>
        <w:rPr>
          <w:rFonts w:hint="eastAsia" w:ascii="宋体" w:hAnsi="宋体" w:cs="宋体"/>
          <w:bCs/>
          <w:sz w:val="24"/>
        </w:rPr>
        <w:t>对本项目的全部内容进行报价，如有缺漏或超出最高限价，将导致报价无效。</w:t>
      </w:r>
    </w:p>
    <w:p w14:paraId="03E450EA">
      <w:pPr>
        <w:pStyle w:val="10"/>
        <w:numPr>
          <w:ilvl w:val="0"/>
          <w:numId w:val="0"/>
        </w:numPr>
        <w:tabs>
          <w:tab w:val="clear" w:pos="851"/>
        </w:tabs>
        <w:ind w:firstLine="482" w:firstLineChars="200"/>
        <w:rPr>
          <w:rFonts w:hint="default" w:ascii="宋体" w:hAnsi="宋体" w:eastAsia="宋体" w:cs="宋体"/>
          <w:b w:val="0"/>
          <w:color w:val="auto"/>
          <w:sz w:val="24"/>
          <w:szCs w:val="24"/>
          <w:highlight w:val="none"/>
          <w:lang w:val="en-US" w:eastAsia="zh-CN"/>
        </w:rPr>
      </w:pPr>
      <w:r>
        <w:rPr>
          <w:rFonts w:hint="eastAsia" w:ascii="宋体" w:hAnsi="宋体" w:cs="宋体"/>
          <w:bCs/>
          <w:sz w:val="24"/>
        </w:rPr>
        <w:t>★</w:t>
      </w:r>
      <w:r>
        <w:rPr>
          <w:rFonts w:hint="eastAsia" w:ascii="宋体" w:hAnsi="宋体" w:cs="宋体"/>
          <w:b/>
          <w:bCs w:val="0"/>
          <w:color w:val="auto"/>
          <w:sz w:val="24"/>
          <w:szCs w:val="24"/>
          <w:highlight w:val="none"/>
          <w:lang w:val="en-US" w:eastAsia="zh-CN"/>
        </w:rPr>
        <w:t>八</w:t>
      </w:r>
      <w:r>
        <w:rPr>
          <w:rFonts w:hint="eastAsia" w:ascii="宋体" w:hAnsi="宋体" w:eastAsia="宋体" w:cs="宋体"/>
          <w:b/>
          <w:bCs w:val="0"/>
          <w:color w:val="auto"/>
          <w:sz w:val="24"/>
          <w:szCs w:val="24"/>
          <w:highlight w:val="none"/>
          <w:lang w:val="en-US" w:eastAsia="zh-CN"/>
        </w:rPr>
        <w:t>、</w:t>
      </w:r>
      <w:r>
        <w:rPr>
          <w:rFonts w:hint="eastAsia" w:ascii="宋体" w:hAnsi="宋体" w:cs="宋体"/>
          <w:b/>
          <w:bCs w:val="0"/>
          <w:color w:val="auto"/>
          <w:sz w:val="24"/>
          <w:szCs w:val="24"/>
          <w:highlight w:val="none"/>
          <w:lang w:val="en-US" w:eastAsia="zh-CN"/>
        </w:rPr>
        <w:t>履约保证金</w:t>
      </w:r>
    </w:p>
    <w:p w14:paraId="209E82B6">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1、成交供应商需向</w:t>
      </w:r>
      <w:r>
        <w:rPr>
          <w:rFonts w:hint="eastAsia"/>
          <w:sz w:val="24"/>
          <w:lang w:val="en-US" w:eastAsia="zh-CN"/>
        </w:rPr>
        <w:t>采购人缴纳金额为5万元（大写：人民币伍万元整）的履约保证金。</w:t>
      </w:r>
      <w:r>
        <w:rPr>
          <w:rFonts w:hint="eastAsia" w:ascii="宋体" w:hAnsi="宋体" w:cs="宋体"/>
          <w:bCs/>
          <w:sz w:val="24"/>
          <w:lang w:val="en-US" w:eastAsia="zh-CN"/>
        </w:rPr>
        <w:t>服务期满或双方协商解除合同后，采购人将无息退还履约保证金给成交供应商。成交供应商在合同签署15天内不缴纳履约保证金视为放弃此次服务协议，成交供应商将承担所有责任后果。</w:t>
      </w:r>
    </w:p>
    <w:p w14:paraId="3E47E738">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采购人账号名称：中山大学孙逸仙纪念医院</w:t>
      </w:r>
    </w:p>
    <w:p w14:paraId="657E39DE">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账号：3602000509000704422 </w:t>
      </w:r>
    </w:p>
    <w:p w14:paraId="6166B2E6">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开户行：广州市工商银行第二支行</w:t>
      </w:r>
    </w:p>
    <w:p w14:paraId="3209D65A">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2、如提交履约保函，须确保履约保函有效期覆盖本项目合同履行全过程（含每项工程验收完成进入质量保证期后成交供应商应当按照合同及其附件完成的各项义务）。</w:t>
      </w:r>
    </w:p>
    <w:p w14:paraId="2E660D75">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3、如在合同执行期间因成交供应商违约导致履约保证金部分扣除的，成交供应商需在5个工作日内将扣除的履约保证金补齐。因成交供应商原因导致提前终止合同时，采购人有权不退回履约保证金给成交供应商。</w:t>
      </w:r>
    </w:p>
    <w:p w14:paraId="66DFBF1C">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4、在成交供应商完成合同约定的所有事项，包括任何保证义务后90日内，一次性无息退还履约保证金。</w:t>
      </w:r>
    </w:p>
    <w:p w14:paraId="15857397">
      <w:pPr>
        <w:numPr>
          <w:ilvl w:val="-1"/>
          <w:numId w:val="0"/>
        </w:numPr>
        <w:rPr>
          <w:rFonts w:hint="default"/>
          <w:lang w:val="en-US" w:eastAsia="zh-CN"/>
        </w:rPr>
      </w:pPr>
    </w:p>
    <w:p w14:paraId="33AFBB0A">
      <w:pPr>
        <w:pStyle w:val="10"/>
        <w:numPr>
          <w:ilvl w:val="0"/>
          <w:numId w:val="0"/>
        </w:numPr>
        <w:tabs>
          <w:tab w:val="clear" w:pos="851"/>
        </w:tabs>
        <w:ind w:firstLine="482" w:firstLineChars="200"/>
        <w:rPr>
          <w:rFonts w:hint="eastAsia" w:ascii="宋体" w:hAnsi="宋体" w:cs="宋体"/>
          <w:b w:val="0"/>
          <w:color w:val="auto"/>
          <w:sz w:val="24"/>
          <w:szCs w:val="24"/>
          <w:highlight w:val="none"/>
          <w:lang w:val="en-US" w:eastAsia="zh-CN"/>
        </w:rPr>
      </w:pPr>
      <w:r>
        <w:rPr>
          <w:rFonts w:hint="eastAsia" w:ascii="宋体" w:hAnsi="宋体" w:cs="宋体"/>
          <w:bCs/>
          <w:sz w:val="24"/>
        </w:rPr>
        <w:t>★</w:t>
      </w:r>
      <w:r>
        <w:rPr>
          <w:rFonts w:hint="eastAsia" w:ascii="宋体" w:hAnsi="宋体" w:cs="宋体"/>
          <w:bCs/>
          <w:sz w:val="24"/>
          <w:lang w:val="en-US" w:eastAsia="zh-CN"/>
        </w:rPr>
        <w:t>九</w:t>
      </w:r>
      <w:r>
        <w:rPr>
          <w:rFonts w:hint="eastAsia" w:ascii="宋体" w:hAnsi="宋体" w:eastAsia="宋体" w:cs="宋体"/>
          <w:b/>
          <w:bCs w:val="0"/>
          <w:color w:val="auto"/>
          <w:sz w:val="24"/>
          <w:szCs w:val="24"/>
          <w:highlight w:val="none"/>
          <w:lang w:val="en-US" w:eastAsia="zh-CN"/>
        </w:rPr>
        <w:t>、支付方式</w:t>
      </w:r>
    </w:p>
    <w:p w14:paraId="2C81D4AB">
      <w:pPr>
        <w:pStyle w:val="10"/>
        <w:numPr>
          <w:ilvl w:val="0"/>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cs="宋体"/>
          <w:b w:val="0"/>
          <w:color w:val="auto"/>
          <w:sz w:val="24"/>
          <w:szCs w:val="24"/>
          <w:highlight w:val="none"/>
          <w:lang w:val="en-US" w:eastAsia="zh-CN"/>
        </w:rPr>
        <w:t>监理</w:t>
      </w:r>
      <w:r>
        <w:rPr>
          <w:rFonts w:hint="eastAsia" w:ascii="宋体" w:hAnsi="宋体" w:eastAsia="宋体" w:cs="宋体"/>
          <w:b w:val="0"/>
          <w:color w:val="auto"/>
          <w:sz w:val="24"/>
          <w:szCs w:val="24"/>
          <w:highlight w:val="none"/>
        </w:rPr>
        <w:t>费支付进度详见下表：</w:t>
      </w:r>
    </w:p>
    <w:tbl>
      <w:tblPr>
        <w:tblStyle w:val="29"/>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2955"/>
        <w:gridCol w:w="5361"/>
      </w:tblGrid>
      <w:tr w14:paraId="627E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505" w:type="dxa"/>
            <w:tcBorders>
              <w:top w:val="single" w:color="auto" w:sz="4" w:space="0"/>
              <w:left w:val="single" w:color="auto" w:sz="4" w:space="0"/>
              <w:bottom w:val="single" w:color="auto" w:sz="4" w:space="0"/>
              <w:right w:val="single" w:color="auto" w:sz="4" w:space="0"/>
            </w:tcBorders>
            <w:vAlign w:val="center"/>
          </w:tcPr>
          <w:p w14:paraId="42C6309E">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支</w:t>
            </w:r>
            <w:r>
              <w:rPr>
                <w:rFonts w:hint="eastAsia" w:ascii="宋体" w:hAnsi="宋体" w:eastAsia="宋体" w:cs="宋体"/>
                <w:sz w:val="24"/>
                <w:szCs w:val="24"/>
              </w:rPr>
              <w:t>付次序</w:t>
            </w:r>
          </w:p>
        </w:tc>
        <w:tc>
          <w:tcPr>
            <w:tcW w:w="2955" w:type="dxa"/>
            <w:tcBorders>
              <w:top w:val="single" w:color="auto" w:sz="4" w:space="0"/>
              <w:left w:val="single" w:color="auto" w:sz="4" w:space="0"/>
              <w:bottom w:val="single" w:color="auto" w:sz="4" w:space="0"/>
              <w:right w:val="single" w:color="auto" w:sz="4" w:space="0"/>
            </w:tcBorders>
            <w:vAlign w:val="center"/>
          </w:tcPr>
          <w:p w14:paraId="58187AD6">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占</w:t>
            </w:r>
            <w:r>
              <w:rPr>
                <w:rFonts w:hint="eastAsia" w:ascii="宋体" w:hAnsi="宋体" w:eastAsia="宋体" w:cs="宋体"/>
                <w:sz w:val="24"/>
                <w:szCs w:val="24"/>
                <w:lang w:val="en-US" w:eastAsia="zh-CN"/>
              </w:rPr>
              <w:t>单个项目</w:t>
            </w:r>
            <w:r>
              <w:rPr>
                <w:rFonts w:hint="eastAsia" w:ascii="宋体" w:hAnsi="宋体" w:cs="宋体"/>
                <w:sz w:val="24"/>
                <w:szCs w:val="24"/>
                <w:lang w:val="en-US" w:eastAsia="zh-CN"/>
              </w:rPr>
              <w:t>监理</w:t>
            </w:r>
            <w:r>
              <w:rPr>
                <w:rFonts w:hint="eastAsia" w:ascii="宋体" w:hAnsi="宋体" w:eastAsia="宋体" w:cs="宋体"/>
                <w:sz w:val="24"/>
                <w:szCs w:val="24"/>
              </w:rPr>
              <w:t>费（%）</w:t>
            </w:r>
          </w:p>
        </w:tc>
        <w:tc>
          <w:tcPr>
            <w:tcW w:w="5361" w:type="dxa"/>
            <w:tcBorders>
              <w:top w:val="single" w:color="auto" w:sz="4" w:space="0"/>
              <w:left w:val="single" w:color="auto" w:sz="4" w:space="0"/>
              <w:bottom w:val="single" w:color="auto" w:sz="4" w:space="0"/>
              <w:right w:val="single" w:color="auto" w:sz="4" w:space="0"/>
            </w:tcBorders>
            <w:vAlign w:val="center"/>
          </w:tcPr>
          <w:p w14:paraId="3BBED409">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支付</w:t>
            </w:r>
            <w:r>
              <w:rPr>
                <w:rFonts w:hint="eastAsia" w:ascii="宋体" w:hAnsi="宋体" w:eastAsia="宋体" w:cs="宋体"/>
                <w:sz w:val="24"/>
                <w:szCs w:val="24"/>
              </w:rPr>
              <w:t>时间（由交付设计文件所决定）</w:t>
            </w:r>
          </w:p>
        </w:tc>
      </w:tr>
      <w:tr w14:paraId="59F1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tcBorders>
              <w:top w:val="single" w:color="auto" w:sz="4" w:space="0"/>
              <w:left w:val="single" w:color="auto" w:sz="4" w:space="0"/>
              <w:bottom w:val="single" w:color="auto" w:sz="4" w:space="0"/>
              <w:right w:val="single" w:color="auto" w:sz="4" w:space="0"/>
            </w:tcBorders>
            <w:vAlign w:val="center"/>
          </w:tcPr>
          <w:p w14:paraId="0E6BD8CD">
            <w:pPr>
              <w:spacing w:line="400" w:lineRule="exact"/>
              <w:rPr>
                <w:rFonts w:hint="eastAsia" w:ascii="宋体" w:hAnsi="宋体" w:eastAsia="宋体" w:cs="宋体"/>
                <w:sz w:val="24"/>
                <w:szCs w:val="24"/>
              </w:rPr>
            </w:pPr>
            <w:r>
              <w:rPr>
                <w:rFonts w:hint="eastAsia" w:ascii="宋体" w:hAnsi="宋体" w:eastAsia="宋体" w:cs="宋体"/>
                <w:sz w:val="24"/>
                <w:szCs w:val="24"/>
              </w:rPr>
              <w:t>第一次付费</w:t>
            </w:r>
          </w:p>
        </w:tc>
        <w:tc>
          <w:tcPr>
            <w:tcW w:w="2955" w:type="dxa"/>
            <w:tcBorders>
              <w:top w:val="single" w:color="auto" w:sz="4" w:space="0"/>
              <w:left w:val="single" w:color="auto" w:sz="4" w:space="0"/>
              <w:bottom w:val="single" w:color="auto" w:sz="4" w:space="0"/>
              <w:right w:val="single" w:color="auto" w:sz="4" w:space="0"/>
            </w:tcBorders>
            <w:vAlign w:val="center"/>
          </w:tcPr>
          <w:p w14:paraId="6B73C11B">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w:t>
            </w:r>
            <w:r>
              <w:rPr>
                <w:rFonts w:hint="eastAsia" w:ascii="宋体" w:hAnsi="宋体" w:cs="宋体"/>
                <w:color w:val="auto"/>
                <w:sz w:val="24"/>
                <w:szCs w:val="24"/>
                <w:highlight w:val="none"/>
                <w:lang w:val="en-US" w:eastAsia="zh-CN"/>
              </w:rPr>
              <w:t>监理</w:t>
            </w:r>
            <w:r>
              <w:rPr>
                <w:rFonts w:hint="eastAsia" w:ascii="宋体" w:hAnsi="宋体" w:eastAsia="宋体" w:cs="宋体"/>
                <w:color w:val="auto"/>
                <w:sz w:val="24"/>
                <w:szCs w:val="24"/>
                <w:highlight w:val="none"/>
                <w:lang w:val="en-US" w:eastAsia="zh-CN"/>
              </w:rPr>
              <w:t>费</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w:t>
            </w:r>
          </w:p>
        </w:tc>
        <w:tc>
          <w:tcPr>
            <w:tcW w:w="5361" w:type="dxa"/>
            <w:tcBorders>
              <w:top w:val="single" w:color="auto" w:sz="4" w:space="0"/>
              <w:left w:val="single" w:color="auto" w:sz="4" w:space="0"/>
              <w:bottom w:val="single" w:color="auto" w:sz="4" w:space="0"/>
              <w:right w:val="single" w:color="auto" w:sz="4" w:space="0"/>
            </w:tcBorders>
            <w:vAlign w:val="center"/>
          </w:tcPr>
          <w:p w14:paraId="146046BF">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每个项目进度达到50%时（以该项目施工进度款百分比为准），支付相应项目监理费的</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w:t>
            </w:r>
          </w:p>
        </w:tc>
      </w:tr>
      <w:tr w14:paraId="55AE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tcBorders>
              <w:top w:val="single" w:color="auto" w:sz="4" w:space="0"/>
              <w:left w:val="single" w:color="auto" w:sz="4" w:space="0"/>
              <w:bottom w:val="single" w:color="auto" w:sz="4" w:space="0"/>
              <w:right w:val="single" w:color="auto" w:sz="4" w:space="0"/>
            </w:tcBorders>
            <w:vAlign w:val="center"/>
          </w:tcPr>
          <w:p w14:paraId="37BC833E">
            <w:pPr>
              <w:spacing w:line="400" w:lineRule="exact"/>
              <w:rPr>
                <w:rFonts w:hint="eastAsia" w:ascii="宋体" w:hAnsi="宋体" w:eastAsia="宋体" w:cs="宋体"/>
                <w:sz w:val="24"/>
                <w:szCs w:val="24"/>
              </w:rPr>
            </w:pPr>
            <w:r>
              <w:rPr>
                <w:rFonts w:hint="eastAsia" w:ascii="宋体" w:hAnsi="宋体" w:eastAsia="宋体" w:cs="宋体"/>
                <w:sz w:val="24"/>
                <w:szCs w:val="24"/>
              </w:rPr>
              <w:t>第二次付费</w:t>
            </w:r>
          </w:p>
        </w:tc>
        <w:tc>
          <w:tcPr>
            <w:tcW w:w="2955" w:type="dxa"/>
            <w:tcBorders>
              <w:top w:val="single" w:color="auto" w:sz="4" w:space="0"/>
              <w:left w:val="single" w:color="auto" w:sz="4" w:space="0"/>
              <w:bottom w:val="single" w:color="auto" w:sz="4" w:space="0"/>
              <w:right w:val="single" w:color="auto" w:sz="4" w:space="0"/>
            </w:tcBorders>
            <w:vAlign w:val="center"/>
          </w:tcPr>
          <w:p w14:paraId="127F3819">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w:t>
            </w:r>
            <w:r>
              <w:rPr>
                <w:rFonts w:hint="eastAsia" w:ascii="宋体" w:hAnsi="宋体" w:cs="宋体"/>
                <w:color w:val="auto"/>
                <w:sz w:val="24"/>
                <w:szCs w:val="24"/>
                <w:highlight w:val="none"/>
                <w:lang w:val="en-US" w:eastAsia="zh-CN"/>
              </w:rPr>
              <w:t>监理</w:t>
            </w:r>
            <w:r>
              <w:rPr>
                <w:rFonts w:hint="eastAsia" w:ascii="宋体" w:hAnsi="宋体" w:eastAsia="宋体" w:cs="宋体"/>
                <w:color w:val="auto"/>
                <w:sz w:val="24"/>
                <w:szCs w:val="24"/>
                <w:highlight w:val="none"/>
                <w:lang w:val="en-US" w:eastAsia="zh-CN"/>
              </w:rPr>
              <w:t>费</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0%</w:t>
            </w:r>
          </w:p>
        </w:tc>
        <w:tc>
          <w:tcPr>
            <w:tcW w:w="5361" w:type="dxa"/>
            <w:tcBorders>
              <w:top w:val="single" w:color="auto" w:sz="4" w:space="0"/>
              <w:left w:val="single" w:color="auto" w:sz="4" w:space="0"/>
              <w:bottom w:val="single" w:color="auto" w:sz="4" w:space="0"/>
              <w:right w:val="single" w:color="auto" w:sz="4" w:space="0"/>
            </w:tcBorders>
            <w:vAlign w:val="center"/>
          </w:tcPr>
          <w:p w14:paraId="5B4AE02A">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每个项目竣工验收或交付使用后，支付至相应项目实际监理费的80％。</w:t>
            </w:r>
          </w:p>
        </w:tc>
      </w:tr>
      <w:tr w14:paraId="168D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tcBorders>
              <w:top w:val="single" w:color="auto" w:sz="4" w:space="0"/>
              <w:left w:val="single" w:color="auto" w:sz="4" w:space="0"/>
              <w:bottom w:val="single" w:color="auto" w:sz="4" w:space="0"/>
              <w:right w:val="single" w:color="auto" w:sz="4" w:space="0"/>
            </w:tcBorders>
            <w:vAlign w:val="center"/>
          </w:tcPr>
          <w:p w14:paraId="194312D6">
            <w:pPr>
              <w:spacing w:line="400" w:lineRule="exact"/>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cs="宋体"/>
                <w:sz w:val="24"/>
                <w:szCs w:val="24"/>
                <w:lang w:val="en-US" w:eastAsia="zh-CN"/>
              </w:rPr>
              <w:t>三</w:t>
            </w:r>
            <w:r>
              <w:rPr>
                <w:rFonts w:hint="eastAsia" w:ascii="宋体" w:hAnsi="宋体" w:eastAsia="宋体" w:cs="宋体"/>
                <w:sz w:val="24"/>
                <w:szCs w:val="24"/>
              </w:rPr>
              <w:t>次付费</w:t>
            </w:r>
          </w:p>
        </w:tc>
        <w:tc>
          <w:tcPr>
            <w:tcW w:w="2955" w:type="dxa"/>
            <w:tcBorders>
              <w:top w:val="single" w:color="auto" w:sz="4" w:space="0"/>
              <w:left w:val="single" w:color="auto" w:sz="4" w:space="0"/>
              <w:bottom w:val="single" w:color="auto" w:sz="4" w:space="0"/>
              <w:right w:val="single" w:color="auto" w:sz="4" w:space="0"/>
            </w:tcBorders>
            <w:vAlign w:val="center"/>
          </w:tcPr>
          <w:p w14:paraId="43BD0DEF">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w:t>
            </w:r>
            <w:r>
              <w:rPr>
                <w:rFonts w:hint="eastAsia" w:ascii="宋体" w:hAnsi="宋体" w:cs="宋体"/>
                <w:color w:val="auto"/>
                <w:sz w:val="24"/>
                <w:szCs w:val="24"/>
                <w:highlight w:val="none"/>
                <w:lang w:val="en-US" w:eastAsia="zh-CN"/>
              </w:rPr>
              <w:t>监理</w:t>
            </w:r>
            <w:r>
              <w:rPr>
                <w:rFonts w:hint="eastAsia" w:ascii="宋体" w:hAnsi="宋体" w:eastAsia="宋体" w:cs="宋体"/>
                <w:color w:val="auto"/>
                <w:sz w:val="24"/>
                <w:szCs w:val="24"/>
                <w:highlight w:val="none"/>
                <w:lang w:val="en-US" w:eastAsia="zh-CN"/>
              </w:rPr>
              <w:t>费</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rPr>
              <w:t>%</w:t>
            </w:r>
          </w:p>
        </w:tc>
        <w:tc>
          <w:tcPr>
            <w:tcW w:w="5361" w:type="dxa"/>
            <w:tcBorders>
              <w:top w:val="single" w:color="auto" w:sz="4" w:space="0"/>
              <w:left w:val="single" w:color="auto" w:sz="4" w:space="0"/>
              <w:bottom w:val="single" w:color="auto" w:sz="4" w:space="0"/>
              <w:right w:val="single" w:color="auto" w:sz="4" w:space="0"/>
            </w:tcBorders>
            <w:vAlign w:val="center"/>
          </w:tcPr>
          <w:p w14:paraId="49233DB1">
            <w:pPr>
              <w:spacing w:line="400" w:lineRule="exact"/>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每个项目工程结算完成后，监理人于15天内向委托人移交监理资料后，支付至监理费的</w:t>
            </w:r>
            <w:r>
              <w:rPr>
                <w:rFonts w:hint="eastAsia" w:ascii="宋体" w:hAnsi="宋体" w:cs="宋体"/>
                <w:color w:val="auto"/>
                <w:sz w:val="24"/>
                <w:szCs w:val="24"/>
                <w:highlight w:val="none"/>
                <w:lang w:val="en-US" w:eastAsia="zh-CN"/>
              </w:rPr>
              <w:t>100</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p>
        </w:tc>
      </w:tr>
      <w:tr w14:paraId="6F86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tcBorders>
              <w:top w:val="single" w:color="auto" w:sz="4" w:space="0"/>
              <w:left w:val="single" w:color="auto" w:sz="4" w:space="0"/>
              <w:bottom w:val="single" w:color="auto" w:sz="4" w:space="0"/>
              <w:right w:val="single" w:color="auto" w:sz="4" w:space="0"/>
            </w:tcBorders>
            <w:vAlign w:val="center"/>
          </w:tcPr>
          <w:p w14:paraId="0BF36A78">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合计</w:t>
            </w:r>
          </w:p>
        </w:tc>
        <w:tc>
          <w:tcPr>
            <w:tcW w:w="2955" w:type="dxa"/>
            <w:tcBorders>
              <w:top w:val="single" w:color="auto" w:sz="4" w:space="0"/>
              <w:left w:val="single" w:color="auto" w:sz="4" w:space="0"/>
              <w:bottom w:val="single" w:color="auto" w:sz="4" w:space="0"/>
              <w:right w:val="single" w:color="auto" w:sz="4" w:space="0"/>
            </w:tcBorders>
            <w:vAlign w:val="center"/>
          </w:tcPr>
          <w:p w14:paraId="714CAC1C">
            <w:pPr>
              <w:spacing w:line="400" w:lineRule="exact"/>
              <w:rPr>
                <w:rFonts w:hint="eastAsia" w:ascii="宋体" w:hAnsi="宋体" w:eastAsia="宋体" w:cs="宋体"/>
                <w:sz w:val="24"/>
                <w:szCs w:val="24"/>
              </w:rPr>
            </w:pPr>
          </w:p>
        </w:tc>
        <w:tc>
          <w:tcPr>
            <w:tcW w:w="5361" w:type="dxa"/>
            <w:tcBorders>
              <w:top w:val="single" w:color="auto" w:sz="4" w:space="0"/>
              <w:left w:val="single" w:color="auto" w:sz="4" w:space="0"/>
              <w:bottom w:val="single" w:color="auto" w:sz="4" w:space="0"/>
              <w:right w:val="single" w:color="auto" w:sz="4" w:space="0"/>
            </w:tcBorders>
            <w:vAlign w:val="center"/>
          </w:tcPr>
          <w:p w14:paraId="42AAB05D">
            <w:pPr>
              <w:spacing w:line="400" w:lineRule="exact"/>
              <w:rPr>
                <w:rFonts w:hint="eastAsia" w:ascii="宋体" w:hAnsi="宋体" w:eastAsia="宋体" w:cs="宋体"/>
                <w:sz w:val="24"/>
                <w:szCs w:val="24"/>
              </w:rPr>
            </w:pPr>
          </w:p>
        </w:tc>
      </w:tr>
    </w:tbl>
    <w:p w14:paraId="1CF299C2">
      <w:pPr>
        <w:pStyle w:val="36"/>
        <w:spacing w:line="380" w:lineRule="exact"/>
        <w:ind w:firstLine="480"/>
        <w:rPr>
          <w:rFonts w:hint="eastAsia" w:ascii="宋体" w:hAnsi="宋体" w:cs="宋体"/>
          <w:bCs/>
          <w:sz w:val="24"/>
          <w:lang w:val="en-US" w:eastAsia="zh-CN"/>
        </w:rPr>
      </w:pPr>
      <w:r>
        <w:rPr>
          <w:rFonts w:hint="eastAsia" w:ascii="宋体" w:hAnsi="宋体" w:cs="宋体"/>
          <w:color w:val="auto"/>
          <w:sz w:val="24"/>
          <w:highlight w:val="none"/>
          <w:lang w:val="en-US" w:eastAsia="zh-CN"/>
        </w:rPr>
        <w:t>1、</w:t>
      </w:r>
      <w:r>
        <w:rPr>
          <w:rFonts w:hint="eastAsia"/>
          <w:bCs/>
          <w:sz w:val="24"/>
          <w:szCs w:val="36"/>
        </w:rPr>
        <w:t>监理</w:t>
      </w:r>
      <w:r>
        <w:rPr>
          <w:rFonts w:hint="eastAsia"/>
          <w:bCs/>
          <w:sz w:val="24"/>
          <w:szCs w:val="36"/>
          <w:lang w:val="en-US" w:eastAsia="zh-CN"/>
        </w:rPr>
        <w:t>服务</w:t>
      </w:r>
      <w:r>
        <w:rPr>
          <w:rFonts w:hint="eastAsia"/>
          <w:bCs/>
          <w:sz w:val="24"/>
          <w:szCs w:val="36"/>
        </w:rPr>
        <w:t>费用</w:t>
      </w:r>
      <w:r>
        <w:rPr>
          <w:rFonts w:hint="eastAsia"/>
          <w:bCs/>
          <w:sz w:val="24"/>
          <w:szCs w:val="36"/>
          <w:lang w:val="en-US" w:eastAsia="zh-CN"/>
        </w:rPr>
        <w:t>按项目分别结算。各项目监理费金额=</w:t>
      </w:r>
      <w:r>
        <w:rPr>
          <w:rFonts w:hint="eastAsia"/>
          <w:bCs/>
          <w:sz w:val="24"/>
          <w:szCs w:val="36"/>
        </w:rPr>
        <w:t>各项目施工合同价</w:t>
      </w:r>
      <w:r>
        <w:rPr>
          <w:rFonts w:hint="eastAsia"/>
          <w:bCs/>
          <w:sz w:val="24"/>
          <w:szCs w:val="36"/>
          <w:lang w:val="en-US" w:eastAsia="zh-CN"/>
        </w:rPr>
        <w:t>金额</w:t>
      </w:r>
      <w:r>
        <w:rPr>
          <w:rFonts w:hint="eastAsia"/>
          <w:bCs/>
          <w:sz w:val="24"/>
          <w:szCs w:val="36"/>
        </w:rPr>
        <w:t>×监理</w:t>
      </w:r>
      <w:r>
        <w:rPr>
          <w:rFonts w:hint="eastAsia"/>
          <w:bCs/>
          <w:sz w:val="24"/>
          <w:szCs w:val="36"/>
          <w:lang w:val="en-US" w:eastAsia="zh-CN"/>
        </w:rPr>
        <w:t>服务费</w:t>
      </w:r>
      <w:r>
        <w:rPr>
          <w:rFonts w:hint="eastAsia"/>
          <w:bCs/>
          <w:sz w:val="24"/>
          <w:szCs w:val="36"/>
        </w:rPr>
        <w:t>费率</w:t>
      </w:r>
      <w:r>
        <w:rPr>
          <w:rFonts w:hint="eastAsia"/>
          <w:bCs/>
          <w:sz w:val="24"/>
          <w:szCs w:val="36"/>
          <w:lang w:eastAsia="zh-CN"/>
        </w:rPr>
        <w:t>。</w:t>
      </w:r>
    </w:p>
    <w:p w14:paraId="1189E406">
      <w:pPr>
        <w:pStyle w:val="36"/>
        <w:spacing w:line="380" w:lineRule="exact"/>
        <w:ind w:firstLine="480"/>
        <w:rPr>
          <w:rFonts w:hint="default" w:ascii="宋体" w:hAnsi="宋体" w:cs="宋体"/>
          <w:bCs/>
          <w:sz w:val="24"/>
          <w:lang w:val="en-US" w:eastAsia="zh-CN"/>
        </w:rPr>
      </w:pPr>
      <w:r>
        <w:rPr>
          <w:rFonts w:hint="eastAsia" w:ascii="宋体" w:hAnsi="宋体" w:cs="宋体"/>
          <w:bCs/>
          <w:sz w:val="24"/>
          <w:lang w:val="en-US" w:eastAsia="zh-CN"/>
        </w:rPr>
        <w:t>2、原则上监理费用每季度支付一次。</w:t>
      </w:r>
    </w:p>
    <w:p w14:paraId="2A9BBBCA">
      <w:pPr>
        <w:pStyle w:val="36"/>
        <w:spacing w:line="380" w:lineRule="exact"/>
        <w:ind w:firstLine="480"/>
        <w:rPr>
          <w:rFonts w:hint="eastAsia" w:ascii="宋体" w:hAnsi="宋体" w:cs="宋体"/>
          <w:bCs/>
          <w:color w:val="auto"/>
          <w:sz w:val="24"/>
          <w:lang w:val="en-US" w:eastAsia="zh-CN"/>
        </w:rPr>
      </w:pPr>
      <w:r>
        <w:rPr>
          <w:rFonts w:hint="eastAsia" w:ascii="宋体" w:hAnsi="宋体" w:cs="宋体"/>
          <w:bCs/>
          <w:sz w:val="24"/>
          <w:lang w:val="en-US" w:eastAsia="zh-CN"/>
        </w:rPr>
        <w:t>3、成交供应商在完成各阶段相应工作后，应</w:t>
      </w:r>
      <w:r>
        <w:rPr>
          <w:rFonts w:hint="eastAsia" w:ascii="宋体" w:hAnsi="宋体" w:cs="宋体"/>
          <w:bCs/>
          <w:color w:val="auto"/>
          <w:sz w:val="24"/>
          <w:lang w:val="en-US" w:eastAsia="zh-CN"/>
        </w:rPr>
        <w:t>以书面形式向采购人申请监理费。请款资料经过采购人审计部门审核无误，采购人收到成交供应商合法等额发票且满足支付条件后30天内支付监理费。</w:t>
      </w:r>
    </w:p>
    <w:p w14:paraId="42FFA247">
      <w:pPr>
        <w:pStyle w:val="36"/>
        <w:spacing w:line="380" w:lineRule="exact"/>
        <w:ind w:firstLine="480"/>
        <w:rPr>
          <w:rFonts w:hint="default" w:ascii="宋体" w:hAnsi="宋体" w:cs="宋体"/>
          <w:bCs/>
          <w:sz w:val="24"/>
          <w:lang w:val="en-US" w:eastAsia="zh-CN"/>
        </w:rPr>
      </w:pPr>
      <w:r>
        <w:rPr>
          <w:rFonts w:hint="eastAsia" w:ascii="宋体" w:hAnsi="宋体" w:cs="宋体"/>
          <w:bCs/>
          <w:sz w:val="24"/>
          <w:lang w:val="en-US" w:eastAsia="zh-CN"/>
        </w:rPr>
        <w:t>4、</w:t>
      </w:r>
      <w:r>
        <w:rPr>
          <w:rFonts w:hint="eastAsia" w:ascii="宋体" w:hAnsi="宋体" w:cs="宋体"/>
          <w:bCs/>
          <w:color w:val="auto"/>
          <w:sz w:val="24"/>
          <w:lang w:val="en-US" w:eastAsia="zh-CN"/>
        </w:rPr>
        <w:t>付款形式：采用支票、银行汇付（含电汇）等形式。</w:t>
      </w:r>
    </w:p>
    <w:p w14:paraId="5C350119">
      <w:pPr>
        <w:pStyle w:val="36"/>
        <w:spacing w:line="380" w:lineRule="exact"/>
        <w:ind w:firstLine="480"/>
        <w:rPr>
          <w:rFonts w:hint="eastAsia" w:ascii="宋体" w:hAnsi="宋体" w:cs="宋体"/>
          <w:b/>
          <w:bCs w:val="0"/>
          <w:sz w:val="24"/>
          <w:lang w:val="en-US" w:eastAsia="zh-CN"/>
        </w:rPr>
      </w:pPr>
      <w:r>
        <w:rPr>
          <w:rFonts w:hint="eastAsia" w:ascii="宋体" w:hAnsi="宋体" w:cs="宋体"/>
          <w:b/>
          <w:bCs w:val="0"/>
          <w:sz w:val="24"/>
          <w:lang w:val="en-US" w:eastAsia="zh-CN"/>
        </w:rPr>
        <w:t>十、商务要求</w:t>
      </w:r>
    </w:p>
    <w:p w14:paraId="1CC062FF">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供应商需针对本项目提供以下方案措施等：</w:t>
      </w:r>
    </w:p>
    <w:p w14:paraId="7684AEC9">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1、项目实施方案。</w:t>
      </w:r>
    </w:p>
    <w:p w14:paraId="07F723FE">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2、工程项目质量保证措施。</w:t>
      </w:r>
    </w:p>
    <w:p w14:paraId="2E72BE59">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3、工程项目进度保障措施。</w:t>
      </w:r>
    </w:p>
    <w:p w14:paraId="1810F1EE">
      <w:pPr>
        <w:pStyle w:val="36"/>
        <w:spacing w:line="380" w:lineRule="exact"/>
        <w:ind w:firstLine="480"/>
        <w:rPr>
          <w:rFonts w:hint="eastAsia" w:ascii="宋体" w:hAnsi="宋体" w:cs="宋体"/>
          <w:bCs/>
          <w:sz w:val="24"/>
          <w:lang w:val="en-US" w:eastAsia="zh-CN"/>
        </w:rPr>
      </w:pPr>
    </w:p>
    <w:p w14:paraId="3E592F1A">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D0889A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C68370C">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0853CF5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74A40E6A">
      <w:pPr>
        <w:pStyle w:val="37"/>
        <w:rPr>
          <w:rFonts w:hint="eastAsia" w:ascii="微软雅黑" w:hAnsi="微软雅黑" w:eastAsia="微软雅黑" w:cs="微软雅黑"/>
          <w:color w:val="000000" w:themeColor="text1"/>
          <w14:textFill>
            <w14:solidFill>
              <w14:schemeClr w14:val="tx1"/>
            </w14:solidFill>
          </w14:textFill>
        </w:rPr>
      </w:pPr>
      <w:bookmarkStart w:id="130" w:name="_Toc385940875"/>
      <w:bookmarkStart w:id="131" w:name="_Toc417914519"/>
      <w:bookmarkStart w:id="132" w:name="_Toc385939529"/>
    </w:p>
    <w:p w14:paraId="34F3122E">
      <w:pPr>
        <w:pStyle w:val="37"/>
        <w:rPr>
          <w:rFonts w:hint="eastAsia" w:ascii="微软雅黑" w:hAnsi="微软雅黑" w:eastAsia="微软雅黑" w:cs="微软雅黑"/>
          <w:color w:val="000000" w:themeColor="text1"/>
          <w14:textFill>
            <w14:solidFill>
              <w14:schemeClr w14:val="tx1"/>
            </w14:solidFill>
          </w14:textFill>
        </w:rPr>
      </w:pPr>
    </w:p>
    <w:p w14:paraId="31356E06">
      <w:pPr>
        <w:pStyle w:val="37"/>
        <w:rPr>
          <w:rFonts w:hint="eastAsia" w:ascii="微软雅黑" w:hAnsi="微软雅黑" w:eastAsia="微软雅黑" w:cs="微软雅黑"/>
          <w:color w:val="000000" w:themeColor="text1"/>
          <w14:textFill>
            <w14:solidFill>
              <w14:schemeClr w14:val="tx1"/>
            </w14:solidFill>
          </w14:textFill>
        </w:rPr>
      </w:pPr>
    </w:p>
    <w:p w14:paraId="1F402B57">
      <w:pPr>
        <w:pStyle w:val="37"/>
        <w:rPr>
          <w:rFonts w:hint="eastAsia" w:ascii="微软雅黑" w:hAnsi="微软雅黑" w:eastAsia="微软雅黑" w:cs="微软雅黑"/>
          <w:color w:val="000000" w:themeColor="text1"/>
          <w14:textFill>
            <w14:solidFill>
              <w14:schemeClr w14:val="tx1"/>
            </w14:solidFill>
          </w14:textFill>
        </w:rPr>
      </w:pPr>
    </w:p>
    <w:p w14:paraId="457E1704">
      <w:pPr>
        <w:pStyle w:val="37"/>
        <w:rPr>
          <w:rFonts w:hint="eastAsia" w:ascii="微软雅黑" w:hAnsi="微软雅黑" w:eastAsia="微软雅黑" w:cs="微软雅黑"/>
          <w:color w:val="000000" w:themeColor="text1"/>
          <w14:textFill>
            <w14:solidFill>
              <w14:schemeClr w14:val="tx1"/>
            </w14:solidFill>
          </w14:textFill>
        </w:rPr>
      </w:pPr>
    </w:p>
    <w:p w14:paraId="135D631A">
      <w:pPr>
        <w:pStyle w:val="37"/>
        <w:rPr>
          <w:rFonts w:hint="eastAsia" w:ascii="微软雅黑" w:hAnsi="微软雅黑" w:eastAsia="微软雅黑" w:cs="微软雅黑"/>
          <w:color w:val="000000" w:themeColor="text1"/>
          <w14:textFill>
            <w14:solidFill>
              <w14:schemeClr w14:val="tx1"/>
            </w14:solidFill>
          </w14:textFill>
        </w:rPr>
      </w:pPr>
    </w:p>
    <w:p w14:paraId="1543F218">
      <w:pPr>
        <w:pStyle w:val="37"/>
        <w:rPr>
          <w:rFonts w:hint="eastAsia" w:ascii="微软雅黑" w:hAnsi="微软雅黑" w:eastAsia="微软雅黑" w:cs="微软雅黑"/>
          <w:color w:val="000000" w:themeColor="text1"/>
          <w14:textFill>
            <w14:solidFill>
              <w14:schemeClr w14:val="tx1"/>
            </w14:solidFill>
          </w14:textFill>
        </w:rPr>
      </w:pPr>
    </w:p>
    <w:p w14:paraId="6A306073">
      <w:pPr>
        <w:pStyle w:val="37"/>
        <w:rPr>
          <w:rFonts w:hint="eastAsia" w:ascii="微软雅黑" w:hAnsi="微软雅黑" w:eastAsia="微软雅黑" w:cs="微软雅黑"/>
          <w:color w:val="000000" w:themeColor="text1"/>
          <w14:textFill>
            <w14:solidFill>
              <w14:schemeClr w14:val="tx1"/>
            </w14:solidFill>
          </w14:textFill>
        </w:rPr>
      </w:pPr>
    </w:p>
    <w:p w14:paraId="2F4F46E5">
      <w:pPr>
        <w:pStyle w:val="37"/>
        <w:rPr>
          <w:rFonts w:hint="eastAsia" w:ascii="微软雅黑" w:hAnsi="微软雅黑" w:eastAsia="微软雅黑" w:cs="微软雅黑"/>
          <w:color w:val="000000" w:themeColor="text1"/>
          <w14:textFill>
            <w14:solidFill>
              <w14:schemeClr w14:val="tx1"/>
            </w14:solidFill>
          </w14:textFill>
        </w:rPr>
      </w:pPr>
    </w:p>
    <w:p w14:paraId="1C46D440">
      <w:pPr>
        <w:pStyle w:val="37"/>
        <w:rPr>
          <w:rFonts w:hint="eastAsia" w:ascii="微软雅黑" w:hAnsi="微软雅黑" w:eastAsia="微软雅黑" w:cs="微软雅黑"/>
          <w:color w:val="000000" w:themeColor="text1"/>
          <w14:textFill>
            <w14:solidFill>
              <w14:schemeClr w14:val="tx1"/>
            </w14:solidFill>
          </w14:textFill>
        </w:rPr>
      </w:pPr>
    </w:p>
    <w:p w14:paraId="233CCEBF">
      <w:pPr>
        <w:pStyle w:val="37"/>
        <w:rPr>
          <w:rFonts w:hint="eastAsia" w:ascii="微软雅黑" w:hAnsi="微软雅黑" w:eastAsia="微软雅黑" w:cs="微软雅黑"/>
          <w:color w:val="000000" w:themeColor="text1"/>
          <w14:textFill>
            <w14:solidFill>
              <w14:schemeClr w14:val="tx1"/>
            </w14:solidFill>
          </w14:textFill>
        </w:rPr>
      </w:pPr>
    </w:p>
    <w:p w14:paraId="4FC03545">
      <w:pPr>
        <w:pStyle w:val="37"/>
        <w:rPr>
          <w:rFonts w:hint="eastAsia" w:ascii="微软雅黑" w:hAnsi="微软雅黑" w:eastAsia="微软雅黑" w:cs="微软雅黑"/>
          <w:color w:val="000000" w:themeColor="text1"/>
          <w14:textFill>
            <w14:solidFill>
              <w14:schemeClr w14:val="tx1"/>
            </w14:solidFill>
          </w14:textFill>
        </w:rPr>
      </w:pPr>
    </w:p>
    <w:p w14:paraId="5EC8BFDF">
      <w:pPr>
        <w:pStyle w:val="37"/>
        <w:rPr>
          <w:rFonts w:hint="eastAsia" w:ascii="微软雅黑" w:hAnsi="微软雅黑" w:eastAsia="微软雅黑" w:cs="微软雅黑"/>
          <w:color w:val="000000" w:themeColor="text1"/>
          <w14:textFill>
            <w14:solidFill>
              <w14:schemeClr w14:val="tx1"/>
            </w14:solidFill>
          </w14:textFill>
        </w:rPr>
      </w:pPr>
    </w:p>
    <w:p w14:paraId="32C94044">
      <w:pPr>
        <w:pStyle w:val="37"/>
        <w:rPr>
          <w:rFonts w:hint="eastAsia" w:ascii="微软雅黑" w:hAnsi="微软雅黑" w:eastAsia="微软雅黑" w:cs="微软雅黑"/>
          <w:color w:val="000000" w:themeColor="text1"/>
          <w14:textFill>
            <w14:solidFill>
              <w14:schemeClr w14:val="tx1"/>
            </w14:solidFill>
          </w14:textFill>
        </w:rPr>
      </w:pPr>
    </w:p>
    <w:p w14:paraId="4C8F1D59">
      <w:pPr>
        <w:pStyle w:val="37"/>
        <w:rPr>
          <w:rFonts w:hint="eastAsia" w:ascii="微软雅黑" w:hAnsi="微软雅黑" w:eastAsia="微软雅黑" w:cs="微软雅黑"/>
          <w:color w:val="000000" w:themeColor="text1"/>
          <w14:textFill>
            <w14:solidFill>
              <w14:schemeClr w14:val="tx1"/>
            </w14:solidFill>
          </w14:textFill>
        </w:rPr>
      </w:pPr>
    </w:p>
    <w:p w14:paraId="5AC1FC02">
      <w:pPr>
        <w:pStyle w:val="37"/>
        <w:rPr>
          <w:rFonts w:hint="eastAsia" w:ascii="微软雅黑" w:hAnsi="微软雅黑" w:eastAsia="微软雅黑" w:cs="微软雅黑"/>
          <w:color w:val="000000" w:themeColor="text1"/>
          <w14:textFill>
            <w14:solidFill>
              <w14:schemeClr w14:val="tx1"/>
            </w14:solidFill>
          </w14:textFill>
        </w:rPr>
      </w:pPr>
    </w:p>
    <w:p w14:paraId="2348E644">
      <w:pPr>
        <w:pStyle w:val="37"/>
        <w:rPr>
          <w:rFonts w:hint="eastAsia" w:ascii="微软雅黑" w:hAnsi="微软雅黑" w:eastAsia="微软雅黑" w:cs="微软雅黑"/>
          <w:color w:val="000000" w:themeColor="text1"/>
          <w14:textFill>
            <w14:solidFill>
              <w14:schemeClr w14:val="tx1"/>
            </w14:solidFill>
          </w14:textFill>
        </w:rPr>
      </w:pPr>
    </w:p>
    <w:p w14:paraId="0C1E3226">
      <w:pPr>
        <w:pStyle w:val="37"/>
        <w:rPr>
          <w:rFonts w:hint="eastAsia" w:ascii="微软雅黑" w:hAnsi="微软雅黑" w:eastAsia="微软雅黑" w:cs="微软雅黑"/>
          <w:color w:val="000000" w:themeColor="text1"/>
          <w14:textFill>
            <w14:solidFill>
              <w14:schemeClr w14:val="tx1"/>
            </w14:solidFill>
          </w14:textFill>
        </w:rPr>
      </w:pPr>
    </w:p>
    <w:p w14:paraId="2C1BC269">
      <w:pPr>
        <w:pStyle w:val="3"/>
        <w:rPr>
          <w:rFonts w:hint="eastAsia" w:ascii="微软雅黑" w:hAnsi="微软雅黑" w:eastAsia="微软雅黑" w:cs="微软雅黑"/>
          <w:color w:val="000000" w:themeColor="text1"/>
          <w14:textFill>
            <w14:solidFill>
              <w14:schemeClr w14:val="tx1"/>
            </w14:solidFill>
          </w14:textFill>
        </w:rPr>
      </w:pPr>
    </w:p>
    <w:p w14:paraId="6891EA9F">
      <w:pPr>
        <w:rPr>
          <w:rFonts w:hint="eastAsia" w:ascii="微软雅黑" w:hAnsi="微软雅黑" w:eastAsia="微软雅黑" w:cs="微软雅黑"/>
          <w:color w:val="000000" w:themeColor="text1"/>
          <w14:textFill>
            <w14:solidFill>
              <w14:schemeClr w14:val="tx1"/>
            </w14:solidFill>
          </w14:textFill>
        </w:rPr>
      </w:pPr>
    </w:p>
    <w:p w14:paraId="0FE3ED85">
      <w:pPr>
        <w:rPr>
          <w:rFonts w:hint="eastAsia" w:ascii="微软雅黑" w:hAnsi="微软雅黑" w:eastAsia="微软雅黑" w:cs="微软雅黑"/>
          <w:color w:val="000000" w:themeColor="text1"/>
          <w14:textFill>
            <w14:solidFill>
              <w14:schemeClr w14:val="tx1"/>
            </w14:solidFill>
          </w14:textFill>
        </w:rPr>
      </w:pPr>
    </w:p>
    <w:p w14:paraId="0A71AB82">
      <w:pPr>
        <w:rPr>
          <w:rFonts w:hint="eastAsia" w:ascii="微软雅黑" w:hAnsi="微软雅黑" w:eastAsia="微软雅黑" w:cs="微软雅黑"/>
          <w:color w:val="000000" w:themeColor="text1"/>
          <w14:textFill>
            <w14:solidFill>
              <w14:schemeClr w14:val="tx1"/>
            </w14:solidFill>
          </w14:textFill>
        </w:rPr>
      </w:pPr>
    </w:p>
    <w:p w14:paraId="70C8983B">
      <w:pPr>
        <w:rPr>
          <w:rFonts w:hint="eastAsia" w:ascii="微软雅黑" w:hAnsi="微软雅黑" w:eastAsia="微软雅黑" w:cs="微软雅黑"/>
          <w:color w:val="000000" w:themeColor="text1"/>
          <w14:textFill>
            <w14:solidFill>
              <w14:schemeClr w14:val="tx1"/>
            </w14:solidFill>
          </w14:textFill>
        </w:rPr>
      </w:pPr>
    </w:p>
    <w:p w14:paraId="1D366E6E">
      <w:pPr>
        <w:rPr>
          <w:rFonts w:hint="eastAsia" w:ascii="微软雅黑" w:hAnsi="微软雅黑" w:eastAsia="微软雅黑" w:cs="微软雅黑"/>
          <w:color w:val="000000" w:themeColor="text1"/>
          <w14:textFill>
            <w14:solidFill>
              <w14:schemeClr w14:val="tx1"/>
            </w14:solidFill>
          </w14:textFill>
        </w:rPr>
      </w:pPr>
    </w:p>
    <w:p w14:paraId="70570053">
      <w:pPr>
        <w:pStyle w:val="3"/>
        <w:rPr>
          <w:rFonts w:hint="eastAsia" w:ascii="微软雅黑" w:hAnsi="微软雅黑" w:eastAsia="微软雅黑" w:cs="微软雅黑"/>
          <w:color w:val="000000" w:themeColor="text1"/>
          <w14:textFill>
            <w14:solidFill>
              <w14:schemeClr w14:val="tx1"/>
            </w14:solidFill>
          </w14:textFill>
        </w:rPr>
      </w:pPr>
    </w:p>
    <w:p w14:paraId="05A7C1AC">
      <w:pPr>
        <w:rPr>
          <w:rFonts w:hint="eastAsia"/>
        </w:rPr>
      </w:pPr>
    </w:p>
    <w:p w14:paraId="5CC138A0">
      <w:pPr>
        <w:rPr>
          <w:rFonts w:hint="eastAsia" w:ascii="微软雅黑" w:hAnsi="微软雅黑" w:eastAsia="微软雅黑" w:cs="微软雅黑"/>
          <w:color w:val="000000" w:themeColor="text1"/>
          <w14:textFill>
            <w14:solidFill>
              <w14:schemeClr w14:val="tx1"/>
            </w14:solidFill>
          </w14:textFill>
        </w:rPr>
      </w:pPr>
    </w:p>
    <w:p w14:paraId="3EE68D4D">
      <w:pPr>
        <w:pStyle w:val="37"/>
        <w:rPr>
          <w:rFonts w:hint="eastAsia"/>
        </w:rPr>
      </w:pPr>
    </w:p>
    <w:p w14:paraId="618C460D">
      <w:pPr>
        <w:pStyle w:val="37"/>
        <w:rPr>
          <w:rFonts w:hint="eastAsia"/>
        </w:rPr>
      </w:pPr>
    </w:p>
    <w:p w14:paraId="3BA84F39">
      <w:pPr>
        <w:pStyle w:val="37"/>
        <w:rPr>
          <w:rFonts w:hint="eastAsia"/>
        </w:rPr>
      </w:pPr>
    </w:p>
    <w:p w14:paraId="35CB3322">
      <w:pPr>
        <w:pStyle w:val="37"/>
        <w:rPr>
          <w:rFonts w:hint="eastAsia"/>
        </w:rPr>
      </w:pPr>
    </w:p>
    <w:p w14:paraId="52F7A42A">
      <w:pPr>
        <w:pStyle w:val="37"/>
        <w:rPr>
          <w:rFonts w:hint="eastAsia"/>
        </w:rPr>
      </w:pPr>
    </w:p>
    <w:p w14:paraId="0916089C">
      <w:pPr>
        <w:pStyle w:val="37"/>
        <w:rPr>
          <w:rFonts w:hint="eastAsia"/>
        </w:rPr>
      </w:pPr>
    </w:p>
    <w:p w14:paraId="5317C3F8">
      <w:pPr>
        <w:pStyle w:val="37"/>
        <w:rPr>
          <w:rFonts w:hint="eastAsia"/>
        </w:rPr>
      </w:pPr>
    </w:p>
    <w:p w14:paraId="02AA5F3B">
      <w:pPr>
        <w:rPr>
          <w:rFonts w:hint="eastAsia" w:ascii="微软雅黑" w:hAnsi="微软雅黑" w:eastAsia="微软雅黑" w:cs="微软雅黑"/>
          <w:color w:val="000000" w:themeColor="text1"/>
          <w14:textFill>
            <w14:solidFill>
              <w14:schemeClr w14:val="tx1"/>
            </w14:solidFill>
          </w14:textFill>
        </w:rPr>
      </w:pPr>
    </w:p>
    <w:p w14:paraId="1A00500B">
      <w:pPr>
        <w:pStyle w:val="3"/>
        <w:rPr>
          <w:rFonts w:hint="eastAsia"/>
        </w:rPr>
      </w:pPr>
    </w:p>
    <w:p w14:paraId="46844F57">
      <w:pPr>
        <w:pStyle w:val="8"/>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30"/>
      <w:bookmarkEnd w:id="131"/>
      <w:bookmarkEnd w:id="132"/>
    </w:p>
    <w:p w14:paraId="09CFE32B">
      <w:pPr>
        <w:pStyle w:val="36"/>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3"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2F57C57">
      <w:pPr>
        <w:pStyle w:val="2"/>
        <w:rPr>
          <w:rFonts w:hint="eastAsia"/>
        </w:rPr>
      </w:pPr>
    </w:p>
    <w:p w14:paraId="1633AD7D">
      <w:pPr>
        <w:pStyle w:val="36"/>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823AC2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613F3E3">
      <w:pPr>
        <w:pStyle w:val="2"/>
        <w:rPr>
          <w:rFonts w:hint="eastAsia" w:ascii="宋体" w:hAnsi="宋体" w:cs="宋体"/>
          <w:b/>
          <w:bCs/>
          <w:color w:val="000000" w:themeColor="text1"/>
          <w:sz w:val="36"/>
          <w:szCs w:val="36"/>
          <w14:textFill>
            <w14:solidFill>
              <w14:schemeClr w14:val="tx1"/>
            </w14:solidFill>
          </w14:textFill>
        </w:rPr>
      </w:pPr>
    </w:p>
    <w:p w14:paraId="746CDFDD">
      <w:pPr>
        <w:pStyle w:val="5"/>
        <w:rPr>
          <w:rFonts w:hint="eastAsia"/>
        </w:rPr>
      </w:pPr>
    </w:p>
    <w:p w14:paraId="2DD58B2E">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30C4679">
      <w:pPr>
        <w:pStyle w:val="3"/>
        <w:rPr>
          <w:rFonts w:hint="eastAsia"/>
        </w:rPr>
      </w:pPr>
    </w:p>
    <w:p w14:paraId="5C4BAFDB">
      <w:pPr>
        <w:pStyle w:val="3"/>
        <w:rPr>
          <w:rFonts w:hint="eastAsia"/>
        </w:rPr>
      </w:pPr>
    </w:p>
    <w:p w14:paraId="699B7F7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8FE5C9C">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3"/>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9"/>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36"/>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36"/>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36"/>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36"/>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36"/>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36"/>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41"/>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554DE89D">
      <w:pPr>
        <w:pStyle w:val="16"/>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9"/>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供应商应具备以下条件：（出具有效的声明函并加盖公章）</w:t>
            </w:r>
          </w:p>
          <w:p w14:paraId="1C83897A">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（1）具有良好的商业信誉和健全的财务会计制度；</w:t>
            </w:r>
          </w:p>
          <w:p w14:paraId="47C97F11">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（2）具有依法缴纳税收和社会保障资金的良好记录；</w:t>
            </w:r>
          </w:p>
          <w:p w14:paraId="10478A8C">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（3）具备履行合同所必需的设备和专业技术能力；</w:t>
            </w:r>
          </w:p>
          <w:p w14:paraId="231D14BF">
            <w:pPr>
              <w:widowControl/>
              <w:autoSpaceDE w:val="0"/>
              <w:autoSpaceDN w:val="0"/>
              <w:adjustRightInd w:val="0"/>
              <w:snapToGrid w:val="0"/>
              <w:spacing w:beforeLines="50"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r>
              <w:rPr>
                <w:rFonts w:hint="eastAsia" w:ascii="宋体" w:hAnsi="宋体" w:eastAsia="宋体" w:cs="宋体"/>
                <w:color w:val="auto"/>
                <w:sz w:val="21"/>
                <w:szCs w:val="21"/>
              </w:rPr>
              <w:t>已由总公司授权的，总公司取得的相关资质证书对分公司有效，法律法规或者行业另有规定的除外。</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759F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67857028">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5</w:t>
            </w:r>
          </w:p>
        </w:tc>
        <w:tc>
          <w:tcPr>
            <w:tcW w:w="8731" w:type="dxa"/>
            <w:vAlign w:val="center"/>
          </w:tcPr>
          <w:p w14:paraId="45BDA8C5">
            <w:pPr>
              <w:widowControl/>
              <w:adjustRightInd w:val="0"/>
              <w:snapToGrid w:val="0"/>
              <w:spacing w:beforeLines="50" w:line="360" w:lineRule="auto"/>
              <w:rPr>
                <w:rFonts w:hint="eastAsia"/>
                <w:color w:val="auto"/>
                <w:sz w:val="21"/>
                <w:szCs w:val="21"/>
              </w:rPr>
            </w:pPr>
            <w:r>
              <w:rPr>
                <w:rFonts w:hint="eastAsia" w:ascii="宋体" w:hAnsi="宋体" w:cs="宋体"/>
                <w:sz w:val="21"/>
                <w:szCs w:val="21"/>
              </w:rPr>
              <w:t>为采购项目提供整体设计、规范编制或者项目管理、监理、检测等服务的供应商，不得再参加该采购项目的其他采购活动。</w:t>
            </w:r>
          </w:p>
        </w:tc>
      </w:tr>
      <w:tr w14:paraId="04B3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48" w:type="dxa"/>
            <w:vAlign w:val="center"/>
          </w:tcPr>
          <w:p w14:paraId="5080CA47">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eastAsia="zh-CN"/>
              </w:rPr>
            </w:pPr>
            <w:r>
              <w:rPr>
                <w:rFonts w:hint="eastAsia" w:ascii="宋体" w:hAnsi="宋体" w:cs="宋体"/>
                <w:color w:val="auto"/>
                <w:sz w:val="21"/>
                <w:szCs w:val="21"/>
                <w:shd w:val="clear" w:color="auto" w:fill="FFFFFF"/>
                <w:lang w:val="en-US" w:eastAsia="zh-CN"/>
              </w:rPr>
              <w:t>6</w:t>
            </w:r>
          </w:p>
        </w:tc>
        <w:tc>
          <w:tcPr>
            <w:tcW w:w="8731" w:type="dxa"/>
            <w:vAlign w:val="center"/>
          </w:tcPr>
          <w:p w14:paraId="46B7F96E">
            <w:pPr>
              <w:widowControl/>
              <w:adjustRightInd w:val="0"/>
              <w:snapToGrid w:val="0"/>
              <w:spacing w:beforeLines="50" w:line="360" w:lineRule="auto"/>
              <w:rPr>
                <w:color w:val="auto"/>
                <w:sz w:val="21"/>
                <w:szCs w:val="21"/>
              </w:rPr>
            </w:pPr>
            <w:r>
              <w:rPr>
                <w:rFonts w:hint="eastAsia" w:ascii="宋体" w:hAnsi="宋体" w:eastAsia="宋体" w:cs="宋体"/>
                <w:color w:val="auto"/>
                <w:sz w:val="21"/>
                <w:szCs w:val="21"/>
              </w:rPr>
              <w:t>供应商</w:t>
            </w:r>
            <w:r>
              <w:rPr>
                <w:rFonts w:hint="eastAsia" w:ascii="宋体" w:hAnsi="宋体" w:eastAsia="宋体" w:cs="宋体"/>
                <w:color w:val="auto"/>
                <w:sz w:val="21"/>
                <w:szCs w:val="21"/>
                <w:lang w:val="en-US" w:eastAsia="zh-CN"/>
              </w:rPr>
              <w:t>须具备</w:t>
            </w:r>
            <w:r>
              <w:rPr>
                <w:rFonts w:hint="eastAsia" w:ascii="宋体" w:hAnsi="宋体" w:cs="宋体"/>
                <w:color w:val="auto"/>
                <w:sz w:val="21"/>
                <w:szCs w:val="21"/>
              </w:rPr>
              <w:t>工程监理综合资质或房屋建筑工程监理乙级(或以上）资质</w:t>
            </w:r>
            <w:r>
              <w:rPr>
                <w:rFonts w:hint="eastAsia" w:ascii="宋体" w:hAnsi="宋体" w:eastAsia="宋体" w:cs="宋体"/>
                <w:color w:val="auto"/>
                <w:sz w:val="21"/>
                <w:szCs w:val="21"/>
              </w:rPr>
              <w:t>。</w:t>
            </w:r>
          </w:p>
        </w:tc>
      </w:tr>
      <w:tr w14:paraId="1B17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5C6DEA2F">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highlight w:val="yellow"/>
                <w:shd w:val="clear" w:color="auto" w:fill="FFFFFF"/>
                <w:lang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1D522627">
            <w:pPr>
              <w:widowControl/>
              <w:adjustRightInd w:val="0"/>
              <w:snapToGrid w:val="0"/>
              <w:spacing w:beforeLines="50" w:line="360" w:lineRule="auto"/>
              <w:rPr>
                <w:color w:val="auto"/>
                <w:sz w:val="21"/>
                <w:szCs w:val="21"/>
                <w:highlight w:val="none"/>
              </w:rPr>
            </w:pPr>
            <w:r>
              <w:rPr>
                <w:rFonts w:hint="eastAsia" w:ascii="宋体" w:hAnsi="宋体" w:cs="宋体"/>
                <w:color w:val="auto"/>
                <w:sz w:val="21"/>
                <w:szCs w:val="21"/>
              </w:rPr>
              <w:t>拟派总监理工程师：具</w:t>
            </w:r>
            <w:r>
              <w:rPr>
                <w:rFonts w:hint="eastAsia" w:ascii="宋体" w:hAnsi="宋体" w:eastAsia="宋体" w:cs="宋体"/>
                <w:color w:val="auto"/>
                <w:sz w:val="21"/>
                <w:szCs w:val="21"/>
                <w:lang w:val="en-US" w:eastAsia="zh-CN"/>
              </w:rPr>
              <w:t>备建设部 2006 年 4 月 1 日后颁发</w:t>
            </w:r>
            <w:r>
              <w:rPr>
                <w:rFonts w:hint="eastAsia" w:ascii="宋体" w:hAnsi="宋体" w:cs="宋体"/>
                <w:color w:val="auto"/>
                <w:sz w:val="21"/>
                <w:szCs w:val="21"/>
                <w:lang w:val="en-US" w:eastAsia="zh-CN"/>
              </w:rPr>
              <w:t>的</w:t>
            </w:r>
            <w:r>
              <w:rPr>
                <w:rFonts w:hint="eastAsia" w:ascii="宋体" w:hAnsi="宋体" w:eastAsia="宋体" w:cs="宋体"/>
                <w:color w:val="auto"/>
                <w:sz w:val="21"/>
                <w:szCs w:val="21"/>
                <w:lang w:val="en-US" w:eastAsia="zh-CN"/>
              </w:rPr>
              <w:t>中华人民共</w:t>
            </w:r>
            <w:r>
              <w:rPr>
                <w:rFonts w:hint="eastAsia" w:ascii="宋体" w:hAnsi="宋体" w:cs="宋体"/>
                <w:color w:val="auto"/>
                <w:sz w:val="21"/>
                <w:szCs w:val="21"/>
              </w:rPr>
              <w:t>和国注册监理工程师注册执业证书，且其注册专业为房屋建筑工程，注册执业单位为本公司</w:t>
            </w:r>
            <w:r>
              <w:rPr>
                <w:rFonts w:hint="eastAsia" w:ascii="宋体" w:hAnsi="宋体" w:eastAsia="宋体" w:cs="宋体"/>
                <w:color w:val="auto"/>
                <w:sz w:val="21"/>
                <w:szCs w:val="21"/>
                <w:lang w:val="en-US" w:eastAsia="zh-CN"/>
              </w:rPr>
              <w:t>。</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8</w:t>
            </w:r>
          </w:p>
        </w:tc>
        <w:tc>
          <w:tcPr>
            <w:tcW w:w="8731" w:type="dxa"/>
            <w:vAlign w:val="center"/>
          </w:tcPr>
          <w:p w14:paraId="12A4082A">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9</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36"/>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36"/>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36"/>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widowControl/>
              <w:adjustRightInd w:val="0"/>
              <w:snapToGrid w:val="0"/>
              <w:spacing w:beforeLines="50" w:line="360" w:lineRule="auto"/>
              <w:rPr>
                <w:rFonts w:hint="eastAsia" w:ascii="宋体" w:hAnsi="宋体" w:cs="华文仿宋"/>
                <w:color w:val="auto"/>
                <w:szCs w:val="21"/>
                <w:lang w:val="en-US" w:eastAsia="zh-CN"/>
              </w:rPr>
            </w:pPr>
            <w:r>
              <w:rPr>
                <w:rFonts w:hint="eastAsia" w:ascii="宋体" w:hAnsi="宋体" w:cs="华文仿宋"/>
                <w:color w:val="auto"/>
                <w:szCs w:val="21"/>
                <w:lang w:val="en-US" w:eastAsia="zh-CN"/>
              </w:rPr>
              <w:t>响应报价：</w:t>
            </w:r>
          </w:p>
          <w:p w14:paraId="6F878041">
            <w:pPr>
              <w:widowControl/>
              <w:adjustRightInd w:val="0"/>
              <w:snapToGrid w:val="0"/>
              <w:spacing w:beforeLines="50" w:line="360" w:lineRule="auto"/>
              <w:rPr>
                <w:rFonts w:hint="eastAsia" w:ascii="宋体" w:hAnsi="宋体" w:cs="华文仿宋"/>
                <w:color w:val="auto"/>
                <w:szCs w:val="21"/>
                <w:lang w:val="en-US" w:eastAsia="zh-CN"/>
              </w:rPr>
            </w:pPr>
            <w:r>
              <w:rPr>
                <w:rFonts w:hint="eastAsia" w:ascii="宋体" w:hAnsi="宋体" w:cs="华文仿宋"/>
                <w:color w:val="auto"/>
                <w:szCs w:val="21"/>
                <w:lang w:val="en-US" w:eastAsia="zh-CN"/>
              </w:rPr>
              <w:t>（1）响应报价未超过本项目最高限价；</w:t>
            </w:r>
          </w:p>
          <w:p w14:paraId="10080C46">
            <w:pPr>
              <w:widowControl/>
              <w:adjustRightInd w:val="0"/>
              <w:snapToGrid w:val="0"/>
              <w:spacing w:beforeLines="50" w:line="360" w:lineRule="auto"/>
              <w:rPr>
                <w:rFonts w:hint="eastAsia" w:ascii="宋体" w:hAnsi="宋体" w:cs="华文仿宋"/>
                <w:color w:val="auto"/>
                <w:szCs w:val="21"/>
                <w:lang w:val="en-US" w:eastAsia="zh-CN"/>
              </w:rPr>
            </w:pPr>
            <w:r>
              <w:rPr>
                <w:rFonts w:hint="eastAsia" w:ascii="宋体" w:hAnsi="宋体" w:cs="华文仿宋"/>
                <w:color w:val="auto"/>
                <w:szCs w:val="21"/>
                <w:lang w:val="en-US" w:eastAsia="zh-CN"/>
              </w:rPr>
              <w:t>（2）对本项目的全部内容进行响应报价；</w:t>
            </w:r>
          </w:p>
          <w:p w14:paraId="3CCEF286">
            <w:pPr>
              <w:widowControl/>
              <w:adjustRightInd w:val="0"/>
              <w:snapToGrid w:val="0"/>
              <w:spacing w:beforeLines="50" w:line="360" w:lineRule="auto"/>
              <w:rPr>
                <w:rFonts w:hint="eastAsia" w:ascii="宋体" w:hAnsi="宋体" w:cs="华文仿宋"/>
                <w:color w:val="auto"/>
                <w:szCs w:val="21"/>
              </w:rPr>
            </w:pPr>
            <w:r>
              <w:rPr>
                <w:rFonts w:hint="eastAsia" w:ascii="宋体" w:hAnsi="宋体" w:cs="华文仿宋"/>
                <w:color w:val="auto"/>
                <w:szCs w:val="21"/>
                <w:lang w:val="en-US" w:eastAsia="zh-CN"/>
              </w:rPr>
              <w:t>（3）响应报价不低于成本价，且是唯一确定的。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137F9C82">
            <w:pPr>
              <w:widowControl/>
              <w:adjustRightInd w:val="0"/>
              <w:snapToGrid w:val="0"/>
              <w:spacing w:beforeLines="50" w:line="360" w:lineRule="auto"/>
              <w:rPr>
                <w:rFonts w:hint="eastAsia" w:ascii="宋体" w:hAnsi="宋体" w:cs="华文仿宋"/>
                <w:color w:val="auto"/>
                <w:szCs w:val="21"/>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w:t>
            </w:r>
            <w:r>
              <w:rPr>
                <w:rFonts w:hint="eastAsia"/>
                <w:color w:val="auto"/>
                <w:lang w:val="en-US" w:eastAsia="zh-CN"/>
              </w:rPr>
              <w:t>一一</w:t>
            </w:r>
            <w:r>
              <w:rPr>
                <w:rFonts w:hint="eastAsia"/>
                <w:color w:val="auto"/>
                <w:lang w:eastAsia="zh-CN"/>
              </w:rPr>
              <w:t>满足</w:t>
            </w:r>
            <w:r>
              <w:rPr>
                <w:rFonts w:hint="eastAsia"/>
                <w:color w:val="auto"/>
              </w:rPr>
              <w:t>公开比选文件“★”号条款要求。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CD40EE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50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2</w:t>
            </w:r>
            <w:r>
              <w:rPr>
                <w:rFonts w:hint="eastAsia" w:ascii="宋体" w:hAnsi="宋体" w:cs="宋体"/>
                <w:b/>
                <w:color w:val="auto"/>
                <w:spacing w:val="-4"/>
                <w:sz w:val="24"/>
                <w:highlight w:val="none"/>
              </w:rPr>
              <w:t>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042E3BD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50</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30</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0分</w:t>
            </w:r>
          </w:p>
        </w:tc>
      </w:tr>
    </w:tbl>
    <w:p w14:paraId="16418F6F">
      <w:pPr>
        <w:numPr>
          <w:ilvl w:val="0"/>
          <w:numId w:val="0"/>
        </w:numPr>
        <w:tabs>
          <w:tab w:val="left" w:pos="0"/>
        </w:tabs>
        <w:adjustRightInd w:val="0"/>
        <w:snapToGrid w:val="0"/>
        <w:spacing w:line="360" w:lineRule="exact"/>
        <w:rPr>
          <w:rFonts w:hint="eastAsia" w:ascii="宋体" w:hAnsi="宋体" w:cs="宋体"/>
          <w:color w:val="000000" w:themeColor="text1"/>
          <w:sz w:val="24"/>
          <w:highlight w:val="none"/>
          <w:lang w:eastAsia="zh-CN"/>
          <w14:textFill>
            <w14:solidFill>
              <w14:schemeClr w14:val="tx1"/>
            </w14:solidFill>
          </w14:textFill>
        </w:rPr>
      </w:pPr>
    </w:p>
    <w:p w14:paraId="3CBD986E">
      <w:pPr>
        <w:numPr>
          <w:ilvl w:val="0"/>
          <w:numId w:val="2"/>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7CCF7BEF">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50</w:t>
      </w:r>
      <w:r>
        <w:rPr>
          <w:rFonts w:hint="eastAsia" w:ascii="宋体" w:hAnsi="宋体" w:cs="宋体"/>
          <w:b/>
          <w:color w:val="auto"/>
          <w:kern w:val="1"/>
          <w:sz w:val="24"/>
        </w:rPr>
        <w:t>分）</w:t>
      </w:r>
    </w:p>
    <w:p w14:paraId="17CA901C">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9"/>
        <w:tblW w:w="9532" w:type="dxa"/>
        <w:tblInd w:w="229" w:type="dxa"/>
        <w:tblLayout w:type="autofit"/>
        <w:tblCellMar>
          <w:top w:w="0" w:type="dxa"/>
          <w:left w:w="108" w:type="dxa"/>
          <w:bottom w:w="0" w:type="dxa"/>
          <w:right w:w="108" w:type="dxa"/>
        </w:tblCellMar>
      </w:tblPr>
      <w:tblGrid>
        <w:gridCol w:w="1091"/>
        <w:gridCol w:w="695"/>
        <w:gridCol w:w="7746"/>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7F11034C">
        <w:tblPrEx>
          <w:tblCellMar>
            <w:top w:w="0" w:type="dxa"/>
            <w:left w:w="108" w:type="dxa"/>
            <w:bottom w:w="0" w:type="dxa"/>
            <w:right w:w="108" w:type="dxa"/>
          </w:tblCellMar>
        </w:tblPrEx>
        <w:trPr>
          <w:trHeight w:val="2333"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eastAsia" w:ascii="宋体" w:hAnsi="宋体" w:eastAsia="宋体"/>
                <w:szCs w:val="21"/>
                <w:lang w:eastAsia="zh-CN"/>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pStyle w:val="18"/>
              <w:ind w:left="0" w:leftChars="0" w:firstLine="0" w:firstLineChars="0"/>
              <w:jc w:val="both"/>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具有有效期内的管理体系认证证书：</w:t>
            </w:r>
          </w:p>
          <w:p w14:paraId="6EECD7FB">
            <w:pPr>
              <w:pStyle w:val="18"/>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1、质量管理体系认证，得1分。</w:t>
            </w:r>
          </w:p>
          <w:p w14:paraId="6C750762">
            <w:pPr>
              <w:pStyle w:val="18"/>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2、环境管理体系认证，得1分。</w:t>
            </w:r>
          </w:p>
          <w:p w14:paraId="619D3F6E">
            <w:pPr>
              <w:pStyle w:val="18"/>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3、职业健康安全管理体系认证，得1分。</w:t>
            </w:r>
          </w:p>
          <w:p w14:paraId="33D5DB1D">
            <w:pPr>
              <w:pStyle w:val="18"/>
              <w:ind w:left="420" w:leftChars="0" w:hanging="420" w:hangingChars="20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注：1）需提供有效的认证证书复印件加盖公章，经认证的管理体系需在有效期内。2）因企业成立时间不足3个月，导致未能取得相关认证且提供书面说明的，</w:t>
            </w:r>
          </w:p>
          <w:p w14:paraId="54B84C9F">
            <w:pPr>
              <w:pStyle w:val="18"/>
              <w:ind w:left="0" w:leftChars="0" w:firstLine="0" w:firstLineChars="0"/>
              <w:jc w:val="both"/>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 xml:space="preserve">对应证书可得分。 </w:t>
            </w:r>
          </w:p>
          <w:p w14:paraId="2BF46653">
            <w:pPr>
              <w:pStyle w:val="18"/>
              <w:ind w:left="0" w:leftChars="0" w:firstLine="420" w:firstLineChars="20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3）未按要求提供的不得分。</w:t>
            </w:r>
          </w:p>
        </w:tc>
      </w:tr>
      <w:tr w14:paraId="183F3702">
        <w:tblPrEx>
          <w:tblCellMar>
            <w:top w:w="0" w:type="dxa"/>
            <w:left w:w="108" w:type="dxa"/>
            <w:bottom w:w="0" w:type="dxa"/>
            <w:right w:w="108" w:type="dxa"/>
          </w:tblCellMar>
        </w:tblPrEx>
        <w:trPr>
          <w:trHeight w:val="151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8FD1427">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获奖监理业绩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101DEDE">
            <w:pPr>
              <w:widowControl/>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14</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123EA36">
            <w:pPr>
              <w:widowControl/>
              <w:ind w:firstLine="420" w:firstLineChars="200"/>
              <w:jc w:val="left"/>
              <w:textAlignment w:val="center"/>
              <w:rPr>
                <w:rFonts w:hint="eastAsia" w:ascii="宋体" w:hAnsi="宋体" w:cs="宋体"/>
                <w:color w:val="auto"/>
                <w:szCs w:val="21"/>
                <w:highlight w:val="none"/>
              </w:rPr>
            </w:pPr>
            <w:r>
              <w:rPr>
                <w:rFonts w:hint="eastAsia" w:ascii="宋体" w:hAnsi="宋体" w:eastAsia="宋体" w:cs="宋体"/>
                <w:color w:val="auto"/>
                <w:kern w:val="2"/>
                <w:sz w:val="21"/>
                <w:szCs w:val="24"/>
                <w:highlight w:val="none"/>
                <w:lang w:val="en-US" w:eastAsia="zh-CN" w:bidi="ar-SA"/>
              </w:rPr>
              <w:t>自2022年1月1日至今</w:t>
            </w:r>
            <w:r>
              <w:rPr>
                <w:rFonts w:hint="eastAsia" w:ascii="宋体" w:hAnsi="宋体" w:cs="宋体"/>
                <w:color w:val="auto"/>
                <w:kern w:val="2"/>
                <w:sz w:val="21"/>
                <w:szCs w:val="24"/>
                <w:highlight w:val="none"/>
                <w:lang w:val="en-US" w:eastAsia="zh-CN" w:bidi="ar-SA"/>
              </w:rPr>
              <w:t>，供应商监理的工程获省级或以上奖项的每项得4分，市级奖励的</w:t>
            </w:r>
            <w:r>
              <w:rPr>
                <w:rFonts w:hint="eastAsia" w:ascii="宋体" w:hAnsi="宋体" w:cs="宋体"/>
                <w:color w:val="auto"/>
                <w:szCs w:val="21"/>
                <w:highlight w:val="none"/>
              </w:rPr>
              <w:t>每</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分。</w:t>
            </w:r>
          </w:p>
          <w:p w14:paraId="0FC0F1D1">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注：</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获奖时间以获奖证书所颁发时间为准。</w:t>
            </w:r>
          </w:p>
          <w:p w14:paraId="57E505AF">
            <w:pPr>
              <w:keepNext w:val="0"/>
              <w:keepLines w:val="0"/>
              <w:widowControl/>
              <w:numPr>
                <w:ilvl w:val="0"/>
                <w:numId w:val="0"/>
              </w:numPr>
              <w:suppressLineNumbers w:val="0"/>
              <w:ind w:firstLine="420" w:firstLineChars="200"/>
              <w:jc w:val="left"/>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同一个项目获得不同奖项的只计得分最高的奖项。</w:t>
            </w:r>
          </w:p>
          <w:p w14:paraId="7F296315">
            <w:pPr>
              <w:keepNext w:val="0"/>
              <w:keepLines w:val="0"/>
              <w:widowControl/>
              <w:numPr>
                <w:ilvl w:val="0"/>
                <w:numId w:val="0"/>
              </w:numPr>
              <w:suppressLineNumbers w:val="0"/>
              <w:ind w:firstLine="420" w:firstLineChars="200"/>
              <w:jc w:val="left"/>
              <w:rPr>
                <w:color w:val="auto"/>
              </w:rPr>
            </w:pP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 xml:space="preserve">省级奖指省级建设行政主管部门或行业协会颁发的工程奖项等；市级奖 </w:t>
            </w:r>
          </w:p>
          <w:p w14:paraId="313BE772">
            <w:pPr>
              <w:keepNext w:val="0"/>
              <w:keepLines w:val="0"/>
              <w:widowControl/>
              <w:suppressLineNumbers w:val="0"/>
              <w:jc w:val="left"/>
              <w:rPr>
                <w:rFonts w:hint="default"/>
                <w:lang w:val="en-US" w:eastAsia="zh-CN"/>
              </w:rPr>
            </w:pPr>
            <w:r>
              <w:rPr>
                <w:rFonts w:hint="eastAsia" w:ascii="宋体" w:hAnsi="宋体" w:eastAsia="宋体" w:cs="宋体"/>
                <w:color w:val="auto"/>
                <w:kern w:val="0"/>
                <w:sz w:val="21"/>
                <w:szCs w:val="21"/>
                <w:lang w:val="en-US" w:eastAsia="zh-CN" w:bidi="ar"/>
              </w:rPr>
              <w:t>是指市级建设行政主管部门或行业协会颁发的工程奖项。</w:t>
            </w:r>
          </w:p>
        </w:tc>
      </w:tr>
      <w:tr w14:paraId="79FDD138">
        <w:tblPrEx>
          <w:tblCellMar>
            <w:top w:w="0" w:type="dxa"/>
            <w:left w:w="108" w:type="dxa"/>
            <w:bottom w:w="0" w:type="dxa"/>
            <w:right w:w="108" w:type="dxa"/>
          </w:tblCellMar>
        </w:tblPrEx>
        <w:trPr>
          <w:trHeight w:val="90" w:hRule="atLeast"/>
        </w:trPr>
        <w:tc>
          <w:tcPr>
            <w:tcW w:w="1091" w:type="dxa"/>
            <w:vMerge w:val="restart"/>
            <w:tcBorders>
              <w:top w:val="single" w:color="auto" w:sz="4" w:space="0"/>
              <w:left w:val="single" w:color="auto" w:sz="4" w:space="0"/>
              <w:right w:val="single" w:color="auto" w:sz="4" w:space="0"/>
            </w:tcBorders>
            <w:shd w:val="clear" w:color="auto" w:fill="auto"/>
            <w:vAlign w:val="center"/>
          </w:tcPr>
          <w:p w14:paraId="4122F448">
            <w:pPr>
              <w:widowControl/>
              <w:jc w:val="center"/>
              <w:textAlignment w:val="center"/>
              <w:rPr>
                <w:rFonts w:hint="default" w:ascii="宋体" w:hAnsi="宋体"/>
                <w:color w:val="auto"/>
                <w:szCs w:val="21"/>
                <w:lang w:val="en-US" w:eastAsia="zh-CN"/>
              </w:rPr>
            </w:pPr>
            <w:r>
              <w:rPr>
                <w:rFonts w:hint="eastAsia" w:ascii="宋体" w:hAnsi="宋体" w:cs="宋体"/>
                <w:color w:val="auto"/>
                <w:sz w:val="21"/>
                <w:szCs w:val="21"/>
              </w:rPr>
              <w:t>拟派</w:t>
            </w:r>
            <w:r>
              <w:rPr>
                <w:rFonts w:hint="eastAsia" w:ascii="宋体" w:hAnsi="宋体"/>
                <w:color w:val="auto"/>
                <w:szCs w:val="21"/>
                <w:lang w:val="en-US" w:eastAsia="zh-CN"/>
              </w:rPr>
              <w:t>总监理工程师资格和业绩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75F7A2E">
            <w:pPr>
              <w:widowControl/>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5</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271A8F6">
            <w:pPr>
              <w:keepNext w:val="0"/>
              <w:keepLines w:val="0"/>
              <w:widowControl/>
              <w:suppressLineNumbers w:val="0"/>
              <w:jc w:val="left"/>
              <w:rPr>
                <w:rFonts w:hint="eastAsia" w:ascii="宋体" w:hAnsi="宋体" w:cs="宋体"/>
                <w:color w:val="auto"/>
                <w:szCs w:val="21"/>
                <w:highlight w:val="none"/>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具有</w:t>
            </w:r>
            <w:r>
              <w:rPr>
                <w:rFonts w:hint="eastAsia" w:ascii="宋体" w:hAnsi="宋体" w:eastAsia="宋体" w:cs="宋体"/>
                <w:color w:val="000000"/>
                <w:kern w:val="0"/>
                <w:sz w:val="21"/>
                <w:szCs w:val="21"/>
                <w:lang w:val="en-US" w:eastAsia="zh-CN" w:bidi="ar"/>
              </w:rPr>
              <w:t>建筑工程相关专业</w:t>
            </w:r>
            <w:r>
              <w:rPr>
                <w:rFonts w:hint="eastAsia" w:ascii="宋体" w:hAnsi="宋体" w:eastAsia="宋体" w:cs="宋体"/>
                <w:color w:val="auto"/>
                <w:highlight w:val="none"/>
                <w:lang w:val="en-US" w:eastAsia="zh-CN"/>
              </w:rPr>
              <w:t>高级</w:t>
            </w:r>
            <w:r>
              <w:rPr>
                <w:rFonts w:hint="eastAsia" w:ascii="宋体" w:hAnsi="宋体" w:cs="宋体"/>
                <w:color w:val="auto"/>
                <w:highlight w:val="none"/>
                <w:lang w:val="en-US" w:eastAsia="zh-CN"/>
              </w:rPr>
              <w:t>工程师</w:t>
            </w:r>
            <w:r>
              <w:rPr>
                <w:rFonts w:hint="eastAsia" w:ascii="宋体" w:hAnsi="宋体" w:eastAsia="宋体" w:cs="宋体"/>
                <w:color w:val="auto"/>
                <w:highlight w:val="none"/>
                <w:lang w:val="en-US" w:eastAsia="zh-CN"/>
              </w:rPr>
              <w:t>职称的，得</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具有</w:t>
            </w:r>
            <w:r>
              <w:rPr>
                <w:rFonts w:hint="eastAsia" w:ascii="宋体" w:hAnsi="宋体" w:eastAsia="宋体" w:cs="宋体"/>
                <w:color w:val="000000"/>
                <w:kern w:val="0"/>
                <w:sz w:val="21"/>
                <w:szCs w:val="21"/>
                <w:lang w:val="en-US" w:eastAsia="zh-CN" w:bidi="ar"/>
              </w:rPr>
              <w:t>建筑工程相关专业</w:t>
            </w:r>
            <w:r>
              <w:rPr>
                <w:rFonts w:hint="eastAsia" w:ascii="宋体" w:hAnsi="宋体" w:cs="宋体"/>
                <w:color w:val="auto"/>
                <w:highlight w:val="none"/>
                <w:lang w:val="en-US" w:eastAsia="zh-CN"/>
              </w:rPr>
              <w:t>工程师</w:t>
            </w:r>
            <w:r>
              <w:rPr>
                <w:rFonts w:hint="eastAsia" w:ascii="宋体" w:hAnsi="宋体" w:eastAsia="宋体" w:cs="宋体"/>
                <w:color w:val="auto"/>
                <w:highlight w:val="none"/>
                <w:lang w:val="en-US" w:eastAsia="zh-CN"/>
              </w:rPr>
              <w:t>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r>
              <w:rPr>
                <w:rFonts w:hint="eastAsia" w:ascii="宋体" w:hAnsi="宋体" w:cs="宋体"/>
                <w:color w:val="auto"/>
                <w:highlight w:val="none"/>
                <w:lang w:val="en-US" w:eastAsia="zh-CN"/>
              </w:rPr>
              <w:t>。</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510392D8">
            <w:pPr>
              <w:pStyle w:val="17"/>
              <w:spacing w:before="0"/>
              <w:rPr>
                <w:rFonts w:hint="eastAsia" w:ascii="宋体" w:hAnsi="宋体" w:eastAsia="宋体" w:cs="宋体"/>
                <w:sz w:val="21"/>
                <w:szCs w:val="21"/>
                <w:lang w:eastAsia="zh-CN"/>
              </w:rPr>
            </w:pPr>
            <w:r>
              <w:rPr>
                <w:rFonts w:hint="eastAsia" w:ascii="宋体" w:hAnsi="宋体" w:cs="宋体"/>
                <w:color w:val="auto"/>
                <w:sz w:val="21"/>
                <w:szCs w:val="21"/>
                <w:lang w:val="en-US" w:eastAsia="zh-CN"/>
              </w:rPr>
              <w:t>2.</w:t>
            </w:r>
            <w:r>
              <w:rPr>
                <w:rFonts w:hint="eastAsia" w:ascii="宋体" w:hAnsi="宋体" w:cs="宋体"/>
                <w:color w:val="auto"/>
                <w:sz w:val="21"/>
                <w:szCs w:val="21"/>
              </w:rPr>
              <w:t>拟派总监</w:t>
            </w:r>
            <w:r>
              <w:rPr>
                <w:rFonts w:hint="eastAsia" w:ascii="宋体" w:hAnsi="宋体" w:cs="宋体"/>
                <w:color w:val="auto"/>
                <w:sz w:val="21"/>
                <w:szCs w:val="21"/>
                <w:lang w:val="en-US" w:eastAsia="zh-CN"/>
              </w:rPr>
              <w:t>理工程师</w:t>
            </w:r>
            <w:r>
              <w:rPr>
                <w:rFonts w:hint="eastAsia" w:ascii="宋体" w:hAnsi="宋体" w:cs="宋体"/>
                <w:color w:val="auto"/>
                <w:sz w:val="21"/>
                <w:szCs w:val="21"/>
              </w:rPr>
              <w:t>的国家注册监理工程师执业资格证书满</w:t>
            </w:r>
            <w:r>
              <w:rPr>
                <w:rFonts w:hint="eastAsia" w:ascii="宋体" w:hAnsi="宋体" w:cs="宋体"/>
                <w:color w:val="auto"/>
                <w:sz w:val="21"/>
                <w:szCs w:val="21"/>
                <w:lang w:val="en-US" w:eastAsia="zh-CN"/>
              </w:rPr>
              <w:t>2</w:t>
            </w:r>
            <w:r>
              <w:rPr>
                <w:rFonts w:hint="eastAsia" w:ascii="宋体" w:hAnsi="宋体" w:cs="宋体"/>
                <w:color w:val="auto"/>
                <w:sz w:val="21"/>
                <w:szCs w:val="21"/>
              </w:rPr>
              <w:t>周年的加</w:t>
            </w:r>
            <w:r>
              <w:rPr>
                <w:rFonts w:hint="eastAsia" w:ascii="宋体" w:hAnsi="宋体" w:cs="宋体"/>
                <w:color w:val="auto"/>
                <w:sz w:val="21"/>
                <w:szCs w:val="21"/>
                <w:lang w:val="en-US" w:eastAsia="zh-CN"/>
              </w:rPr>
              <w:t>1</w:t>
            </w:r>
            <w:r>
              <w:rPr>
                <w:rFonts w:hint="eastAsia" w:ascii="宋体" w:hAnsi="宋体" w:cs="宋体"/>
                <w:color w:val="auto"/>
                <w:sz w:val="21"/>
                <w:szCs w:val="21"/>
              </w:rPr>
              <w:t>分，满</w:t>
            </w:r>
            <w:r>
              <w:rPr>
                <w:rFonts w:hint="eastAsia" w:ascii="宋体" w:hAnsi="宋体" w:cs="宋体"/>
                <w:color w:val="auto"/>
                <w:sz w:val="21"/>
                <w:szCs w:val="21"/>
                <w:lang w:val="en-US" w:eastAsia="zh-CN"/>
              </w:rPr>
              <w:t>5</w:t>
            </w:r>
            <w:r>
              <w:rPr>
                <w:rFonts w:hint="eastAsia" w:ascii="宋体" w:hAnsi="宋体" w:cs="宋体"/>
                <w:color w:val="auto"/>
                <w:sz w:val="21"/>
                <w:szCs w:val="21"/>
              </w:rPr>
              <w:t>周年的加</w:t>
            </w:r>
            <w:r>
              <w:rPr>
                <w:rFonts w:hint="eastAsia" w:ascii="宋体" w:hAnsi="宋体" w:cs="宋体"/>
                <w:color w:val="auto"/>
                <w:sz w:val="21"/>
                <w:szCs w:val="21"/>
                <w:lang w:val="en-US" w:eastAsia="zh-CN"/>
              </w:rPr>
              <w:t>2</w:t>
            </w:r>
            <w:r>
              <w:rPr>
                <w:rFonts w:hint="eastAsia" w:ascii="宋体" w:hAnsi="宋体" w:cs="宋体"/>
                <w:color w:val="auto"/>
                <w:sz w:val="21"/>
                <w:szCs w:val="21"/>
              </w:rPr>
              <w:t>分，满</w:t>
            </w:r>
            <w:r>
              <w:rPr>
                <w:rFonts w:hint="eastAsia" w:ascii="宋体" w:hAnsi="宋体" w:cs="宋体"/>
                <w:color w:val="auto"/>
                <w:sz w:val="21"/>
                <w:szCs w:val="21"/>
                <w:lang w:val="en-US" w:eastAsia="zh-CN"/>
              </w:rPr>
              <w:t>10</w:t>
            </w:r>
            <w:r>
              <w:rPr>
                <w:rFonts w:hint="eastAsia" w:ascii="宋体" w:hAnsi="宋体" w:cs="宋体"/>
                <w:color w:val="auto"/>
                <w:sz w:val="21"/>
                <w:szCs w:val="21"/>
              </w:rPr>
              <w:t>周年的加</w:t>
            </w:r>
            <w:r>
              <w:rPr>
                <w:rFonts w:hint="eastAsia" w:ascii="宋体" w:hAnsi="宋体" w:cs="宋体"/>
                <w:color w:val="auto"/>
                <w:sz w:val="21"/>
                <w:szCs w:val="21"/>
                <w:lang w:val="en-US" w:eastAsia="zh-CN"/>
              </w:rPr>
              <w:t>3</w:t>
            </w:r>
            <w:r>
              <w:rPr>
                <w:rFonts w:hint="eastAsia" w:ascii="宋体" w:hAnsi="宋体" w:cs="宋体"/>
                <w:color w:val="auto"/>
                <w:sz w:val="21"/>
                <w:szCs w:val="21"/>
              </w:rPr>
              <w:t>分</w:t>
            </w:r>
            <w:r>
              <w:rPr>
                <w:rFonts w:hint="eastAsia" w:ascii="宋体" w:hAnsi="宋体" w:cs="宋体"/>
                <w:color w:val="auto"/>
                <w:sz w:val="21"/>
                <w:szCs w:val="21"/>
                <w:lang w:eastAsia="zh-CN"/>
              </w:rPr>
              <w:t>。</w:t>
            </w:r>
            <w:r>
              <w:rPr>
                <w:rFonts w:hint="eastAsia" w:ascii="宋体" w:hAnsi="宋体" w:cs="宋体"/>
                <w:color w:val="auto"/>
                <w:sz w:val="21"/>
                <w:szCs w:val="21"/>
                <w:highlight w:val="none"/>
              </w:rPr>
              <w:t>本</w:t>
            </w:r>
            <w:r>
              <w:rPr>
                <w:rFonts w:hint="eastAsia" w:ascii="宋体" w:hAnsi="宋体" w:cs="宋体"/>
                <w:color w:val="auto"/>
                <w:sz w:val="21"/>
                <w:szCs w:val="21"/>
                <w:highlight w:val="none"/>
                <w:lang w:val="en-US" w:eastAsia="zh-CN"/>
              </w:rPr>
              <w:t>小</w:t>
            </w:r>
            <w:r>
              <w:rPr>
                <w:rFonts w:hint="eastAsia" w:ascii="宋体" w:hAnsi="宋体" w:cs="宋体"/>
                <w:color w:val="auto"/>
                <w:sz w:val="21"/>
                <w:szCs w:val="21"/>
                <w:highlight w:val="none"/>
              </w:rPr>
              <w:t>项最高得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p w14:paraId="1A2EFEFA">
            <w:pPr>
              <w:pStyle w:val="3"/>
              <w:rPr>
                <w:rFonts w:hint="default" w:ascii="宋体" w:hAnsi="宋体" w:eastAsia="宋体" w:cs="宋体"/>
                <w:color w:val="auto"/>
                <w:kern w:val="2"/>
                <w:sz w:val="21"/>
                <w:szCs w:val="24"/>
                <w:highlight w:val="none"/>
                <w:lang w:val="en-US" w:eastAsia="zh-CN" w:bidi="ar-SA"/>
              </w:rPr>
            </w:pPr>
            <w:r>
              <w:rPr>
                <w:rFonts w:hint="eastAsia" w:ascii="宋体" w:hAnsi="宋体" w:cs="宋体"/>
                <w:sz w:val="21"/>
                <w:szCs w:val="21"/>
              </w:rPr>
              <w:t>注：提供职称证书、注册证书复印件，时间以证书颁发时间为准。</w:t>
            </w:r>
          </w:p>
        </w:tc>
      </w:tr>
      <w:tr w14:paraId="2CBB2E96">
        <w:tblPrEx>
          <w:tblCellMar>
            <w:top w:w="0" w:type="dxa"/>
            <w:left w:w="108" w:type="dxa"/>
            <w:bottom w:w="0" w:type="dxa"/>
            <w:right w:w="108" w:type="dxa"/>
          </w:tblCellMar>
        </w:tblPrEx>
        <w:trPr>
          <w:trHeight w:val="3165" w:hRule="atLeast"/>
        </w:trPr>
        <w:tc>
          <w:tcPr>
            <w:tcW w:w="1091" w:type="dxa"/>
            <w:vMerge w:val="continue"/>
            <w:tcBorders>
              <w:left w:val="single" w:color="auto" w:sz="4" w:space="0"/>
              <w:bottom w:val="single" w:color="auto" w:sz="4" w:space="0"/>
              <w:right w:val="single" w:color="auto" w:sz="4" w:space="0"/>
            </w:tcBorders>
            <w:shd w:val="clear" w:color="auto" w:fill="auto"/>
            <w:vAlign w:val="center"/>
          </w:tcPr>
          <w:p w14:paraId="40F98C54">
            <w:pPr>
              <w:widowControl/>
              <w:jc w:val="center"/>
              <w:textAlignment w:val="center"/>
              <w:rPr>
                <w:rFonts w:hint="eastAsia" w:ascii="宋体" w:hAnsi="宋体"/>
                <w:color w:val="auto"/>
                <w:szCs w:val="21"/>
                <w:lang w:val="en-US" w:eastAsia="zh-CN"/>
              </w:rPr>
            </w:pP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130E0F56">
            <w:pPr>
              <w:widowControl/>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74D141A">
            <w:pPr>
              <w:widowControl/>
              <w:ind w:firstLine="420" w:firstLineChars="200"/>
              <w:jc w:val="left"/>
              <w:textAlignment w:val="center"/>
              <w:rPr>
                <w:rFonts w:ascii="宋体" w:hAnsi="宋体" w:cs="宋体"/>
                <w:color w:val="auto"/>
                <w:szCs w:val="21"/>
                <w:highlight w:val="none"/>
              </w:rPr>
            </w:pPr>
            <w:r>
              <w:rPr>
                <w:rFonts w:hint="eastAsia" w:ascii="宋体" w:hAnsi="宋体" w:eastAsia="宋体" w:cs="宋体"/>
                <w:color w:val="auto"/>
                <w:kern w:val="2"/>
                <w:sz w:val="21"/>
                <w:szCs w:val="24"/>
                <w:highlight w:val="none"/>
                <w:lang w:val="en-US" w:eastAsia="zh-CN" w:bidi="ar-SA"/>
              </w:rPr>
              <w:t>自2022年1月1日至今</w:t>
            </w:r>
            <w:r>
              <w:rPr>
                <w:rFonts w:hint="eastAsia" w:ascii="宋体" w:hAnsi="宋体" w:cs="宋体"/>
                <w:color w:val="auto"/>
                <w:kern w:val="2"/>
                <w:sz w:val="21"/>
                <w:szCs w:val="24"/>
                <w:highlight w:val="none"/>
                <w:lang w:val="en-US" w:eastAsia="zh-CN" w:bidi="ar-SA"/>
              </w:rPr>
              <w:t>担任总监</w:t>
            </w:r>
            <w:r>
              <w:rPr>
                <w:rFonts w:hint="eastAsia" w:ascii="宋体" w:hAnsi="宋体" w:eastAsia="宋体" w:cs="宋体"/>
                <w:color w:val="auto"/>
                <w:kern w:val="2"/>
                <w:sz w:val="21"/>
                <w:szCs w:val="24"/>
                <w:highlight w:val="none"/>
                <w:lang w:val="en-US" w:eastAsia="zh-CN" w:bidi="ar-SA"/>
              </w:rPr>
              <w:t>完成过质量合格的同类</w:t>
            </w:r>
            <w:r>
              <w:rPr>
                <w:rFonts w:hint="eastAsia" w:ascii="宋体" w:hAnsi="宋体" w:cs="宋体"/>
                <w:color w:val="auto"/>
                <w:kern w:val="2"/>
                <w:sz w:val="21"/>
                <w:szCs w:val="24"/>
                <w:highlight w:val="none"/>
                <w:lang w:val="en-US" w:eastAsia="zh-CN" w:bidi="ar-SA"/>
              </w:rPr>
              <w:t>工程，</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480335A2">
            <w:pPr>
              <w:widowControl/>
              <w:numPr>
                <w:ilvl w:val="0"/>
                <w:numId w:val="0"/>
              </w:numPr>
              <w:jc w:val="left"/>
              <w:textAlignment w:val="center"/>
              <w:rPr>
                <w:rFonts w:hint="eastAsia" w:ascii="宋体" w:hAnsi="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w:t>
            </w:r>
            <w:r>
              <w:rPr>
                <w:rFonts w:hint="eastAsia" w:ascii="宋体" w:hAnsi="宋体" w:cs="宋体"/>
                <w:color w:val="auto"/>
                <w:highlight w:val="none"/>
                <w:lang w:val="en-US" w:eastAsia="zh-CN"/>
              </w:rPr>
              <w:t>监理</w:t>
            </w:r>
            <w:r>
              <w:rPr>
                <w:rFonts w:hint="eastAsia" w:ascii="宋体" w:hAnsi="宋体" w:eastAsia="宋体" w:cs="宋体"/>
                <w:color w:val="auto"/>
                <w:highlight w:val="none"/>
                <w:lang w:val="en-US" w:eastAsia="zh-CN"/>
              </w:rPr>
              <w:t>合同关键信息页（至少包含</w:t>
            </w:r>
            <w:r>
              <w:rPr>
                <w:rFonts w:hint="eastAsia" w:ascii="宋体" w:hAnsi="宋体" w:cs="宋体"/>
                <w:color w:val="auto"/>
                <w:highlight w:val="none"/>
                <w:lang w:val="en-US" w:eastAsia="zh-CN"/>
              </w:rPr>
              <w:t>合同封面、</w:t>
            </w:r>
            <w:r>
              <w:rPr>
                <w:rFonts w:hint="eastAsia" w:ascii="宋体" w:hAnsi="宋体" w:eastAsia="宋体" w:cs="宋体"/>
                <w:color w:val="auto"/>
                <w:highlight w:val="none"/>
                <w:lang w:val="en-US" w:eastAsia="zh-CN"/>
              </w:rPr>
              <w:t>合同主要内容及合同各方盖章）</w:t>
            </w:r>
            <w:r>
              <w:rPr>
                <w:rFonts w:hint="eastAsia" w:ascii="宋体" w:hAnsi="宋体" w:cs="宋体"/>
                <w:color w:val="auto"/>
                <w:highlight w:val="none"/>
                <w:lang w:val="en-US" w:eastAsia="zh-CN"/>
              </w:rPr>
              <w:t>及竣工验收</w:t>
            </w:r>
            <w:r>
              <w:rPr>
                <w:rFonts w:hint="eastAsia" w:ascii="宋体" w:hAnsi="宋体" w:eastAsia="宋体" w:cs="宋体"/>
                <w:color w:val="auto"/>
                <w:highlight w:val="none"/>
                <w:lang w:val="en-US" w:eastAsia="zh-CN"/>
              </w:rPr>
              <w:t>证明材料，扫描件加盖供应商公章，业绩认定的时间以所提供证明材料中合同签署时间为准。</w:t>
            </w:r>
            <w:r>
              <w:rPr>
                <w:rFonts w:hint="eastAsia" w:ascii="宋体" w:hAnsi="宋体" w:cs="宋体"/>
                <w:color w:val="auto"/>
                <w:highlight w:val="none"/>
                <w:lang w:val="en-US" w:eastAsia="zh-CN"/>
              </w:rPr>
              <w:t>以上资料需体现项目负责人担任总监理工程师职责，如无体现，需提供其他证明材料（仅有供应商确认的材料不能作为佐证材料），否则不得分。</w:t>
            </w:r>
          </w:p>
          <w:p w14:paraId="570BFD69">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w:t>
            </w:r>
          </w:p>
          <w:p w14:paraId="54E4390B">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3）同一业绩只按最高分数计算一次分数， 不重复计算。</w:t>
            </w:r>
          </w:p>
          <w:p w14:paraId="7C9C3D74">
            <w:pPr>
              <w:widowControl/>
              <w:numPr>
                <w:ilvl w:val="0"/>
                <w:numId w:val="0"/>
              </w:numPr>
              <w:ind w:left="0" w:leftChars="0"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3E472FD6">
        <w:tblPrEx>
          <w:tblCellMar>
            <w:top w:w="0" w:type="dxa"/>
            <w:left w:w="108" w:type="dxa"/>
            <w:bottom w:w="0" w:type="dxa"/>
            <w:right w:w="108" w:type="dxa"/>
          </w:tblCellMar>
        </w:tblPrEx>
        <w:trPr>
          <w:trHeight w:val="992" w:hRule="atLeast"/>
        </w:trPr>
        <w:tc>
          <w:tcPr>
            <w:tcW w:w="1091" w:type="dxa"/>
            <w:vMerge w:val="restart"/>
            <w:tcBorders>
              <w:left w:val="single" w:color="auto" w:sz="4" w:space="0"/>
              <w:right w:val="single" w:color="auto" w:sz="4" w:space="0"/>
            </w:tcBorders>
            <w:shd w:val="clear" w:color="auto" w:fill="auto"/>
            <w:vAlign w:val="center"/>
          </w:tcPr>
          <w:p w14:paraId="437CDE88">
            <w:pPr>
              <w:widowControl/>
              <w:jc w:val="center"/>
              <w:textAlignment w:val="center"/>
              <w:rPr>
                <w:rFonts w:hint="eastAsia" w:ascii="宋体" w:hAnsi="宋体"/>
                <w:color w:val="auto"/>
                <w:szCs w:val="21"/>
                <w:lang w:val="en-US" w:eastAsia="zh-CN"/>
              </w:rPr>
            </w:pPr>
            <w:r>
              <w:rPr>
                <w:rFonts w:hint="eastAsia" w:ascii="宋体" w:hAnsi="宋体" w:cs="宋体"/>
                <w:color w:val="auto"/>
                <w:sz w:val="21"/>
                <w:szCs w:val="21"/>
              </w:rPr>
              <w:t>拟派</w:t>
            </w:r>
            <w:r>
              <w:rPr>
                <w:rFonts w:hint="eastAsia" w:ascii="宋体" w:hAnsi="宋体"/>
                <w:color w:val="auto"/>
                <w:szCs w:val="21"/>
                <w:lang w:val="en-US" w:eastAsia="zh-CN"/>
              </w:rPr>
              <w:t>总监代表资格和业绩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1A7DC80A">
            <w:pPr>
              <w:widowControl/>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2</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63852D8">
            <w:pPr>
              <w:widowControl/>
              <w:numPr>
                <w:ilvl w:val="0"/>
                <w:numId w:val="0"/>
              </w:numPr>
              <w:ind w:left="0" w:leftChars="0" w:firstLine="420" w:firstLineChars="200"/>
              <w:jc w:val="left"/>
              <w:textAlignment w:val="center"/>
              <w:rPr>
                <w:rFonts w:hint="eastAsia" w:ascii="宋体" w:hAnsi="宋体" w:cs="宋体"/>
              </w:rPr>
            </w:pPr>
            <w:r>
              <w:rPr>
                <w:rFonts w:hint="eastAsia" w:ascii="宋体" w:hAnsi="宋体" w:cs="宋体"/>
              </w:rPr>
              <w:t>具有</w:t>
            </w:r>
            <w:r>
              <w:rPr>
                <w:rFonts w:hint="eastAsia" w:ascii="宋体" w:hAnsi="宋体" w:eastAsia="宋体" w:cs="宋体"/>
                <w:color w:val="000000"/>
                <w:kern w:val="0"/>
                <w:sz w:val="21"/>
                <w:szCs w:val="21"/>
                <w:lang w:val="en-US" w:eastAsia="zh-CN" w:bidi="ar"/>
              </w:rPr>
              <w:t>建筑工程相关专业</w:t>
            </w:r>
            <w:r>
              <w:rPr>
                <w:rFonts w:hint="eastAsia" w:ascii="宋体" w:hAnsi="宋体" w:eastAsia="宋体" w:cs="宋体"/>
                <w:color w:val="auto"/>
                <w:highlight w:val="none"/>
                <w:lang w:val="en-US" w:eastAsia="zh-CN"/>
              </w:rPr>
              <w:t>高级</w:t>
            </w:r>
            <w:r>
              <w:rPr>
                <w:rFonts w:hint="eastAsia" w:ascii="宋体" w:hAnsi="宋体" w:cs="宋体"/>
                <w:color w:val="auto"/>
                <w:highlight w:val="none"/>
                <w:lang w:val="en-US" w:eastAsia="zh-CN"/>
              </w:rPr>
              <w:t>工程师</w:t>
            </w:r>
            <w:r>
              <w:rPr>
                <w:rFonts w:hint="eastAsia" w:ascii="宋体" w:hAnsi="宋体" w:eastAsia="宋体" w:cs="宋体"/>
                <w:color w:val="auto"/>
                <w:highlight w:val="none"/>
                <w:lang w:val="en-US" w:eastAsia="zh-CN"/>
              </w:rPr>
              <w:t>职称的，得</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具有</w:t>
            </w:r>
            <w:r>
              <w:rPr>
                <w:rFonts w:hint="eastAsia" w:ascii="宋体" w:hAnsi="宋体" w:eastAsia="宋体" w:cs="宋体"/>
                <w:color w:val="000000"/>
                <w:kern w:val="0"/>
                <w:sz w:val="21"/>
                <w:szCs w:val="21"/>
                <w:lang w:val="en-US" w:eastAsia="zh-CN" w:bidi="ar"/>
              </w:rPr>
              <w:t>建筑工程相关专业</w:t>
            </w:r>
            <w:r>
              <w:rPr>
                <w:rFonts w:hint="eastAsia" w:ascii="宋体" w:hAnsi="宋体" w:cs="宋体"/>
                <w:color w:val="auto"/>
                <w:highlight w:val="none"/>
                <w:lang w:val="en-US" w:eastAsia="zh-CN"/>
              </w:rPr>
              <w:t>工程师</w:t>
            </w:r>
            <w:r>
              <w:rPr>
                <w:rFonts w:hint="eastAsia" w:ascii="宋体" w:hAnsi="宋体" w:eastAsia="宋体" w:cs="宋体"/>
                <w:color w:val="auto"/>
                <w:highlight w:val="none"/>
                <w:lang w:val="en-US" w:eastAsia="zh-CN"/>
              </w:rPr>
              <w:t>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r>
              <w:rPr>
                <w:rFonts w:hint="eastAsia" w:ascii="宋体" w:hAnsi="宋体" w:cs="宋体"/>
                <w:color w:val="auto"/>
                <w:highlight w:val="none"/>
                <w:lang w:val="en-US" w:eastAsia="zh-CN"/>
              </w:rPr>
              <w:t>。</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48E150D9">
            <w:pPr>
              <w:pStyle w:val="5"/>
              <w:rPr>
                <w:rFonts w:hint="eastAsia"/>
                <w:lang w:val="en-US" w:eastAsia="zh-CN"/>
              </w:rPr>
            </w:pPr>
            <w:r>
              <w:rPr>
                <w:rFonts w:hint="eastAsia" w:ascii="宋体" w:hAnsi="宋体" w:eastAsia="宋体" w:cs="宋体"/>
                <w:kern w:val="2"/>
                <w:sz w:val="21"/>
                <w:szCs w:val="24"/>
                <w:lang w:val="en-US" w:eastAsia="zh-CN" w:bidi="ar-SA"/>
              </w:rPr>
              <w:t>注：提供职称证书扫描件加盖供应商公章。</w:t>
            </w:r>
          </w:p>
        </w:tc>
      </w:tr>
      <w:tr w14:paraId="66E0D1AA">
        <w:tblPrEx>
          <w:tblCellMar>
            <w:top w:w="0" w:type="dxa"/>
            <w:left w:w="108" w:type="dxa"/>
            <w:bottom w:w="0" w:type="dxa"/>
            <w:right w:w="108" w:type="dxa"/>
          </w:tblCellMar>
        </w:tblPrEx>
        <w:trPr>
          <w:trHeight w:val="475" w:hRule="atLeast"/>
        </w:trPr>
        <w:tc>
          <w:tcPr>
            <w:tcW w:w="1091" w:type="dxa"/>
            <w:vMerge w:val="continue"/>
            <w:tcBorders>
              <w:left w:val="single" w:color="auto" w:sz="4" w:space="0"/>
              <w:bottom w:val="single" w:color="auto" w:sz="4" w:space="0"/>
              <w:right w:val="single" w:color="auto" w:sz="4" w:space="0"/>
            </w:tcBorders>
            <w:shd w:val="clear" w:color="auto" w:fill="auto"/>
            <w:vAlign w:val="center"/>
          </w:tcPr>
          <w:p w14:paraId="3D6F4D39">
            <w:pPr>
              <w:widowControl/>
              <w:jc w:val="center"/>
              <w:textAlignment w:val="center"/>
              <w:rPr>
                <w:rFonts w:hint="eastAsia" w:ascii="宋体" w:hAnsi="宋体"/>
                <w:color w:val="auto"/>
                <w:szCs w:val="21"/>
                <w:lang w:val="en-US" w:eastAsia="zh-CN"/>
              </w:rPr>
            </w:pP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1DE5D6B6">
            <w:pPr>
              <w:widowControl/>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7AF187E">
            <w:pPr>
              <w:widowControl/>
              <w:ind w:firstLine="420" w:firstLineChars="200"/>
              <w:jc w:val="left"/>
              <w:textAlignment w:val="center"/>
              <w:rPr>
                <w:rFonts w:ascii="宋体" w:hAnsi="宋体" w:cs="宋体"/>
                <w:color w:val="auto"/>
                <w:szCs w:val="21"/>
                <w:highlight w:val="none"/>
              </w:rPr>
            </w:pPr>
            <w:r>
              <w:rPr>
                <w:rFonts w:hint="eastAsia" w:ascii="宋体" w:hAnsi="宋体" w:eastAsia="宋体" w:cs="宋体"/>
                <w:color w:val="auto"/>
                <w:kern w:val="2"/>
                <w:sz w:val="21"/>
                <w:szCs w:val="24"/>
                <w:highlight w:val="none"/>
                <w:lang w:val="en-US" w:eastAsia="zh-CN" w:bidi="ar-SA"/>
              </w:rPr>
              <w:t>自2022年1月1日至今</w:t>
            </w:r>
            <w:r>
              <w:rPr>
                <w:rFonts w:hint="eastAsia" w:ascii="宋体" w:hAnsi="宋体" w:cs="宋体"/>
                <w:color w:val="auto"/>
                <w:kern w:val="2"/>
                <w:sz w:val="21"/>
                <w:szCs w:val="24"/>
                <w:highlight w:val="none"/>
                <w:lang w:val="en-US" w:eastAsia="zh-CN" w:bidi="ar-SA"/>
              </w:rPr>
              <w:t>担任总监或总监代表</w:t>
            </w:r>
            <w:r>
              <w:rPr>
                <w:rFonts w:hint="eastAsia" w:ascii="宋体" w:hAnsi="宋体" w:eastAsia="宋体" w:cs="宋体"/>
                <w:color w:val="auto"/>
                <w:kern w:val="2"/>
                <w:sz w:val="21"/>
                <w:szCs w:val="24"/>
                <w:highlight w:val="none"/>
                <w:lang w:val="en-US" w:eastAsia="zh-CN" w:bidi="ar-SA"/>
              </w:rPr>
              <w:t>完成过质量合格的同类</w:t>
            </w:r>
            <w:r>
              <w:rPr>
                <w:rFonts w:hint="eastAsia" w:ascii="宋体" w:hAnsi="宋体" w:cs="宋体"/>
                <w:color w:val="auto"/>
                <w:kern w:val="2"/>
                <w:sz w:val="21"/>
                <w:szCs w:val="24"/>
                <w:highlight w:val="none"/>
                <w:lang w:val="en-US" w:eastAsia="zh-CN" w:bidi="ar-SA"/>
              </w:rPr>
              <w:t>工程，</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10E06AD3">
            <w:pPr>
              <w:widowControl/>
              <w:jc w:val="left"/>
              <w:textAlignment w:val="center"/>
              <w:rPr>
                <w:rFonts w:hint="eastAsia" w:ascii="宋体" w:hAnsi="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w:t>
            </w:r>
            <w:r>
              <w:rPr>
                <w:rFonts w:hint="eastAsia" w:ascii="宋体" w:hAnsi="宋体" w:cs="宋体"/>
                <w:color w:val="auto"/>
                <w:highlight w:val="none"/>
                <w:lang w:val="en-US" w:eastAsia="zh-CN"/>
              </w:rPr>
              <w:t>监理</w:t>
            </w:r>
            <w:r>
              <w:rPr>
                <w:rFonts w:hint="eastAsia" w:ascii="宋体" w:hAnsi="宋体" w:eastAsia="宋体" w:cs="宋体"/>
                <w:color w:val="auto"/>
                <w:highlight w:val="none"/>
                <w:lang w:val="en-US" w:eastAsia="zh-CN"/>
              </w:rPr>
              <w:t>合同关键信息页（至少包含</w:t>
            </w:r>
            <w:r>
              <w:rPr>
                <w:rFonts w:hint="eastAsia" w:ascii="宋体" w:hAnsi="宋体" w:cs="宋体"/>
                <w:color w:val="auto"/>
                <w:highlight w:val="none"/>
                <w:lang w:val="en-US" w:eastAsia="zh-CN"/>
              </w:rPr>
              <w:t>合同封面、</w:t>
            </w:r>
            <w:r>
              <w:rPr>
                <w:rFonts w:hint="eastAsia" w:ascii="宋体" w:hAnsi="宋体" w:eastAsia="宋体" w:cs="宋体"/>
                <w:color w:val="auto"/>
                <w:highlight w:val="none"/>
                <w:lang w:val="en-US" w:eastAsia="zh-CN"/>
              </w:rPr>
              <w:t>合同主要内容及合同各方盖章）</w:t>
            </w:r>
            <w:r>
              <w:rPr>
                <w:rFonts w:hint="eastAsia" w:ascii="宋体" w:hAnsi="宋体" w:cs="宋体"/>
                <w:color w:val="auto"/>
                <w:highlight w:val="none"/>
                <w:lang w:val="en-US" w:eastAsia="zh-CN"/>
              </w:rPr>
              <w:t>及竣工验收</w:t>
            </w:r>
            <w:r>
              <w:rPr>
                <w:rFonts w:hint="eastAsia" w:ascii="宋体" w:hAnsi="宋体" w:eastAsia="宋体" w:cs="宋体"/>
                <w:color w:val="auto"/>
                <w:highlight w:val="none"/>
                <w:lang w:val="en-US" w:eastAsia="zh-CN"/>
              </w:rPr>
              <w:t>证明材料，时间以所提供证明材料中合同签署时间为准。扫描件加盖供应商公章。</w:t>
            </w:r>
            <w:r>
              <w:rPr>
                <w:rFonts w:hint="eastAsia" w:ascii="宋体" w:hAnsi="宋体" w:cs="宋体"/>
                <w:color w:val="auto"/>
                <w:highlight w:val="none"/>
                <w:lang w:val="en-US" w:eastAsia="zh-CN"/>
              </w:rPr>
              <w:t>以上资料需体现担任总监或总监代表职责，如无体现，需提供其他证明材料（仅有供应商确认的材料不能作为佐证材料），否则不得分。</w:t>
            </w:r>
          </w:p>
          <w:p w14:paraId="16665DA2">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提供响应截止日前三个月内任一月份由供应商为</w:t>
            </w:r>
            <w:r>
              <w:rPr>
                <w:rFonts w:hint="eastAsia" w:ascii="宋体" w:hAnsi="宋体" w:cs="宋体"/>
                <w:color w:val="auto"/>
                <w:highlight w:val="none"/>
                <w:lang w:val="en-US" w:eastAsia="zh-CN"/>
              </w:rPr>
              <w:t>总监代表</w:t>
            </w:r>
            <w:r>
              <w:rPr>
                <w:rFonts w:hint="eastAsia" w:ascii="宋体" w:hAnsi="宋体" w:eastAsia="宋体" w:cs="宋体"/>
                <w:color w:val="auto"/>
                <w:highlight w:val="none"/>
                <w:lang w:val="en-US" w:eastAsia="zh-CN"/>
              </w:rPr>
              <w:t>缴纳的社保证明复印件加盖供应商公章。</w:t>
            </w:r>
          </w:p>
          <w:p w14:paraId="7E5C167C">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w:t>
            </w:r>
          </w:p>
          <w:p w14:paraId="70B91558">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4）同一业绩只按最高分数计算一次分数， 不重复计算。</w:t>
            </w:r>
          </w:p>
          <w:p w14:paraId="37623AE5">
            <w:pPr>
              <w:widowControl/>
              <w:numPr>
                <w:ilvl w:val="0"/>
                <w:numId w:val="0"/>
              </w:numPr>
              <w:ind w:left="0" w:leftChars="0"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2D7D1A35">
        <w:tblPrEx>
          <w:tblCellMar>
            <w:top w:w="0" w:type="dxa"/>
            <w:left w:w="108" w:type="dxa"/>
            <w:bottom w:w="0" w:type="dxa"/>
            <w:right w:w="108" w:type="dxa"/>
          </w:tblCellMar>
        </w:tblPrEx>
        <w:trPr>
          <w:trHeight w:val="2103"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3458E19">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拟投入其他人员情况</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13C314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14</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9CBBC3E">
            <w:pPr>
              <w:pStyle w:val="17"/>
              <w:spacing w:before="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拟投入</w:t>
            </w:r>
            <w:r>
              <w:rPr>
                <w:rFonts w:hint="default" w:ascii="宋体" w:hAnsi="宋体" w:eastAsia="宋体" w:cs="宋体"/>
                <w:color w:val="auto"/>
                <w:kern w:val="2"/>
                <w:sz w:val="21"/>
                <w:szCs w:val="24"/>
                <w:highlight w:val="none"/>
                <w:lang w:val="en-US" w:eastAsia="zh-CN" w:bidi="ar-SA"/>
              </w:rPr>
              <w:t>其他</w:t>
            </w:r>
            <w:r>
              <w:rPr>
                <w:rFonts w:hint="eastAsia" w:ascii="宋体" w:hAnsi="宋体" w:eastAsia="宋体" w:cs="宋体"/>
                <w:color w:val="auto"/>
                <w:kern w:val="2"/>
                <w:sz w:val="21"/>
                <w:szCs w:val="24"/>
                <w:highlight w:val="none"/>
                <w:lang w:val="en-US" w:eastAsia="zh-CN" w:bidi="ar-SA"/>
              </w:rPr>
              <w:t>专业（</w:t>
            </w:r>
            <w:r>
              <w:rPr>
                <w:rFonts w:hint="eastAsia" w:ascii="宋体" w:hAnsi="宋体" w:cs="宋体"/>
                <w:color w:val="auto"/>
                <w:kern w:val="2"/>
                <w:sz w:val="21"/>
                <w:szCs w:val="24"/>
                <w:highlight w:val="none"/>
                <w:lang w:val="en-US" w:eastAsia="zh-CN" w:bidi="ar-SA"/>
              </w:rPr>
              <w:t>房</w:t>
            </w:r>
            <w:r>
              <w:rPr>
                <w:rFonts w:hint="eastAsia" w:ascii="宋体" w:hAnsi="宋体" w:eastAsia="宋体" w:cs="宋体"/>
                <w:color w:val="auto"/>
                <w:kern w:val="2"/>
                <w:sz w:val="21"/>
                <w:szCs w:val="24"/>
                <w:highlight w:val="none"/>
                <w:lang w:val="en-US" w:eastAsia="zh-CN" w:bidi="ar-SA"/>
              </w:rPr>
              <w:t>建、电气、给排水、</w:t>
            </w:r>
            <w:r>
              <w:rPr>
                <w:rFonts w:hint="eastAsia" w:ascii="宋体" w:hAnsi="宋体" w:cs="宋体"/>
                <w:color w:val="auto"/>
                <w:kern w:val="2"/>
                <w:sz w:val="21"/>
                <w:szCs w:val="24"/>
                <w:highlight w:val="none"/>
                <w:lang w:val="en-US" w:eastAsia="zh-CN" w:bidi="ar-SA"/>
              </w:rPr>
              <w:t>机电安装、</w:t>
            </w:r>
            <w:r>
              <w:rPr>
                <w:rFonts w:hint="eastAsia" w:ascii="宋体" w:hAnsi="宋体" w:eastAsia="宋体" w:cs="宋体"/>
                <w:color w:val="auto"/>
                <w:kern w:val="2"/>
                <w:sz w:val="21"/>
                <w:szCs w:val="24"/>
                <w:highlight w:val="none"/>
                <w:lang w:val="en-US" w:eastAsia="zh-CN" w:bidi="ar-SA"/>
              </w:rPr>
              <w:t>工程测量）人员具备</w:t>
            </w:r>
            <w:r>
              <w:rPr>
                <w:rFonts w:hint="eastAsia" w:ascii="宋体" w:hAnsi="宋体" w:cs="宋体"/>
                <w:color w:val="auto"/>
                <w:kern w:val="2"/>
                <w:sz w:val="21"/>
                <w:szCs w:val="24"/>
                <w:highlight w:val="none"/>
                <w:lang w:val="en-US" w:eastAsia="zh-CN" w:bidi="ar-SA"/>
              </w:rPr>
              <w:t>注册监理</w:t>
            </w:r>
            <w:r>
              <w:rPr>
                <w:rFonts w:hint="eastAsia" w:ascii="宋体" w:hAnsi="宋体" w:eastAsia="宋体" w:cs="宋体"/>
                <w:color w:val="auto"/>
                <w:kern w:val="2"/>
                <w:sz w:val="21"/>
                <w:szCs w:val="24"/>
                <w:highlight w:val="none"/>
                <w:lang w:val="en-US" w:eastAsia="zh-CN" w:bidi="ar-SA"/>
              </w:rPr>
              <w:t>工程师</w:t>
            </w:r>
            <w:r>
              <w:rPr>
                <w:rFonts w:hint="eastAsia" w:ascii="宋体" w:hAnsi="宋体" w:cs="宋体"/>
                <w:color w:val="auto"/>
                <w:kern w:val="2"/>
                <w:sz w:val="21"/>
                <w:szCs w:val="24"/>
                <w:highlight w:val="none"/>
                <w:lang w:val="en-US" w:eastAsia="zh-CN" w:bidi="ar-SA"/>
              </w:rPr>
              <w:t>或专监证、</w:t>
            </w:r>
            <w:r>
              <w:rPr>
                <w:rFonts w:hint="eastAsia" w:ascii="宋体" w:hAnsi="宋体" w:eastAsia="宋体" w:cs="宋体"/>
                <w:color w:val="auto"/>
                <w:kern w:val="2"/>
                <w:sz w:val="21"/>
                <w:szCs w:val="24"/>
                <w:highlight w:val="none"/>
                <w:lang w:val="en-US" w:eastAsia="zh-CN" w:bidi="ar-SA"/>
              </w:rPr>
              <w:t>造价</w:t>
            </w:r>
            <w:r>
              <w:rPr>
                <w:rFonts w:hint="eastAsia" w:ascii="宋体" w:hAnsi="宋体" w:cs="宋体"/>
                <w:color w:val="auto"/>
                <w:kern w:val="2"/>
                <w:sz w:val="21"/>
                <w:szCs w:val="24"/>
                <w:highlight w:val="none"/>
                <w:lang w:val="en-US" w:eastAsia="zh-CN" w:bidi="ar-SA"/>
              </w:rPr>
              <w:t>人员具备二级造价师执业资格或以上、安全管理员具有安全生产考核合格证c类或b类的</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提供一个</w:t>
            </w:r>
            <w:r>
              <w:rPr>
                <w:rFonts w:hint="eastAsia" w:ascii="宋体" w:hAnsi="宋体" w:eastAsia="宋体" w:cs="宋体"/>
                <w:color w:val="auto"/>
                <w:kern w:val="2"/>
                <w:sz w:val="21"/>
                <w:szCs w:val="24"/>
                <w:highlight w:val="none"/>
                <w:lang w:val="en-US" w:eastAsia="zh-CN" w:bidi="ar-SA"/>
              </w:rPr>
              <w:t>得</w:t>
            </w:r>
            <w:r>
              <w:rPr>
                <w:rFonts w:hint="eastAsia" w:ascii="宋体" w:hAnsi="宋体" w:cs="宋体"/>
                <w:color w:val="auto"/>
                <w:kern w:val="2"/>
                <w:sz w:val="21"/>
                <w:szCs w:val="24"/>
                <w:highlight w:val="none"/>
                <w:lang w:val="en-US" w:eastAsia="zh-CN" w:bidi="ar-SA"/>
              </w:rPr>
              <w:t>2</w:t>
            </w:r>
            <w:r>
              <w:rPr>
                <w:rFonts w:hint="eastAsia" w:ascii="宋体" w:hAnsi="宋体" w:eastAsia="宋体" w:cs="宋体"/>
                <w:color w:val="auto"/>
                <w:kern w:val="2"/>
                <w:sz w:val="21"/>
                <w:szCs w:val="24"/>
                <w:highlight w:val="none"/>
                <w:lang w:val="en-US" w:eastAsia="zh-CN" w:bidi="ar-SA"/>
              </w:rPr>
              <w:t>分，</w:t>
            </w:r>
            <w:r>
              <w:rPr>
                <w:rFonts w:hint="eastAsia" w:ascii="宋体" w:hAnsi="宋体" w:cs="宋体"/>
                <w:color w:val="auto"/>
                <w:kern w:val="2"/>
                <w:sz w:val="21"/>
                <w:szCs w:val="24"/>
                <w:highlight w:val="none"/>
                <w:lang w:val="en-US" w:eastAsia="zh-CN" w:bidi="ar-SA"/>
              </w:rPr>
              <w:t>本项最高</w:t>
            </w:r>
            <w:r>
              <w:rPr>
                <w:rFonts w:hint="eastAsia" w:ascii="宋体" w:hAnsi="宋体" w:eastAsia="宋体" w:cs="宋体"/>
                <w:color w:val="auto"/>
                <w:kern w:val="2"/>
                <w:sz w:val="21"/>
                <w:szCs w:val="24"/>
                <w:highlight w:val="none"/>
                <w:lang w:val="en-US" w:eastAsia="zh-CN" w:bidi="ar-SA"/>
              </w:rPr>
              <w:t>得</w:t>
            </w:r>
            <w:r>
              <w:rPr>
                <w:rFonts w:hint="eastAsia" w:ascii="宋体" w:hAnsi="宋体" w:cs="宋体"/>
                <w:color w:val="auto"/>
                <w:kern w:val="2"/>
                <w:sz w:val="21"/>
                <w:szCs w:val="24"/>
                <w:highlight w:val="none"/>
                <w:lang w:val="en-US" w:eastAsia="zh-CN" w:bidi="ar-SA"/>
              </w:rPr>
              <w:t>14</w:t>
            </w:r>
            <w:r>
              <w:rPr>
                <w:rFonts w:hint="eastAsia" w:ascii="宋体" w:hAnsi="宋体" w:eastAsia="宋体" w:cs="宋体"/>
                <w:color w:val="auto"/>
                <w:kern w:val="2"/>
                <w:sz w:val="21"/>
                <w:szCs w:val="24"/>
                <w:highlight w:val="none"/>
                <w:lang w:val="en-US" w:eastAsia="zh-CN" w:bidi="ar-SA"/>
              </w:rPr>
              <w:t>分。</w:t>
            </w:r>
          </w:p>
          <w:p w14:paraId="2B79CF79">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提供证书扫描件加盖供应商公章。</w:t>
            </w:r>
          </w:p>
          <w:p w14:paraId="7F351AFA">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提供响应截止日前三个月内任一月份由供应商为各专业负责人缴纳的社保证明复印件加盖供应商公章。</w:t>
            </w:r>
          </w:p>
          <w:p w14:paraId="10F297F1">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kern w:val="2"/>
                <w:sz w:val="21"/>
                <w:szCs w:val="24"/>
                <w:highlight w:val="none"/>
                <w:lang w:val="en-US" w:eastAsia="zh-CN" w:bidi="ar-SA"/>
              </w:rPr>
              <w:t>以上人员不得兼任</w:t>
            </w:r>
            <w:r>
              <w:rPr>
                <w:rFonts w:hint="eastAsia" w:ascii="宋体" w:hAnsi="宋体" w:cs="宋体"/>
                <w:color w:val="auto"/>
                <w:kern w:val="2"/>
                <w:sz w:val="21"/>
                <w:szCs w:val="24"/>
                <w:highlight w:val="none"/>
                <w:lang w:val="en-US" w:eastAsia="zh-CN" w:bidi="ar-SA"/>
              </w:rPr>
              <w:t>，同一人只计算一个</w:t>
            </w:r>
            <w:r>
              <w:rPr>
                <w:rFonts w:hint="eastAsia" w:ascii="宋体" w:hAnsi="宋体" w:eastAsia="宋体" w:cs="宋体"/>
                <w:color w:val="auto"/>
                <w:kern w:val="2"/>
                <w:sz w:val="21"/>
                <w:szCs w:val="24"/>
                <w:highlight w:val="none"/>
                <w:lang w:val="en-US" w:eastAsia="zh-CN" w:bidi="ar-SA"/>
              </w:rPr>
              <w:t>。</w:t>
            </w:r>
          </w:p>
          <w:p w14:paraId="30160D6D">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p>
        </w:tc>
      </w:tr>
    </w:tbl>
    <w:p w14:paraId="787D513D">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30</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9"/>
        <w:tblW w:w="9598" w:type="dxa"/>
        <w:jc w:val="center"/>
        <w:tblLayout w:type="autofit"/>
        <w:tblCellMar>
          <w:top w:w="0" w:type="dxa"/>
          <w:left w:w="108" w:type="dxa"/>
          <w:bottom w:w="0" w:type="dxa"/>
          <w:right w:w="108" w:type="dxa"/>
        </w:tblCellMar>
      </w:tblPr>
      <w:tblGrid>
        <w:gridCol w:w="1368"/>
        <w:gridCol w:w="795"/>
        <w:gridCol w:w="7435"/>
      </w:tblGrid>
      <w:tr w14:paraId="78A7955E">
        <w:tblPrEx>
          <w:tblCellMar>
            <w:top w:w="0" w:type="dxa"/>
            <w:left w:w="108" w:type="dxa"/>
            <w:bottom w:w="0" w:type="dxa"/>
            <w:right w:w="108" w:type="dxa"/>
          </w:tblCellMar>
        </w:tblPrEx>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2058"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eastAsia" w:ascii="宋体" w:hAnsi="宋体" w:eastAsia="宋体" w:cs="宋体"/>
                <w:color w:val="auto"/>
                <w:kern w:val="0"/>
                <w:sz w:val="21"/>
                <w:szCs w:val="21"/>
                <w:lang w:val="en-US" w:eastAsia="zh-CN" w:bidi="ar"/>
              </w:rPr>
            </w:pPr>
            <w:r>
              <w:rPr>
                <w:rFonts w:hint="eastAsia"/>
                <w:color w:val="auto"/>
                <w:lang w:val="en-US" w:eastAsia="zh-CN"/>
              </w:rPr>
              <w:t>实</w:t>
            </w:r>
            <w:r>
              <w:rPr>
                <w:rFonts w:hint="eastAsia"/>
                <w:color w:val="auto"/>
                <w:lang w:eastAsia="zh-CN"/>
              </w:rPr>
              <w:t>施</w:t>
            </w:r>
            <w:r>
              <w:rPr>
                <w:color w:val="auto"/>
              </w:rPr>
              <w:t>方案</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color w:val="auto"/>
                <w:highlight w:val="none"/>
                <w:lang w:val="en-US" w:eastAsia="zh-CN"/>
              </w:rPr>
            </w:pPr>
            <w:r>
              <w:rPr>
                <w:rFonts w:hint="eastAsia" w:ascii="Calibri" w:hAnsi="Calibri"/>
                <w:color w:val="auto"/>
                <w:highlight w:val="none"/>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top"/>
          </w:tcPr>
          <w:p w14:paraId="17C65E85">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根据供应商对本项目所提供的项目实施方案（包含监理工程程序、合同管理方案、安全文明施工管理方案、组织协调方案以及监理重点难点监控措施等内容）进行综合评审： </w:t>
            </w:r>
          </w:p>
          <w:p w14:paraId="7B3EF94C">
            <w:pPr>
              <w:keepNext w:val="0"/>
              <w:keepLines w:val="0"/>
              <w:widowControl/>
              <w:suppressLineNumbers w:val="0"/>
              <w:jc w:val="left"/>
              <w:rPr>
                <w:rFonts w:hint="default"/>
                <w:color w:val="auto"/>
                <w:lang w:val="en-US"/>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auto"/>
                <w:kern w:val="0"/>
                <w:sz w:val="21"/>
                <w:szCs w:val="21"/>
                <w:lang w:val="en-US" w:eastAsia="zh-CN" w:bidi="ar"/>
              </w:rPr>
              <w:t>实施方案</w:t>
            </w:r>
            <w:r>
              <w:rPr>
                <w:rFonts w:hint="eastAsia" w:ascii="宋体" w:hAnsi="宋体" w:cs="宋体"/>
                <w:color w:val="auto"/>
                <w:kern w:val="0"/>
                <w:sz w:val="21"/>
                <w:szCs w:val="21"/>
                <w:lang w:val="en-US" w:eastAsia="zh-CN" w:bidi="ar"/>
              </w:rPr>
              <w:t>内容全面、具体</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针对性强、科学</w:t>
            </w:r>
            <w:r>
              <w:rPr>
                <w:rFonts w:hint="eastAsia" w:ascii="宋体" w:hAnsi="宋体" w:eastAsia="宋体" w:cs="宋体"/>
                <w:color w:val="auto"/>
                <w:kern w:val="0"/>
                <w:sz w:val="21"/>
                <w:szCs w:val="21"/>
                <w:lang w:val="en-US" w:eastAsia="zh-CN" w:bidi="ar"/>
              </w:rPr>
              <w:t>合理</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性强</w:t>
            </w:r>
            <w:r>
              <w:rPr>
                <w:rFonts w:hint="eastAsia" w:ascii="宋体" w:hAnsi="宋体" w:eastAsia="宋体" w:cs="宋体"/>
                <w:color w:val="auto"/>
                <w:kern w:val="0"/>
                <w:sz w:val="21"/>
                <w:szCs w:val="21"/>
                <w:lang w:val="en-US" w:eastAsia="zh-CN" w:bidi="ar"/>
              </w:rPr>
              <w:t>的，得10分。</w:t>
            </w:r>
          </w:p>
          <w:p w14:paraId="652A9EAD">
            <w:pPr>
              <w:keepNext w:val="0"/>
              <w:keepLines w:val="0"/>
              <w:widowControl/>
              <w:suppressLineNumbers w:val="0"/>
              <w:jc w:val="lef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kern w:val="0"/>
                <w:sz w:val="21"/>
                <w:szCs w:val="21"/>
                <w:lang w:val="en-US" w:eastAsia="zh-CN" w:bidi="ar"/>
              </w:rPr>
              <w:t>实施方案内容</w:t>
            </w:r>
            <w:r>
              <w:rPr>
                <w:rFonts w:hint="eastAsia" w:ascii="宋体" w:hAnsi="宋体" w:cs="宋体"/>
                <w:color w:val="auto"/>
                <w:kern w:val="0"/>
                <w:sz w:val="21"/>
                <w:szCs w:val="21"/>
                <w:lang w:val="en-US" w:eastAsia="zh-CN" w:bidi="ar"/>
              </w:rPr>
              <w:t>比较全面</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针对性较强、较</w:t>
            </w:r>
            <w:r>
              <w:rPr>
                <w:rFonts w:hint="eastAsia" w:ascii="宋体" w:hAnsi="宋体" w:eastAsia="宋体" w:cs="宋体"/>
                <w:color w:val="auto"/>
                <w:kern w:val="0"/>
                <w:sz w:val="21"/>
                <w:szCs w:val="21"/>
                <w:lang w:val="en-US" w:eastAsia="zh-CN" w:bidi="ar"/>
              </w:rPr>
              <w:t>合理</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性较强</w:t>
            </w:r>
            <w:r>
              <w:rPr>
                <w:rFonts w:hint="eastAsia" w:ascii="宋体" w:hAnsi="宋体" w:eastAsia="宋体" w:cs="宋体"/>
                <w:color w:val="auto"/>
                <w:kern w:val="0"/>
                <w:sz w:val="21"/>
                <w:szCs w:val="21"/>
                <w:lang w:val="en-US" w:eastAsia="zh-CN" w:bidi="ar"/>
              </w:rPr>
              <w:t>的</w:t>
            </w:r>
            <w:r>
              <w:rPr>
                <w:rFonts w:hint="eastAsia" w:ascii="宋体" w:hAnsi="宋体" w:eastAsia="宋体" w:cs="宋体"/>
                <w:color w:val="auto"/>
                <w:highlight w:val="none"/>
                <w:lang w:val="en-US" w:eastAsia="zh-CN"/>
              </w:rPr>
              <w:t>，得</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分。</w:t>
            </w:r>
          </w:p>
          <w:p w14:paraId="4220F903">
            <w:pPr>
              <w:keepNext w:val="0"/>
              <w:keepLines w:val="0"/>
              <w:widowControl/>
              <w:suppressLineNumbers w:val="0"/>
              <w:jc w:val="lef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w:t>
            </w:r>
            <w:r>
              <w:rPr>
                <w:rFonts w:hint="eastAsia" w:ascii="宋体" w:hAnsi="宋体" w:eastAsia="宋体" w:cs="宋体"/>
                <w:color w:val="auto"/>
                <w:kern w:val="0"/>
                <w:sz w:val="21"/>
                <w:szCs w:val="21"/>
                <w:lang w:val="en-US" w:eastAsia="zh-CN" w:bidi="ar"/>
              </w:rPr>
              <w:t>实施方案</w:t>
            </w:r>
            <w:r>
              <w:rPr>
                <w:rFonts w:hint="eastAsia" w:ascii="宋体" w:hAnsi="宋体" w:cs="宋体"/>
                <w:color w:val="auto"/>
                <w:kern w:val="0"/>
                <w:sz w:val="21"/>
                <w:szCs w:val="21"/>
                <w:lang w:val="en-US" w:eastAsia="zh-CN" w:bidi="ar"/>
              </w:rPr>
              <w:t>一般</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针对性合理性一般、</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性一般</w:t>
            </w:r>
            <w:r>
              <w:rPr>
                <w:rFonts w:hint="eastAsia" w:ascii="宋体" w:hAnsi="宋体" w:eastAsia="宋体" w:cs="宋体"/>
                <w:color w:val="auto"/>
                <w:kern w:val="0"/>
                <w:sz w:val="21"/>
                <w:szCs w:val="21"/>
                <w:lang w:val="en-US" w:eastAsia="zh-CN" w:bidi="ar"/>
              </w:rPr>
              <w:t>的</w:t>
            </w:r>
            <w:r>
              <w:rPr>
                <w:rFonts w:hint="eastAsia" w:ascii="宋体" w:hAnsi="宋体" w:eastAsia="宋体" w:cs="宋体"/>
                <w:color w:val="auto"/>
                <w:highlight w:val="none"/>
                <w:lang w:val="en-US" w:eastAsia="zh-CN"/>
              </w:rPr>
              <w:t>，得</w:t>
            </w: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 xml:space="preserve">分。 </w:t>
            </w:r>
          </w:p>
          <w:p w14:paraId="502A0B52">
            <w:pPr>
              <w:widowControl/>
              <w:numPr>
                <w:ilvl w:val="0"/>
                <w:numId w:val="0"/>
              </w:numPr>
              <w:ind w:leftChars="0"/>
              <w:jc w:val="left"/>
              <w:textAlignment w:val="center"/>
              <w:rPr>
                <w:rFonts w:hint="eastAsia" w:ascii="宋体" w:hAnsi="宋体" w:eastAsia="宋体" w:cs="宋体"/>
                <w:color w:val="FF0000"/>
                <w:highlight w:val="none"/>
                <w:lang w:val="en-US" w:eastAsia="zh-CN"/>
              </w:rPr>
            </w:pPr>
            <w:r>
              <w:rPr>
                <w:rFonts w:hint="eastAsia" w:ascii="宋体" w:hAnsi="宋体" w:eastAsia="宋体" w:cs="宋体"/>
                <w:color w:val="auto"/>
                <w:highlight w:val="none"/>
                <w:lang w:val="en-US" w:eastAsia="zh-CN"/>
              </w:rPr>
              <w:t>4</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未提供或者实施方案</w:t>
            </w:r>
            <w:r>
              <w:rPr>
                <w:rFonts w:hint="eastAsia" w:ascii="宋体" w:hAnsi="宋体" w:cs="宋体"/>
                <w:color w:val="auto"/>
                <w:kern w:val="0"/>
                <w:sz w:val="21"/>
                <w:szCs w:val="21"/>
                <w:lang w:val="en-US" w:eastAsia="zh-CN" w:bidi="ar"/>
              </w:rPr>
              <w:t>差，</w:t>
            </w:r>
            <w:r>
              <w:rPr>
                <w:rFonts w:hint="eastAsia" w:ascii="宋体" w:hAnsi="宋体" w:cs="宋体"/>
                <w:color w:val="auto"/>
                <w:highlight w:val="none"/>
                <w:lang w:val="en-US" w:eastAsia="zh-CN"/>
              </w:rPr>
              <w:t>不</w:t>
            </w:r>
            <w:r>
              <w:rPr>
                <w:rFonts w:hint="eastAsia" w:ascii="宋体" w:hAnsi="宋体" w:eastAsia="宋体" w:cs="宋体"/>
                <w:color w:val="auto"/>
                <w:highlight w:val="none"/>
                <w:lang w:val="en-US" w:eastAsia="zh-CN"/>
              </w:rPr>
              <w:t>合理</w:t>
            </w:r>
            <w:r>
              <w:rPr>
                <w:rFonts w:hint="eastAsia" w:ascii="宋体" w:hAnsi="宋体" w:cs="宋体"/>
                <w:color w:val="auto"/>
                <w:highlight w:val="none"/>
                <w:lang w:val="en-US" w:eastAsia="zh-CN"/>
              </w:rPr>
              <w:t>、可行性差的</w:t>
            </w:r>
            <w:r>
              <w:rPr>
                <w:rFonts w:hint="eastAsia" w:ascii="宋体" w:hAnsi="宋体" w:eastAsia="宋体" w:cs="宋体"/>
                <w:color w:val="auto"/>
                <w:highlight w:val="none"/>
                <w:lang w:val="en-US" w:eastAsia="zh-CN"/>
              </w:rPr>
              <w:t>，得0分。</w:t>
            </w:r>
          </w:p>
        </w:tc>
      </w:tr>
      <w:tr w14:paraId="275F68A0">
        <w:tblPrEx>
          <w:tblCellMar>
            <w:top w:w="0" w:type="dxa"/>
            <w:left w:w="108" w:type="dxa"/>
            <w:bottom w:w="0" w:type="dxa"/>
            <w:right w:w="108" w:type="dxa"/>
          </w:tblCellMar>
        </w:tblPrEx>
        <w:trPr>
          <w:trHeight w:val="2174"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18A">
            <w:pPr>
              <w:widowControl/>
              <w:jc w:val="center"/>
              <w:textAlignment w:val="center"/>
              <w:rPr>
                <w:rFonts w:hint="default" w:ascii="宋体" w:hAnsi="宋体" w:eastAsia="宋体" w:cs="宋体"/>
                <w:color w:val="auto"/>
                <w:szCs w:val="21"/>
                <w:lang w:val="en-US" w:eastAsia="zh-CN"/>
              </w:rPr>
            </w:pPr>
            <w:r>
              <w:rPr>
                <w:rFonts w:hint="eastAsia"/>
                <w:color w:val="auto"/>
                <w:lang w:val="en-US" w:eastAsia="zh-CN"/>
              </w:rPr>
              <w:t>质量保证措施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06BB">
            <w:pPr>
              <w:widowControl/>
              <w:jc w:val="center"/>
              <w:textAlignment w:val="center"/>
              <w:rPr>
                <w:rFonts w:hint="default" w:ascii="Calibri" w:hAnsi="Calibri" w:eastAsia="宋体"/>
                <w:color w:val="auto"/>
                <w:highlight w:val="none"/>
                <w:lang w:val="en-US" w:eastAsia="zh-CN"/>
              </w:rPr>
            </w:pPr>
            <w:r>
              <w:rPr>
                <w:rFonts w:hint="eastAsia" w:ascii="Calibri" w:hAnsi="Calibri"/>
                <w:color w:val="auto"/>
                <w:highlight w:val="none"/>
                <w:lang w:val="en-US" w:eastAsia="zh-CN"/>
              </w:rPr>
              <w:t>10</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1D5C">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根据供应商针对本项目提供的质量保证措施（包括工程质量控制措施、材料质量监督措施、施工工艺监督措施、新增变更项目造价合理性及取证管理措施、工程结算造价及资料质量保证措施等内容）进行综合评审： </w:t>
            </w:r>
          </w:p>
          <w:p w14:paraId="2F2CEADB">
            <w:pPr>
              <w:keepNext w:val="0"/>
              <w:keepLines w:val="0"/>
              <w:widowControl/>
              <w:suppressLineNumbers w:val="0"/>
              <w:jc w:val="left"/>
            </w:pPr>
            <w:r>
              <w:rPr>
                <w:rFonts w:hint="eastAsia" w:ascii="宋体" w:hAnsi="宋体" w:eastAsia="宋体" w:cs="宋体"/>
                <w:color w:val="000000"/>
                <w:kern w:val="0"/>
                <w:sz w:val="21"/>
                <w:szCs w:val="21"/>
                <w:lang w:val="en-US" w:eastAsia="zh-CN" w:bidi="ar"/>
              </w:rPr>
              <w:t>1、质量保证措施</w:t>
            </w:r>
            <w:r>
              <w:rPr>
                <w:rFonts w:hint="eastAsia" w:ascii="宋体" w:hAnsi="宋体" w:cs="宋体"/>
                <w:color w:val="000000"/>
                <w:kern w:val="0"/>
                <w:sz w:val="21"/>
                <w:szCs w:val="21"/>
                <w:lang w:val="en-US" w:eastAsia="zh-CN" w:bidi="ar"/>
              </w:rPr>
              <w:t>合理、高效、</w:t>
            </w:r>
            <w:r>
              <w:rPr>
                <w:rFonts w:hint="eastAsia" w:ascii="宋体" w:hAnsi="宋体" w:eastAsia="宋体" w:cs="宋体"/>
                <w:color w:val="000000"/>
                <w:kern w:val="0"/>
                <w:sz w:val="21"/>
                <w:szCs w:val="21"/>
                <w:lang w:val="en-US" w:eastAsia="zh-CN" w:bidi="ar"/>
              </w:rPr>
              <w:t xml:space="preserve">可行的，得10分。 </w:t>
            </w:r>
          </w:p>
          <w:p w14:paraId="587D23D4">
            <w:pPr>
              <w:keepNext w:val="0"/>
              <w:keepLines w:val="0"/>
              <w:widowControl/>
              <w:suppressLineNumbers w:val="0"/>
              <w:jc w:val="left"/>
            </w:pPr>
            <w:r>
              <w:rPr>
                <w:rFonts w:hint="eastAsia" w:ascii="宋体" w:hAnsi="宋体" w:eastAsia="宋体" w:cs="宋体"/>
                <w:color w:val="000000"/>
                <w:kern w:val="0"/>
                <w:sz w:val="21"/>
                <w:szCs w:val="21"/>
                <w:lang w:val="en-US" w:eastAsia="zh-CN" w:bidi="ar"/>
              </w:rPr>
              <w:t>2、质量保证措施</w:t>
            </w:r>
            <w:r>
              <w:rPr>
                <w:rFonts w:hint="eastAsia" w:ascii="宋体" w:hAnsi="宋体" w:cs="宋体"/>
                <w:color w:val="000000"/>
                <w:kern w:val="0"/>
                <w:sz w:val="21"/>
                <w:szCs w:val="21"/>
                <w:lang w:val="en-US" w:eastAsia="zh-CN" w:bidi="ar"/>
              </w:rPr>
              <w:t>较为合理、较高效、较</w:t>
            </w:r>
            <w:r>
              <w:rPr>
                <w:rFonts w:hint="eastAsia" w:ascii="宋体" w:hAnsi="宋体" w:eastAsia="宋体" w:cs="宋体"/>
                <w:color w:val="000000"/>
                <w:kern w:val="0"/>
                <w:sz w:val="21"/>
                <w:szCs w:val="21"/>
                <w:lang w:val="en-US" w:eastAsia="zh-CN" w:bidi="ar"/>
              </w:rPr>
              <w:t xml:space="preserve">可行的，得7分。 </w:t>
            </w:r>
          </w:p>
          <w:p w14:paraId="0A1A1860">
            <w:pPr>
              <w:keepNext w:val="0"/>
              <w:keepLines w:val="0"/>
              <w:widowControl/>
              <w:suppressLineNumbers w:val="0"/>
              <w:jc w:val="left"/>
            </w:pPr>
            <w:r>
              <w:rPr>
                <w:rFonts w:hint="eastAsia" w:ascii="宋体" w:hAnsi="宋体" w:eastAsia="宋体" w:cs="宋体"/>
                <w:color w:val="000000"/>
                <w:kern w:val="0"/>
                <w:sz w:val="21"/>
                <w:szCs w:val="21"/>
                <w:lang w:val="en-US" w:eastAsia="zh-CN" w:bidi="ar"/>
              </w:rPr>
              <w:t>3、质量保证措施</w:t>
            </w:r>
            <w:r>
              <w:rPr>
                <w:rFonts w:hint="eastAsia" w:ascii="宋体" w:hAnsi="宋体" w:cs="宋体"/>
                <w:color w:val="000000"/>
                <w:kern w:val="0"/>
                <w:sz w:val="21"/>
                <w:szCs w:val="21"/>
                <w:lang w:val="en-US" w:eastAsia="zh-CN" w:bidi="ar"/>
              </w:rPr>
              <w:t>合理性一般、有效性一般、可行性一般的</w:t>
            </w:r>
            <w:r>
              <w:rPr>
                <w:rFonts w:hint="eastAsia" w:ascii="宋体" w:hAnsi="宋体" w:eastAsia="宋体" w:cs="宋体"/>
                <w:color w:val="000000"/>
                <w:kern w:val="0"/>
                <w:sz w:val="21"/>
                <w:szCs w:val="21"/>
                <w:lang w:val="en-US" w:eastAsia="zh-CN" w:bidi="ar"/>
              </w:rPr>
              <w:t xml:space="preserve">，得4分。 </w:t>
            </w:r>
          </w:p>
          <w:p w14:paraId="4A0DD939">
            <w:pPr>
              <w:keepNext w:val="0"/>
              <w:keepLines w:val="0"/>
              <w:widowControl/>
              <w:suppressLineNumbers w:val="0"/>
              <w:jc w:val="left"/>
              <w:rPr>
                <w:rFonts w:hint="default" w:ascii="宋体" w:hAnsi="宋体" w:eastAsia="宋体" w:cs="宋体"/>
                <w:color w:val="FF0000"/>
                <w:highlight w:val="none"/>
                <w:lang w:val="en-US" w:eastAsia="zh-CN"/>
              </w:rPr>
            </w:pPr>
            <w:r>
              <w:rPr>
                <w:rFonts w:hint="eastAsia" w:ascii="宋体" w:hAnsi="宋体" w:eastAsia="宋体" w:cs="宋体"/>
                <w:color w:val="000000"/>
                <w:kern w:val="0"/>
                <w:sz w:val="21"/>
                <w:szCs w:val="21"/>
                <w:lang w:val="en-US" w:eastAsia="zh-CN" w:bidi="ar"/>
              </w:rPr>
              <w:t>4、未提供或</w:t>
            </w:r>
            <w:r>
              <w:rPr>
                <w:rFonts w:hint="eastAsia" w:ascii="宋体" w:hAnsi="宋体" w:cs="宋体"/>
                <w:color w:val="000000"/>
                <w:kern w:val="0"/>
                <w:sz w:val="21"/>
                <w:szCs w:val="21"/>
                <w:lang w:val="en-US" w:eastAsia="zh-CN" w:bidi="ar"/>
              </w:rPr>
              <w:t>措施不合理、缺乏有效性、不可行的</w:t>
            </w:r>
            <w:r>
              <w:rPr>
                <w:rFonts w:hint="eastAsia" w:ascii="宋体" w:hAnsi="宋体" w:eastAsia="宋体" w:cs="宋体"/>
                <w:color w:val="000000"/>
                <w:kern w:val="0"/>
                <w:sz w:val="21"/>
                <w:szCs w:val="21"/>
                <w:lang w:val="en-US" w:eastAsia="zh-CN" w:bidi="ar"/>
              </w:rPr>
              <w:t>，得0分。</w:t>
            </w:r>
          </w:p>
        </w:tc>
      </w:tr>
      <w:tr w14:paraId="25C9F67D">
        <w:tblPrEx>
          <w:tblCellMar>
            <w:top w:w="0" w:type="dxa"/>
            <w:left w:w="108" w:type="dxa"/>
            <w:bottom w:w="0" w:type="dxa"/>
            <w:right w:w="108" w:type="dxa"/>
          </w:tblCellMar>
        </w:tblPrEx>
        <w:trPr>
          <w:trHeight w:val="1575"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BABA">
            <w:pPr>
              <w:widowControl/>
              <w:jc w:val="center"/>
              <w:textAlignment w:val="center"/>
              <w:rPr>
                <w:rFonts w:hint="eastAsia" w:ascii="Calibri" w:hAnsi="Calibri" w:eastAsia="宋体"/>
                <w:color w:val="auto"/>
                <w:lang w:eastAsia="zh-CN"/>
              </w:rPr>
            </w:pPr>
            <w:r>
              <w:rPr>
                <w:rFonts w:hint="eastAsia" w:ascii="宋体" w:hAnsi="宋体" w:cs="宋体"/>
                <w:color w:val="auto"/>
                <w:sz w:val="21"/>
                <w:szCs w:val="21"/>
                <w:highlight w:val="none"/>
                <w:lang w:val="en-US" w:eastAsia="zh-CN" w:bidi="ar"/>
              </w:rPr>
              <w:t>进度</w:t>
            </w:r>
            <w:r>
              <w:rPr>
                <w:rFonts w:hint="eastAsia" w:ascii="宋体" w:hAnsi="宋体" w:eastAsia="宋体" w:cs="宋体"/>
                <w:color w:val="auto"/>
                <w:sz w:val="21"/>
                <w:szCs w:val="21"/>
                <w:highlight w:val="none"/>
                <w:lang w:bidi="ar"/>
              </w:rPr>
              <w:t>保障措施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color w:val="auto"/>
                <w:lang w:val="en-US" w:eastAsia="zh-CN"/>
              </w:rPr>
            </w:pPr>
            <w:r>
              <w:rPr>
                <w:rFonts w:hint="eastAsia" w:ascii="Calibri" w:hAnsi="Calibri"/>
                <w:color w:val="auto"/>
                <w:lang w:val="en-US" w:eastAsia="zh-CN"/>
              </w:rPr>
              <w:t>10</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7C3B">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根据投标人针对本项目提供的进度保障措施进行综合评审： </w:t>
            </w:r>
          </w:p>
          <w:p w14:paraId="0AF015D8">
            <w:pPr>
              <w:keepNext w:val="0"/>
              <w:keepLines w:val="0"/>
              <w:widowControl/>
              <w:suppressLineNumbers w:val="0"/>
              <w:jc w:val="left"/>
            </w:pPr>
            <w:r>
              <w:rPr>
                <w:rFonts w:hint="eastAsia" w:ascii="宋体" w:hAnsi="宋体" w:eastAsia="宋体" w:cs="宋体"/>
                <w:color w:val="000000"/>
                <w:kern w:val="0"/>
                <w:sz w:val="21"/>
                <w:szCs w:val="21"/>
                <w:lang w:val="en-US" w:eastAsia="zh-CN" w:bidi="ar"/>
              </w:rPr>
              <w:t>1、进度保障措施全面</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具体，计划详细可行的，得10分。 </w:t>
            </w:r>
          </w:p>
          <w:p w14:paraId="31902C20">
            <w:pPr>
              <w:keepNext w:val="0"/>
              <w:keepLines w:val="0"/>
              <w:widowControl/>
              <w:suppressLineNumbers w:val="0"/>
              <w:jc w:val="left"/>
            </w:pPr>
            <w:r>
              <w:rPr>
                <w:rFonts w:hint="eastAsia" w:ascii="宋体" w:hAnsi="宋体" w:eastAsia="宋体" w:cs="宋体"/>
                <w:color w:val="000000"/>
                <w:kern w:val="0"/>
                <w:sz w:val="21"/>
                <w:szCs w:val="21"/>
                <w:lang w:val="en-US" w:eastAsia="zh-CN" w:bidi="ar"/>
              </w:rPr>
              <w:t>2、进度保障措施</w:t>
            </w:r>
            <w:r>
              <w:rPr>
                <w:rFonts w:hint="eastAsia" w:ascii="宋体" w:hAnsi="宋体" w:cs="宋体"/>
                <w:color w:val="000000"/>
                <w:kern w:val="0"/>
                <w:sz w:val="21"/>
                <w:szCs w:val="21"/>
                <w:lang w:val="en-US" w:eastAsia="zh-CN" w:bidi="ar"/>
              </w:rPr>
              <w:t>较</w:t>
            </w:r>
            <w:r>
              <w:rPr>
                <w:rFonts w:hint="eastAsia" w:ascii="宋体" w:hAnsi="宋体" w:eastAsia="宋体" w:cs="宋体"/>
                <w:color w:val="000000"/>
                <w:kern w:val="0"/>
                <w:sz w:val="21"/>
                <w:szCs w:val="21"/>
                <w:lang w:val="en-US" w:eastAsia="zh-CN" w:bidi="ar"/>
              </w:rPr>
              <w:t>全面</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计划</w:t>
            </w:r>
            <w:r>
              <w:rPr>
                <w:rFonts w:hint="eastAsia" w:ascii="宋体" w:hAnsi="宋体" w:cs="宋体"/>
                <w:color w:val="000000"/>
                <w:kern w:val="0"/>
                <w:sz w:val="21"/>
                <w:szCs w:val="21"/>
                <w:lang w:val="en-US" w:eastAsia="zh-CN" w:bidi="ar"/>
              </w:rPr>
              <w:t>较</w:t>
            </w:r>
            <w:r>
              <w:rPr>
                <w:rFonts w:hint="eastAsia" w:ascii="宋体" w:hAnsi="宋体" w:eastAsia="宋体" w:cs="宋体"/>
                <w:color w:val="000000"/>
                <w:kern w:val="0"/>
                <w:sz w:val="21"/>
                <w:szCs w:val="21"/>
                <w:lang w:val="en-US" w:eastAsia="zh-CN" w:bidi="ar"/>
              </w:rPr>
              <w:t xml:space="preserve">可行的，得7分。 </w:t>
            </w:r>
          </w:p>
          <w:p w14:paraId="7B8895ED">
            <w:pPr>
              <w:keepNext w:val="0"/>
              <w:keepLines w:val="0"/>
              <w:widowControl/>
              <w:suppressLineNumbers w:val="0"/>
              <w:jc w:val="left"/>
            </w:pPr>
            <w:r>
              <w:rPr>
                <w:rFonts w:hint="eastAsia" w:ascii="宋体" w:hAnsi="宋体" w:eastAsia="宋体" w:cs="宋体"/>
                <w:color w:val="000000"/>
                <w:kern w:val="0"/>
                <w:sz w:val="21"/>
                <w:szCs w:val="21"/>
                <w:lang w:val="en-US" w:eastAsia="zh-CN" w:bidi="ar"/>
              </w:rPr>
              <w:t>3、进度保障措施</w:t>
            </w:r>
            <w:r>
              <w:rPr>
                <w:rFonts w:hint="eastAsia" w:ascii="宋体" w:hAnsi="宋体" w:cs="宋体"/>
                <w:color w:val="000000"/>
                <w:kern w:val="0"/>
                <w:sz w:val="21"/>
                <w:szCs w:val="21"/>
                <w:lang w:val="en-US" w:eastAsia="zh-CN" w:bidi="ar"/>
              </w:rPr>
              <w:t>一般</w:t>
            </w:r>
            <w:r>
              <w:rPr>
                <w:rFonts w:hint="eastAsia" w:ascii="宋体" w:hAnsi="宋体" w:eastAsia="宋体" w:cs="宋体"/>
                <w:color w:val="000000"/>
                <w:kern w:val="0"/>
                <w:sz w:val="21"/>
                <w:szCs w:val="21"/>
                <w:lang w:val="en-US" w:eastAsia="zh-CN" w:bidi="ar"/>
              </w:rPr>
              <w:t>，计划</w:t>
            </w:r>
            <w:r>
              <w:rPr>
                <w:rFonts w:hint="eastAsia" w:ascii="宋体" w:hAnsi="宋体" w:cs="宋体"/>
                <w:color w:val="000000"/>
                <w:kern w:val="0"/>
                <w:sz w:val="21"/>
                <w:szCs w:val="21"/>
                <w:lang w:val="en-US" w:eastAsia="zh-CN" w:bidi="ar"/>
              </w:rPr>
              <w:t>合理性一般、可行性一般</w:t>
            </w:r>
            <w:r>
              <w:rPr>
                <w:rFonts w:hint="eastAsia" w:ascii="宋体" w:hAnsi="宋体" w:eastAsia="宋体" w:cs="宋体"/>
                <w:color w:val="000000"/>
                <w:kern w:val="0"/>
                <w:sz w:val="21"/>
                <w:szCs w:val="21"/>
                <w:lang w:val="en-US" w:eastAsia="zh-CN" w:bidi="ar"/>
              </w:rPr>
              <w:t xml:space="preserve">的，得4分。 </w:t>
            </w:r>
          </w:p>
          <w:p w14:paraId="2C00418A">
            <w:pPr>
              <w:keepNext w:val="0"/>
              <w:keepLines w:val="0"/>
              <w:widowControl/>
              <w:suppressLineNumbers w:val="0"/>
              <w:jc w:val="left"/>
              <w:rPr>
                <w:rFonts w:hint="eastAsia" w:ascii="宋体" w:hAnsi="宋体" w:eastAsia="宋体" w:cs="宋体"/>
                <w:color w:val="FF0000"/>
                <w:highlight w:val="none"/>
                <w:lang w:eastAsia="zh-CN"/>
              </w:rPr>
            </w:pPr>
            <w:r>
              <w:rPr>
                <w:rFonts w:hint="eastAsia" w:ascii="宋体" w:hAnsi="宋体" w:eastAsia="宋体" w:cs="宋体"/>
                <w:color w:val="000000"/>
                <w:kern w:val="0"/>
                <w:sz w:val="21"/>
                <w:szCs w:val="21"/>
                <w:lang w:val="en-US" w:eastAsia="zh-CN" w:bidi="ar"/>
              </w:rPr>
              <w:t>4、未提供或</w:t>
            </w:r>
            <w:r>
              <w:rPr>
                <w:rFonts w:hint="eastAsia" w:ascii="宋体" w:hAnsi="宋体" w:cs="宋体"/>
                <w:color w:val="000000"/>
                <w:kern w:val="0"/>
                <w:sz w:val="21"/>
                <w:szCs w:val="21"/>
                <w:lang w:val="en-US" w:eastAsia="zh-CN" w:bidi="ar"/>
              </w:rPr>
              <w:t>措施不合理、计划不可行的</w:t>
            </w:r>
            <w:r>
              <w:rPr>
                <w:rFonts w:hint="eastAsia" w:ascii="宋体" w:hAnsi="宋体" w:eastAsia="宋体" w:cs="宋体"/>
                <w:color w:val="000000"/>
                <w:kern w:val="0"/>
                <w:sz w:val="21"/>
                <w:szCs w:val="21"/>
                <w:lang w:val="en-US" w:eastAsia="zh-CN" w:bidi="ar"/>
              </w:rPr>
              <w:t>，得0分。</w:t>
            </w:r>
          </w:p>
        </w:tc>
      </w:tr>
    </w:tbl>
    <w:p w14:paraId="37B324C0">
      <w:pPr>
        <w:pStyle w:val="36"/>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2</w:t>
      </w:r>
      <w:r>
        <w:rPr>
          <w:rFonts w:ascii="宋体" w:hAnsi="宋体" w:cs="宋体"/>
          <w:sz w:val="24"/>
          <w:highlight w:val="none"/>
        </w:rPr>
        <w:t>0分）</w:t>
      </w:r>
      <w:r>
        <w:rPr>
          <w:rFonts w:ascii="宋体" w:hAnsi="宋体" w:cs="宋体"/>
          <w:sz w:val="24"/>
        </w:rPr>
        <w:t>：</w:t>
      </w:r>
    </w:p>
    <w:p w14:paraId="299258FC">
      <w:pPr>
        <w:pStyle w:val="36"/>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r>
        <w:rPr>
          <w:rFonts w:hint="eastAsia" w:ascii="宋体" w:hAnsi="宋体" w:eastAsia="宋体" w:cs="宋体"/>
          <w:sz w:val="21"/>
          <w:szCs w:val="21"/>
          <w:lang w:eastAsia="zh-CN"/>
        </w:rPr>
        <w:t>（</w:t>
      </w:r>
      <w:r>
        <w:rPr>
          <w:rFonts w:hint="eastAsia" w:ascii="宋体" w:hAnsi="宋体" w:eastAsia="宋体" w:cs="宋体"/>
          <w:color w:val="auto"/>
          <w:sz w:val="21"/>
          <w:szCs w:val="21"/>
          <w:highlight w:val="none"/>
        </w:rPr>
        <w:t>如：</w:t>
      </w:r>
      <w:r>
        <w:rPr>
          <w:rFonts w:hint="eastAsia" w:ascii="宋体" w:hAnsi="宋体" w:eastAsia="宋体" w:cs="宋体"/>
          <w:color w:val="auto"/>
          <w:sz w:val="21"/>
          <w:szCs w:val="21"/>
          <w:highlight w:val="none"/>
          <w:lang w:val="en-US" w:eastAsia="zh-CN"/>
        </w:rPr>
        <w:t>供应商A响应</w:t>
      </w: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eastAsia="zh-CN"/>
        </w:rPr>
        <w:t>X</w:t>
      </w:r>
      <w:r>
        <w:rPr>
          <w:rFonts w:hint="eastAsia" w:ascii="宋体" w:hAnsi="宋体" w:eastAsia="宋体" w:cs="宋体"/>
          <w:color w:val="auto"/>
          <w:sz w:val="21"/>
          <w:szCs w:val="21"/>
          <w:highlight w:val="none"/>
        </w:rPr>
        <w:t>%为报价最低，评标基准价为</w:t>
      </w:r>
      <w:r>
        <w:rPr>
          <w:rFonts w:hint="eastAsia" w:ascii="宋体" w:hAnsi="宋体" w:eastAsia="宋体" w:cs="宋体"/>
          <w:color w:val="auto"/>
          <w:sz w:val="21"/>
          <w:szCs w:val="21"/>
          <w:highlight w:val="none"/>
          <w:lang w:val="en-US" w:eastAsia="zh-CN"/>
        </w:rPr>
        <w:t>X</w:t>
      </w:r>
      <w:r>
        <w:rPr>
          <w:rFonts w:hint="eastAsia" w:ascii="宋体" w:hAnsi="宋体" w:eastAsia="宋体" w:cs="宋体"/>
          <w:color w:val="auto"/>
          <w:sz w:val="21"/>
          <w:szCs w:val="21"/>
          <w:highlight w:val="none"/>
        </w:rPr>
        <w:t>%，得满分</w:t>
      </w:r>
      <w:r>
        <w:rPr>
          <w:rFonts w:hint="eastAsia" w:ascii="宋体" w:hAnsi="宋体" w:eastAsia="宋体" w:cs="宋体"/>
          <w:color w:val="auto"/>
          <w:sz w:val="21"/>
          <w:szCs w:val="21"/>
          <w:highlight w:val="none"/>
          <w:lang w:eastAsia="zh-CN"/>
        </w:rPr>
        <w:t>。）</w:t>
      </w:r>
    </w:p>
    <w:p w14:paraId="7EA3376B">
      <w:pPr>
        <w:pStyle w:val="36"/>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36"/>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36"/>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36"/>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36"/>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36"/>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36"/>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36"/>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36"/>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36"/>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36"/>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76756D8E">
      <w:pPr>
        <w:pStyle w:val="36"/>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0FC2F67F">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1021D4DA">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4、采购人不得拒收质疑供应商在限定质疑期内发出的质疑函，应当在收到质疑函后7个工作日内作出答复，并以书面形式通知质疑供应商和其他有关供应商。</w:t>
      </w:r>
    </w:p>
    <w:p w14:paraId="60ED8065">
      <w:pPr>
        <w:pStyle w:val="36"/>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36"/>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21ABA1AD">
      <w:pPr>
        <w:pStyle w:val="36"/>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36"/>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36"/>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36"/>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36"/>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36"/>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36"/>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36"/>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36"/>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14:paraId="609D5424">
      <w:pPr>
        <w:pStyle w:val="36"/>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36"/>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4C4E64F9">
      <w:pPr>
        <w:pStyle w:val="36"/>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36"/>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36"/>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36"/>
        <w:numPr>
          <w:ilvl w:val="0"/>
          <w:numId w:val="4"/>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36"/>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5"/>
        <w:rPr>
          <w:rFonts w:hint="eastAsia" w:ascii="微软雅黑" w:hAnsi="微软雅黑" w:eastAsia="微软雅黑" w:cs="微软雅黑"/>
          <w:color w:val="000000" w:themeColor="text1"/>
          <w:lang w:eastAsia="zh-CN"/>
          <w14:textFill>
            <w14:solidFill>
              <w14:schemeClr w14:val="tx1"/>
            </w14:solidFill>
          </w14:textFill>
        </w:rPr>
      </w:pPr>
    </w:p>
    <w:p w14:paraId="23C2A1C1">
      <w:pPr>
        <w:pStyle w:val="5"/>
        <w:rPr>
          <w:rFonts w:hint="eastAsia" w:ascii="微软雅黑" w:hAnsi="微软雅黑" w:eastAsia="微软雅黑" w:cs="微软雅黑"/>
          <w:color w:val="000000" w:themeColor="text1"/>
          <w:lang w:eastAsia="zh-CN"/>
          <w14:textFill>
            <w14:solidFill>
              <w14:schemeClr w14:val="tx1"/>
            </w14:solidFill>
          </w14:textFill>
        </w:rPr>
      </w:pPr>
    </w:p>
    <w:p w14:paraId="3FF6A420">
      <w:pPr>
        <w:pStyle w:val="5"/>
        <w:rPr>
          <w:rFonts w:hint="eastAsia" w:ascii="微软雅黑" w:hAnsi="微软雅黑" w:eastAsia="微软雅黑" w:cs="微软雅黑"/>
          <w:color w:val="000000" w:themeColor="text1"/>
          <w:lang w:eastAsia="zh-CN"/>
          <w14:textFill>
            <w14:solidFill>
              <w14:schemeClr w14:val="tx1"/>
            </w14:solidFill>
          </w14:textFill>
        </w:rPr>
      </w:pPr>
    </w:p>
    <w:p w14:paraId="0717DAA9">
      <w:pPr>
        <w:pStyle w:val="5"/>
        <w:rPr>
          <w:rFonts w:hint="eastAsia" w:ascii="微软雅黑" w:hAnsi="微软雅黑" w:eastAsia="微软雅黑" w:cs="微软雅黑"/>
          <w:color w:val="000000" w:themeColor="text1"/>
          <w:lang w:eastAsia="zh-CN"/>
          <w14:textFill>
            <w14:solidFill>
              <w14:schemeClr w14:val="tx1"/>
            </w14:solidFill>
          </w14:textFill>
        </w:rPr>
      </w:pPr>
    </w:p>
    <w:p w14:paraId="671A0807">
      <w:pPr>
        <w:pStyle w:val="5"/>
        <w:rPr>
          <w:rFonts w:hint="eastAsia" w:ascii="微软雅黑" w:hAnsi="微软雅黑" w:eastAsia="微软雅黑" w:cs="微软雅黑"/>
          <w:color w:val="000000" w:themeColor="text1"/>
          <w:lang w:eastAsia="zh-CN"/>
          <w14:textFill>
            <w14:solidFill>
              <w14:schemeClr w14:val="tx1"/>
            </w14:solidFill>
          </w14:textFill>
        </w:rPr>
      </w:pPr>
    </w:p>
    <w:p w14:paraId="7C7EA1FA">
      <w:pPr>
        <w:pStyle w:val="5"/>
        <w:rPr>
          <w:rFonts w:hint="eastAsia" w:ascii="微软雅黑" w:hAnsi="微软雅黑" w:eastAsia="微软雅黑" w:cs="微软雅黑"/>
          <w:color w:val="000000" w:themeColor="text1"/>
          <w:lang w:eastAsia="zh-CN"/>
          <w14:textFill>
            <w14:solidFill>
              <w14:schemeClr w14:val="tx1"/>
            </w14:solidFill>
          </w14:textFill>
        </w:rPr>
      </w:pPr>
    </w:p>
    <w:p w14:paraId="75850AE9">
      <w:pPr>
        <w:pStyle w:val="5"/>
        <w:rPr>
          <w:rFonts w:hint="eastAsia" w:ascii="微软雅黑" w:hAnsi="微软雅黑" w:eastAsia="微软雅黑" w:cs="微软雅黑"/>
          <w:color w:val="000000" w:themeColor="text1"/>
          <w:lang w:eastAsia="zh-CN"/>
          <w14:textFill>
            <w14:solidFill>
              <w14:schemeClr w14:val="tx1"/>
            </w14:solidFill>
          </w14:textFill>
        </w:rPr>
      </w:pPr>
    </w:p>
    <w:p w14:paraId="5A86C148">
      <w:pPr>
        <w:pStyle w:val="5"/>
        <w:rPr>
          <w:rFonts w:hint="eastAsia" w:ascii="微软雅黑" w:hAnsi="微软雅黑" w:eastAsia="微软雅黑" w:cs="微软雅黑"/>
          <w:color w:val="000000" w:themeColor="text1"/>
          <w:lang w:eastAsia="zh-CN"/>
          <w14:textFill>
            <w14:solidFill>
              <w14:schemeClr w14:val="tx1"/>
            </w14:solidFill>
          </w14:textFill>
        </w:rPr>
      </w:pPr>
    </w:p>
    <w:p w14:paraId="344315CC">
      <w:pPr>
        <w:pStyle w:val="5"/>
        <w:rPr>
          <w:rFonts w:hint="eastAsia" w:ascii="微软雅黑" w:hAnsi="微软雅黑" w:eastAsia="微软雅黑" w:cs="微软雅黑"/>
          <w:color w:val="000000" w:themeColor="text1"/>
          <w:lang w:eastAsia="zh-CN"/>
          <w14:textFill>
            <w14:solidFill>
              <w14:schemeClr w14:val="tx1"/>
            </w14:solidFill>
          </w14:textFill>
        </w:rPr>
      </w:pPr>
    </w:p>
    <w:p w14:paraId="716FD9BC">
      <w:pPr>
        <w:pStyle w:val="5"/>
        <w:rPr>
          <w:rFonts w:hint="eastAsia" w:ascii="微软雅黑" w:hAnsi="微软雅黑" w:eastAsia="微软雅黑" w:cs="微软雅黑"/>
          <w:color w:val="000000" w:themeColor="text1"/>
          <w:lang w:eastAsia="zh-CN"/>
          <w14:textFill>
            <w14:solidFill>
              <w14:schemeClr w14:val="tx1"/>
            </w14:solidFill>
          </w14:textFill>
        </w:rPr>
      </w:pPr>
    </w:p>
    <w:p w14:paraId="62685DB3">
      <w:pPr>
        <w:pStyle w:val="7"/>
        <w:rPr>
          <w:rFonts w:hint="eastAsia" w:ascii="微软雅黑" w:hAnsi="微软雅黑" w:eastAsia="微软雅黑" w:cs="微软雅黑"/>
          <w:color w:val="000000" w:themeColor="text1"/>
          <w:lang w:eastAsia="zh-CN"/>
          <w14:textFill>
            <w14:solidFill>
              <w14:schemeClr w14:val="tx1"/>
            </w14:solidFill>
          </w14:textFill>
        </w:rPr>
      </w:pPr>
    </w:p>
    <w:p w14:paraId="1AB51BBD">
      <w:pPr>
        <w:pStyle w:val="7"/>
        <w:rPr>
          <w:rFonts w:hint="eastAsia" w:ascii="微软雅黑" w:hAnsi="微软雅黑" w:eastAsia="微软雅黑" w:cs="微软雅黑"/>
          <w:color w:val="000000" w:themeColor="text1"/>
          <w:lang w:eastAsia="zh-CN"/>
          <w14:textFill>
            <w14:solidFill>
              <w14:schemeClr w14:val="tx1"/>
            </w14:solidFill>
          </w14:textFill>
        </w:rPr>
      </w:pPr>
    </w:p>
    <w:p w14:paraId="5F8511C7">
      <w:pPr>
        <w:pStyle w:val="7"/>
        <w:rPr>
          <w:rFonts w:hint="eastAsia" w:ascii="微软雅黑" w:hAnsi="微软雅黑" w:eastAsia="微软雅黑" w:cs="微软雅黑"/>
          <w:color w:val="000000" w:themeColor="text1"/>
          <w:lang w:eastAsia="zh-CN"/>
          <w14:textFill>
            <w14:solidFill>
              <w14:schemeClr w14:val="tx1"/>
            </w14:solidFill>
          </w14:textFill>
        </w:rPr>
      </w:pPr>
    </w:p>
    <w:p w14:paraId="2D0D5088">
      <w:pPr>
        <w:pStyle w:val="7"/>
        <w:rPr>
          <w:rFonts w:hint="eastAsia" w:ascii="微软雅黑" w:hAnsi="微软雅黑" w:eastAsia="微软雅黑" w:cs="微软雅黑"/>
          <w:color w:val="000000" w:themeColor="text1"/>
          <w:lang w:eastAsia="zh-CN"/>
          <w14:textFill>
            <w14:solidFill>
              <w14:schemeClr w14:val="tx1"/>
            </w14:solidFill>
          </w14:textFill>
        </w:rPr>
      </w:pPr>
    </w:p>
    <w:p w14:paraId="3DC413EA">
      <w:pPr>
        <w:pStyle w:val="7"/>
        <w:rPr>
          <w:rFonts w:hint="eastAsia" w:ascii="微软雅黑" w:hAnsi="微软雅黑" w:eastAsia="微软雅黑" w:cs="微软雅黑"/>
          <w:color w:val="000000" w:themeColor="text1"/>
          <w:lang w:eastAsia="zh-CN"/>
          <w14:textFill>
            <w14:solidFill>
              <w14:schemeClr w14:val="tx1"/>
            </w14:solidFill>
          </w14:textFill>
        </w:rPr>
      </w:pPr>
    </w:p>
    <w:p w14:paraId="5716DA68">
      <w:pPr>
        <w:pStyle w:val="7"/>
        <w:rPr>
          <w:rFonts w:hint="eastAsia" w:ascii="微软雅黑" w:hAnsi="微软雅黑" w:eastAsia="微软雅黑" w:cs="微软雅黑"/>
          <w:color w:val="000000" w:themeColor="text1"/>
          <w:lang w:eastAsia="zh-CN"/>
          <w14:textFill>
            <w14:solidFill>
              <w14:schemeClr w14:val="tx1"/>
            </w14:solidFill>
          </w14:textFill>
        </w:rPr>
      </w:pPr>
    </w:p>
    <w:p w14:paraId="64C3B2F1">
      <w:pPr>
        <w:pStyle w:val="7"/>
        <w:rPr>
          <w:rFonts w:hint="eastAsia" w:ascii="微软雅黑" w:hAnsi="微软雅黑" w:eastAsia="微软雅黑" w:cs="微软雅黑"/>
          <w:color w:val="000000" w:themeColor="text1"/>
          <w:lang w:eastAsia="zh-CN"/>
          <w14:textFill>
            <w14:solidFill>
              <w14:schemeClr w14:val="tx1"/>
            </w14:solidFill>
          </w14:textFill>
        </w:rPr>
      </w:pPr>
    </w:p>
    <w:p w14:paraId="7DF3E2E3">
      <w:pPr>
        <w:pStyle w:val="7"/>
        <w:rPr>
          <w:rFonts w:hint="eastAsia" w:ascii="微软雅黑" w:hAnsi="微软雅黑" w:eastAsia="微软雅黑" w:cs="微软雅黑"/>
          <w:color w:val="000000" w:themeColor="text1"/>
          <w:lang w:eastAsia="zh-CN"/>
          <w14:textFill>
            <w14:solidFill>
              <w14:schemeClr w14:val="tx1"/>
            </w14:solidFill>
          </w14:textFill>
        </w:rPr>
      </w:pPr>
    </w:p>
    <w:p w14:paraId="3831B463">
      <w:pPr>
        <w:pStyle w:val="7"/>
        <w:rPr>
          <w:rFonts w:hint="eastAsia" w:ascii="微软雅黑" w:hAnsi="微软雅黑" w:eastAsia="微软雅黑" w:cs="微软雅黑"/>
          <w:color w:val="000000" w:themeColor="text1"/>
          <w:lang w:eastAsia="zh-CN"/>
          <w14:textFill>
            <w14:solidFill>
              <w14:schemeClr w14:val="tx1"/>
            </w14:solidFill>
          </w14:textFill>
        </w:rPr>
      </w:pPr>
    </w:p>
    <w:p w14:paraId="6228676F">
      <w:pPr>
        <w:pStyle w:val="7"/>
        <w:rPr>
          <w:rFonts w:hint="eastAsia"/>
          <w:lang w:eastAsia="zh-CN"/>
        </w:rPr>
      </w:pPr>
    </w:p>
    <w:p w14:paraId="70F594A9">
      <w:pPr>
        <w:pStyle w:val="5"/>
        <w:rPr>
          <w:rFonts w:hint="eastAsia" w:ascii="微软雅黑" w:hAnsi="微软雅黑" w:eastAsia="微软雅黑" w:cs="微软雅黑"/>
          <w:color w:val="000000" w:themeColor="text1"/>
          <w:lang w:eastAsia="zh-CN"/>
          <w14:textFill>
            <w14:solidFill>
              <w14:schemeClr w14:val="tx1"/>
            </w14:solidFill>
          </w14:textFill>
        </w:rPr>
      </w:pPr>
    </w:p>
    <w:p w14:paraId="49AE6F07">
      <w:pPr>
        <w:pStyle w:val="5"/>
        <w:rPr>
          <w:rFonts w:hint="eastAsia" w:ascii="微软雅黑" w:hAnsi="微软雅黑" w:eastAsia="微软雅黑" w:cs="微软雅黑"/>
          <w:color w:val="000000" w:themeColor="text1"/>
          <w:lang w:eastAsia="zh-CN"/>
          <w14:textFill>
            <w14:solidFill>
              <w14:schemeClr w14:val="tx1"/>
            </w14:solidFill>
          </w14:textFill>
        </w:rPr>
      </w:pPr>
    </w:p>
    <w:p w14:paraId="72260500">
      <w:pPr>
        <w:pStyle w:val="5"/>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8"/>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2C9AF601">
      <w:pPr>
        <w:pStyle w:val="36"/>
        <w:adjustRightInd w:val="0"/>
        <w:snapToGrid w:val="0"/>
        <w:spacing w:line="360" w:lineRule="exact"/>
        <w:ind w:firstLine="480"/>
        <w:rPr>
          <w:rFonts w:hint="eastAsia" w:ascii="宋体" w:hAnsi="宋体" w:cs="宋体"/>
          <w:sz w:val="24"/>
          <w:lang w:eastAsia="zh-CN"/>
        </w:rPr>
      </w:pPr>
    </w:p>
    <w:p w14:paraId="23324DF6">
      <w:pPr>
        <w:pStyle w:val="36"/>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3"/>
        <w:rPr>
          <w:rFonts w:hint="eastAsia" w:ascii="宋体" w:hAnsi="宋体" w:cs="宋体"/>
          <w:kern w:val="0"/>
          <w:position w:val="-3"/>
          <w:sz w:val="30"/>
          <w:szCs w:val="30"/>
        </w:rPr>
      </w:pPr>
    </w:p>
    <w:p w14:paraId="3D4F1C95">
      <w:pPr>
        <w:pStyle w:val="3"/>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85EEF9D">
      <w:pPr>
        <w:pStyle w:val="8"/>
        <w:rPr>
          <w:rFonts w:hint="eastAsia"/>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620D89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8150AC5">
      <w:pPr>
        <w:spacing w:line="480" w:lineRule="auto"/>
        <w:rPr>
          <w:rFonts w:hint="eastAsia" w:ascii="宋体" w:hAnsi="宋体"/>
          <w:b/>
          <w:bCs/>
          <w:sz w:val="44"/>
          <w:szCs w:val="44"/>
        </w:rPr>
      </w:pPr>
      <w:r>
        <w:rPr>
          <w:rFonts w:hint="eastAsia" w:ascii="宋体" w:hAnsi="宋体" w:cs="宋体"/>
          <w:sz w:val="24"/>
          <w:szCs w:val="24"/>
        </w:rPr>
        <w:t xml:space="preserve">                            </w:t>
      </w:r>
    </w:p>
    <w:p w14:paraId="4AA4E77D">
      <w:pPr>
        <w:spacing w:before="37" w:line="364" w:lineRule="auto"/>
        <w:ind w:left="0" w:leftChars="0" w:right="36" w:rightChars="0" w:firstLine="0" w:firstLineChars="0"/>
        <w:jc w:val="center"/>
        <w:rPr>
          <w:rFonts w:hint="eastAsia"/>
          <w:b/>
          <w:sz w:val="44"/>
          <w:lang w:val="en-US"/>
        </w:rPr>
      </w:pPr>
      <w:r>
        <w:rPr>
          <w:rFonts w:hint="eastAsia"/>
          <w:b/>
          <w:sz w:val="44"/>
          <w:lang w:val="en-US"/>
        </w:rPr>
        <w:t>中山大学孙逸仙纪念医院</w:t>
      </w:r>
    </w:p>
    <w:p w14:paraId="4DF3A2BF">
      <w:pPr>
        <w:spacing w:before="37" w:line="364" w:lineRule="auto"/>
        <w:ind w:left="0" w:leftChars="0" w:right="36" w:rightChars="0" w:firstLine="0" w:firstLineChars="0"/>
        <w:jc w:val="center"/>
        <w:rPr>
          <w:b/>
          <w:sz w:val="44"/>
        </w:rPr>
      </w:pPr>
      <w:r>
        <w:rPr>
          <w:rFonts w:hint="eastAsia"/>
          <w:b/>
          <w:sz w:val="44"/>
          <w:lang w:val="en-US"/>
        </w:rPr>
        <w:t>2026年度工程</w:t>
      </w:r>
      <w:r>
        <w:rPr>
          <w:rFonts w:hint="eastAsia"/>
          <w:b/>
          <w:sz w:val="44"/>
          <w:lang w:val="en-US" w:eastAsia="zh-CN"/>
        </w:rPr>
        <w:t>项目</w:t>
      </w:r>
      <w:r>
        <w:rPr>
          <w:rFonts w:hint="eastAsia"/>
          <w:b/>
          <w:sz w:val="44"/>
          <w:lang w:val="en-US"/>
        </w:rPr>
        <w:t>监理服务</w:t>
      </w:r>
      <w:r>
        <w:rPr>
          <w:rFonts w:hint="eastAsia"/>
          <w:b/>
          <w:sz w:val="44"/>
          <w:lang w:val="en-US" w:eastAsia="zh-CN"/>
        </w:rPr>
        <w:t>采购</w:t>
      </w:r>
      <w:r>
        <w:rPr>
          <w:rFonts w:hint="eastAsia"/>
          <w:b/>
          <w:sz w:val="44"/>
          <w:lang w:val="en-US"/>
        </w:rPr>
        <w:t>项目</w:t>
      </w:r>
    </w:p>
    <w:p w14:paraId="771A92C8">
      <w:pPr>
        <w:pStyle w:val="3"/>
        <w:spacing w:before="5"/>
        <w:ind w:left="0"/>
        <w:rPr>
          <w:b/>
          <w:sz w:val="36"/>
        </w:rPr>
      </w:pPr>
    </w:p>
    <w:p w14:paraId="5136B8C0">
      <w:pPr>
        <w:tabs>
          <w:tab w:val="left" w:pos="9040"/>
        </w:tabs>
        <w:ind w:left="0" w:leftChars="0" w:right="36" w:rightChars="0" w:firstLine="0" w:firstLineChars="0"/>
        <w:jc w:val="center"/>
        <w:rPr>
          <w:b/>
          <w:sz w:val="84"/>
        </w:rPr>
      </w:pPr>
      <w:r>
        <w:rPr>
          <w:b/>
          <w:sz w:val="84"/>
        </w:rPr>
        <w:t>委托监理合同</w:t>
      </w:r>
    </w:p>
    <w:p w14:paraId="3A179EF3">
      <w:pPr>
        <w:pStyle w:val="10"/>
        <w:tabs>
          <w:tab w:val="left" w:pos="9040"/>
          <w:tab w:val="clear" w:pos="851"/>
        </w:tabs>
        <w:spacing w:before="558"/>
        <w:ind w:left="0" w:leftChars="0" w:firstLine="0" w:firstLineChars="0"/>
        <w:jc w:val="center"/>
        <w:rPr>
          <w:rFonts w:hint="default" w:ascii="Times New Roman" w:eastAsia="宋体"/>
          <w:u w:val="single"/>
          <w:lang w:val="en-US" w:eastAsia="zh-CN"/>
        </w:rPr>
      </w:pPr>
      <w:r>
        <w:t>合同编号：</w:t>
      </w:r>
    </w:p>
    <w:p w14:paraId="50322BA6">
      <w:pPr>
        <w:pStyle w:val="3"/>
        <w:ind w:left="0"/>
        <w:rPr>
          <w:rFonts w:ascii="Times New Roman"/>
          <w:b/>
          <w:sz w:val="20"/>
        </w:rPr>
      </w:pPr>
    </w:p>
    <w:p w14:paraId="047DE052">
      <w:pPr>
        <w:pStyle w:val="3"/>
        <w:ind w:left="0"/>
        <w:rPr>
          <w:rFonts w:ascii="Times New Roman"/>
          <w:b/>
          <w:sz w:val="20"/>
        </w:rPr>
      </w:pPr>
    </w:p>
    <w:p w14:paraId="47867DB6">
      <w:pPr>
        <w:pStyle w:val="3"/>
        <w:ind w:left="0"/>
        <w:rPr>
          <w:rFonts w:ascii="Times New Roman"/>
          <w:b/>
          <w:sz w:val="20"/>
        </w:rPr>
      </w:pPr>
    </w:p>
    <w:p w14:paraId="34D5E601">
      <w:pPr>
        <w:pStyle w:val="3"/>
        <w:ind w:left="0"/>
        <w:rPr>
          <w:rFonts w:ascii="Times New Roman"/>
          <w:b/>
          <w:sz w:val="20"/>
        </w:rPr>
      </w:pPr>
    </w:p>
    <w:p w14:paraId="639DF5EE">
      <w:pPr>
        <w:pStyle w:val="3"/>
        <w:ind w:left="0"/>
        <w:rPr>
          <w:rFonts w:ascii="Times New Roman"/>
          <w:b/>
          <w:sz w:val="20"/>
        </w:rPr>
      </w:pPr>
    </w:p>
    <w:p w14:paraId="40C4A304">
      <w:pPr>
        <w:pStyle w:val="3"/>
        <w:ind w:left="0"/>
        <w:rPr>
          <w:rFonts w:ascii="Times New Roman"/>
          <w:b/>
          <w:sz w:val="20"/>
        </w:rPr>
      </w:pPr>
    </w:p>
    <w:p w14:paraId="46DEDFE0">
      <w:pPr>
        <w:pStyle w:val="3"/>
        <w:ind w:left="0"/>
        <w:rPr>
          <w:rFonts w:ascii="Times New Roman"/>
          <w:b/>
          <w:sz w:val="20"/>
        </w:rPr>
      </w:pPr>
    </w:p>
    <w:p w14:paraId="2707F082">
      <w:pPr>
        <w:pStyle w:val="3"/>
        <w:ind w:left="0"/>
        <w:rPr>
          <w:rFonts w:ascii="Times New Roman"/>
          <w:b/>
          <w:sz w:val="20"/>
        </w:rPr>
      </w:pPr>
    </w:p>
    <w:p w14:paraId="2F891B9D">
      <w:pPr>
        <w:pStyle w:val="4"/>
        <w:rPr>
          <w:rFonts w:ascii="Times New Roman"/>
          <w:b/>
          <w:sz w:val="20"/>
        </w:rPr>
      </w:pPr>
    </w:p>
    <w:p w14:paraId="2ED7BD48">
      <w:pPr>
        <w:pStyle w:val="4"/>
        <w:rPr>
          <w:rFonts w:ascii="Times New Roman"/>
          <w:b/>
          <w:sz w:val="20"/>
        </w:rPr>
      </w:pPr>
    </w:p>
    <w:p w14:paraId="04FF2C7F">
      <w:pPr>
        <w:pStyle w:val="3"/>
        <w:ind w:left="0"/>
        <w:rPr>
          <w:rFonts w:ascii="Times New Roman"/>
          <w:b/>
          <w:sz w:val="20"/>
        </w:rPr>
      </w:pPr>
    </w:p>
    <w:p w14:paraId="27B56176">
      <w:pPr>
        <w:pStyle w:val="3"/>
        <w:ind w:left="0"/>
        <w:rPr>
          <w:rFonts w:ascii="Times New Roman"/>
          <w:b/>
          <w:sz w:val="20"/>
        </w:rPr>
      </w:pPr>
    </w:p>
    <w:p w14:paraId="75516A2A">
      <w:pPr>
        <w:pStyle w:val="3"/>
        <w:ind w:left="0"/>
        <w:rPr>
          <w:rFonts w:ascii="Times New Roman"/>
          <w:b/>
          <w:sz w:val="20"/>
        </w:rPr>
      </w:pPr>
    </w:p>
    <w:p w14:paraId="53D37F54">
      <w:pPr>
        <w:pStyle w:val="3"/>
        <w:ind w:left="0"/>
        <w:rPr>
          <w:rFonts w:ascii="Times New Roman"/>
          <w:b/>
          <w:sz w:val="20"/>
        </w:rPr>
      </w:pPr>
    </w:p>
    <w:p w14:paraId="467EA4B8">
      <w:pPr>
        <w:pStyle w:val="3"/>
        <w:ind w:left="0"/>
        <w:rPr>
          <w:rFonts w:ascii="Times New Roman"/>
          <w:b/>
          <w:sz w:val="20"/>
        </w:rPr>
      </w:pPr>
    </w:p>
    <w:p w14:paraId="60C4197C">
      <w:pPr>
        <w:pStyle w:val="3"/>
        <w:ind w:left="0"/>
        <w:rPr>
          <w:rFonts w:ascii="Times New Roman"/>
          <w:b/>
          <w:sz w:val="20"/>
        </w:rPr>
      </w:pPr>
    </w:p>
    <w:p w14:paraId="011A9D88">
      <w:pPr>
        <w:pStyle w:val="3"/>
        <w:spacing w:before="10"/>
        <w:ind w:left="0"/>
        <w:rPr>
          <w:rFonts w:ascii="Times New Roman"/>
          <w:b/>
          <w:sz w:val="17"/>
        </w:rPr>
      </w:pPr>
    </w:p>
    <w:p w14:paraId="56639C2D">
      <w:pPr>
        <w:tabs>
          <w:tab w:val="left" w:pos="4101"/>
          <w:tab w:val="left" w:pos="7833"/>
          <w:tab w:val="left" w:pos="7886"/>
        </w:tabs>
        <w:spacing w:before="55" w:line="364" w:lineRule="auto"/>
        <w:ind w:left="2349" w:right="2038" w:hanging="36"/>
        <w:rPr>
          <w:bCs/>
          <w:sz w:val="32"/>
          <w:u w:val="single"/>
        </w:rPr>
      </w:pPr>
      <w:r>
        <w:rPr>
          <w:b/>
          <w:sz w:val="32"/>
        </w:rPr>
        <w:t>委托人：</w:t>
      </w:r>
      <w:r>
        <w:rPr>
          <w:rFonts w:hint="eastAsia"/>
          <w:bCs/>
          <w:sz w:val="32"/>
          <w:u w:val="single"/>
        </w:rPr>
        <w:t>中山大学孙逸仙纪念医院</w:t>
      </w:r>
    </w:p>
    <w:p w14:paraId="64838BBC">
      <w:pPr>
        <w:tabs>
          <w:tab w:val="left" w:pos="4101"/>
          <w:tab w:val="left" w:pos="7833"/>
          <w:tab w:val="left" w:pos="7886"/>
        </w:tabs>
        <w:spacing w:before="55" w:line="364" w:lineRule="auto"/>
        <w:ind w:left="2349" w:right="2038" w:hanging="36"/>
        <w:rPr>
          <w:rFonts w:ascii="Times New Roman"/>
          <w:bCs/>
          <w:sz w:val="32"/>
          <w:lang w:val="en-US"/>
        </w:rPr>
      </w:pPr>
      <w:r>
        <w:rPr>
          <w:b/>
          <w:sz w:val="32"/>
        </w:rPr>
        <w:t>监理人：</w:t>
      </w:r>
      <w:r>
        <w:rPr>
          <w:rFonts w:hint="eastAsia" w:ascii="Times New Roman"/>
          <w:bCs/>
          <w:sz w:val="32"/>
          <w:u w:val="single"/>
          <w:lang w:val="en-US"/>
        </w:rPr>
        <w:t xml:space="preserve">                      </w:t>
      </w:r>
    </w:p>
    <w:p w14:paraId="0DACC40C">
      <w:pPr>
        <w:spacing w:line="364" w:lineRule="auto"/>
        <w:rPr>
          <w:rFonts w:ascii="Times New Roman" w:eastAsia="Times New Roman"/>
          <w:bCs/>
          <w:sz w:val="32"/>
        </w:rPr>
      </w:pPr>
    </w:p>
    <w:p w14:paraId="201D8F18">
      <w:pPr>
        <w:pStyle w:val="2"/>
        <w:rPr>
          <w:rFonts w:ascii="Times New Roman" w:eastAsia="Times New Roman"/>
          <w:bCs/>
          <w:sz w:val="32"/>
        </w:rPr>
      </w:pPr>
    </w:p>
    <w:p w14:paraId="3857E600">
      <w:pPr>
        <w:pStyle w:val="5"/>
        <w:ind w:firstLine="640"/>
        <w:rPr>
          <w:rFonts w:ascii="Times New Roman" w:eastAsia="Times New Roman"/>
          <w:bCs/>
          <w:sz w:val="32"/>
        </w:rPr>
      </w:pPr>
    </w:p>
    <w:p w14:paraId="2A333EE9">
      <w:pPr>
        <w:pStyle w:val="7"/>
        <w:rPr>
          <w:rFonts w:ascii="Times New Roman" w:eastAsia="Times New Roman"/>
          <w:bCs/>
          <w:sz w:val="32"/>
        </w:rPr>
      </w:pPr>
    </w:p>
    <w:p w14:paraId="13B6E076">
      <w:pPr>
        <w:pStyle w:val="7"/>
        <w:rPr>
          <w:rFonts w:ascii="Times New Roman" w:eastAsia="Times New Roman"/>
          <w:bCs/>
          <w:sz w:val="32"/>
        </w:rPr>
      </w:pPr>
    </w:p>
    <w:p w14:paraId="510BF1CF">
      <w:pPr>
        <w:pStyle w:val="7"/>
        <w:rPr>
          <w:rFonts w:ascii="Times New Roman"/>
          <w:bCs/>
          <w:sz w:val="32"/>
          <w:lang w:val="en-US"/>
        </w:rPr>
        <w:sectPr>
          <w:footerReference r:id="rId5" w:type="default"/>
          <w:pgSz w:w="11910" w:h="16840"/>
          <w:pgMar w:top="1134" w:right="1037" w:bottom="1037" w:left="1134" w:header="720" w:footer="917" w:gutter="0"/>
          <w:pgNumType w:fmt="decimal"/>
          <w:cols w:space="720" w:num="1"/>
        </w:sectPr>
      </w:pPr>
    </w:p>
    <w:p w14:paraId="788103EC">
      <w:pPr>
        <w:pStyle w:val="9"/>
        <w:jc w:val="center"/>
        <w:rPr>
          <w:rFonts w:hint="eastAsia" w:ascii="宋体" w:hAnsi="宋体" w:eastAsia="宋体" w:cs="宋体"/>
        </w:rPr>
      </w:pPr>
      <w:r>
        <w:rPr>
          <w:rFonts w:hint="eastAsia" w:ascii="宋体" w:hAnsi="宋体" w:eastAsia="宋体" w:cs="宋体"/>
        </w:rPr>
        <w:t>目</w:t>
      </w:r>
      <w:r>
        <w:rPr>
          <w:rFonts w:hint="eastAsia" w:ascii="宋体" w:hAnsi="宋体" w:eastAsia="宋体" w:cs="宋体"/>
        </w:rPr>
        <w:tab/>
      </w:r>
      <w:r>
        <w:rPr>
          <w:rFonts w:hint="eastAsia" w:ascii="宋体" w:hAnsi="宋体" w:eastAsia="宋体" w:cs="宋体"/>
          <w:lang w:val="en-US" w:eastAsia="zh-CN"/>
        </w:rPr>
        <w:t xml:space="preserve">  </w:t>
      </w:r>
      <w:r>
        <w:rPr>
          <w:rFonts w:hint="eastAsia" w:ascii="宋体" w:hAnsi="宋体" w:eastAsia="宋体" w:cs="宋体"/>
        </w:rPr>
        <w:t>录</w:t>
      </w:r>
    </w:p>
    <w:p w14:paraId="0CF31D8E">
      <w:pPr>
        <w:pStyle w:val="25"/>
        <w:tabs>
          <w:tab w:val="left" w:pos="1483"/>
          <w:tab w:val="right" w:leader="dot" w:pos="8820"/>
          <w:tab w:val="clear" w:pos="1050"/>
          <w:tab w:val="clear" w:pos="9232"/>
        </w:tabs>
        <w:spacing w:before="705"/>
        <w:ind w:left="420" w:leftChars="200" w:firstLine="0" w:firstLineChars="0"/>
        <w:rPr>
          <w:rFonts w:hint="default" w:ascii="宋体" w:hAnsi="宋体" w:eastAsia="宋体" w:cs="宋体"/>
          <w:b w:val="0"/>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"_TOC_250003" </w:instrText>
      </w:r>
      <w:r>
        <w:rPr>
          <w:rFonts w:hint="eastAsia" w:ascii="宋体" w:hAnsi="宋体" w:eastAsia="宋体" w:cs="宋体"/>
          <w:sz w:val="24"/>
          <w:szCs w:val="24"/>
        </w:rPr>
        <w:fldChar w:fldCharType="separate"/>
      </w:r>
      <w:r>
        <w:rPr>
          <w:rFonts w:hint="eastAsia" w:ascii="宋体" w:hAnsi="宋体" w:eastAsia="宋体" w:cs="宋体"/>
          <w:sz w:val="24"/>
          <w:szCs w:val="24"/>
        </w:rPr>
        <w:t>第一部分</w:t>
      </w:r>
      <w:r>
        <w:rPr>
          <w:rFonts w:hint="eastAsia" w:ascii="宋体" w:hAnsi="宋体" w:eastAsia="宋体" w:cs="宋体"/>
          <w:sz w:val="24"/>
          <w:szCs w:val="24"/>
        </w:rPr>
        <w:tab/>
      </w:r>
      <w:r>
        <w:rPr>
          <w:rFonts w:hint="eastAsia" w:ascii="宋体" w:hAnsi="宋体" w:eastAsia="宋体" w:cs="宋体"/>
          <w:sz w:val="24"/>
          <w:szCs w:val="24"/>
        </w:rPr>
        <w:t>委托监理协议书</w:t>
      </w:r>
      <w:r>
        <w:rPr>
          <w:rFonts w:hint="eastAsia" w:ascii="宋体" w:hAnsi="宋体" w:eastAsia="宋体" w:cs="宋体"/>
          <w:b w:val="0"/>
          <w:sz w:val="24"/>
          <w:szCs w:val="24"/>
        </w:rPr>
        <w:fldChar w:fldCharType="end"/>
      </w:r>
    </w:p>
    <w:p w14:paraId="000FD7F8">
      <w:pPr>
        <w:pStyle w:val="25"/>
        <w:tabs>
          <w:tab w:val="left" w:pos="1483"/>
          <w:tab w:val="right" w:leader="dot" w:pos="8807"/>
          <w:tab w:val="clear" w:pos="1050"/>
          <w:tab w:val="clear" w:pos="9232"/>
        </w:tabs>
        <w:spacing w:before="161"/>
        <w:ind w:left="420" w:leftChars="200" w:firstLine="0" w:firstLineChars="0"/>
        <w:rPr>
          <w:rFonts w:hint="default" w:ascii="宋体" w:hAnsi="宋体" w:eastAsia="宋体" w:cs="宋体"/>
          <w:b w:val="0"/>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"_TOC_250002" </w:instrText>
      </w:r>
      <w:r>
        <w:rPr>
          <w:rFonts w:hint="eastAsia" w:ascii="宋体" w:hAnsi="宋体" w:eastAsia="宋体" w:cs="宋体"/>
          <w:sz w:val="24"/>
          <w:szCs w:val="24"/>
        </w:rPr>
        <w:fldChar w:fldCharType="separate"/>
      </w:r>
      <w:r>
        <w:rPr>
          <w:rFonts w:hint="eastAsia" w:ascii="宋体" w:hAnsi="宋体" w:eastAsia="宋体" w:cs="宋体"/>
          <w:sz w:val="24"/>
          <w:szCs w:val="24"/>
        </w:rPr>
        <w:t>第二部分</w:t>
      </w:r>
      <w:r>
        <w:rPr>
          <w:rFonts w:hint="eastAsia" w:ascii="宋体" w:hAnsi="宋体" w:eastAsia="宋体" w:cs="宋体"/>
          <w:sz w:val="24"/>
          <w:szCs w:val="24"/>
        </w:rPr>
        <w:tab/>
      </w:r>
      <w:r>
        <w:rPr>
          <w:rFonts w:hint="eastAsia" w:ascii="宋体" w:hAnsi="宋体" w:eastAsia="宋体" w:cs="宋体"/>
          <w:sz w:val="24"/>
          <w:szCs w:val="24"/>
        </w:rPr>
        <w:t>通用条款</w:t>
      </w:r>
      <w:r>
        <w:rPr>
          <w:rFonts w:hint="eastAsia" w:ascii="宋体" w:hAnsi="宋体" w:eastAsia="宋体" w:cs="宋体"/>
          <w:b w:val="0"/>
          <w:sz w:val="24"/>
          <w:szCs w:val="24"/>
        </w:rPr>
        <w:fldChar w:fldCharType="end"/>
      </w:r>
    </w:p>
    <w:p w14:paraId="6078E388">
      <w:pPr>
        <w:pStyle w:val="25"/>
        <w:tabs>
          <w:tab w:val="left" w:pos="1483"/>
          <w:tab w:val="right" w:leader="dot" w:pos="8820"/>
          <w:tab w:val="clear" w:pos="1050"/>
          <w:tab w:val="clear" w:pos="9232"/>
        </w:tabs>
        <w:ind w:left="420" w:leftChars="200" w:firstLine="0" w:firstLineChars="0"/>
        <w:rPr>
          <w:rFonts w:hint="default" w:ascii="宋体" w:hAnsi="宋体" w:eastAsia="宋体" w:cs="宋体"/>
          <w:b w:val="0"/>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"_TOC_250001" </w:instrText>
      </w:r>
      <w:r>
        <w:rPr>
          <w:rFonts w:hint="eastAsia" w:ascii="宋体" w:hAnsi="宋体" w:eastAsia="宋体" w:cs="宋体"/>
          <w:sz w:val="24"/>
          <w:szCs w:val="24"/>
        </w:rPr>
        <w:fldChar w:fldCharType="separate"/>
      </w:r>
      <w:r>
        <w:rPr>
          <w:rFonts w:hint="eastAsia" w:ascii="宋体" w:hAnsi="宋体" w:eastAsia="宋体" w:cs="宋体"/>
          <w:sz w:val="24"/>
          <w:szCs w:val="24"/>
        </w:rPr>
        <w:t>第三部分</w:t>
      </w:r>
      <w:r>
        <w:rPr>
          <w:rFonts w:hint="eastAsia" w:ascii="宋体" w:hAnsi="宋体" w:eastAsia="宋体" w:cs="宋体"/>
          <w:sz w:val="24"/>
          <w:szCs w:val="24"/>
        </w:rPr>
        <w:tab/>
      </w:r>
      <w:r>
        <w:rPr>
          <w:rFonts w:hint="eastAsia" w:ascii="宋体" w:hAnsi="宋体" w:eastAsia="宋体" w:cs="宋体"/>
          <w:sz w:val="24"/>
          <w:szCs w:val="24"/>
        </w:rPr>
        <w:t>专用条款</w:t>
      </w:r>
      <w:r>
        <w:rPr>
          <w:rFonts w:hint="eastAsia" w:ascii="宋体" w:hAnsi="宋体" w:eastAsia="宋体" w:cs="宋体"/>
          <w:b w:val="0"/>
          <w:sz w:val="24"/>
          <w:szCs w:val="24"/>
        </w:rPr>
        <w:fldChar w:fldCharType="end"/>
      </w:r>
    </w:p>
    <w:p w14:paraId="656D92D1">
      <w:pPr>
        <w:pStyle w:val="25"/>
        <w:tabs>
          <w:tab w:val="left" w:pos="1483"/>
          <w:tab w:val="right" w:leader="dot" w:pos="8807"/>
          <w:tab w:val="clear" w:pos="1050"/>
          <w:tab w:val="clear" w:pos="9232"/>
        </w:tabs>
        <w:spacing w:before="160"/>
        <w:ind w:left="420" w:leftChars="200" w:firstLine="0" w:firstLineChars="0"/>
        <w:rPr>
          <w:rFonts w:hint="default" w:ascii="宋体" w:hAnsi="宋体" w:eastAsia="宋体" w:cs="宋体"/>
          <w:b w:val="0"/>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"_TOC_250000" </w:instrText>
      </w:r>
      <w:r>
        <w:rPr>
          <w:rFonts w:hint="eastAsia" w:ascii="宋体" w:hAnsi="宋体" w:eastAsia="宋体" w:cs="宋体"/>
          <w:sz w:val="24"/>
          <w:szCs w:val="24"/>
        </w:rPr>
        <w:fldChar w:fldCharType="separate"/>
      </w:r>
      <w:r>
        <w:rPr>
          <w:rFonts w:hint="eastAsia" w:ascii="宋体" w:hAnsi="宋体" w:eastAsia="宋体" w:cs="宋体"/>
          <w:sz w:val="24"/>
          <w:szCs w:val="24"/>
        </w:rPr>
        <w:t>第四部分</w:t>
      </w:r>
      <w:r>
        <w:rPr>
          <w:rFonts w:hint="eastAsia" w:ascii="宋体" w:hAnsi="宋体" w:eastAsia="宋体" w:cs="宋体"/>
          <w:sz w:val="24"/>
          <w:szCs w:val="24"/>
        </w:rPr>
        <w:tab/>
      </w:r>
      <w:r>
        <w:rPr>
          <w:rFonts w:hint="eastAsia" w:ascii="宋体" w:hAnsi="宋体" w:eastAsia="宋体" w:cs="宋体"/>
          <w:sz w:val="24"/>
          <w:szCs w:val="24"/>
        </w:rPr>
        <w:t>合同附件</w:t>
      </w:r>
      <w:r>
        <w:rPr>
          <w:rFonts w:hint="eastAsia" w:ascii="宋体" w:hAnsi="宋体" w:eastAsia="宋体" w:cs="宋体"/>
          <w:b w:val="0"/>
          <w:sz w:val="24"/>
          <w:szCs w:val="24"/>
        </w:rPr>
        <w:fldChar w:fldCharType="end"/>
      </w:r>
    </w:p>
    <w:p w14:paraId="49BCDB29">
      <w:pPr>
        <w:pStyle w:val="3"/>
        <w:spacing w:before="158"/>
        <w:ind w:left="420" w:leftChars="200" w:firstLine="0" w:firstLineChars="0"/>
        <w:rPr>
          <w:rFonts w:hint="eastAsia" w:ascii="宋体" w:hAnsi="宋体" w:eastAsia="宋体" w:cs="宋体"/>
          <w:sz w:val="24"/>
          <w:szCs w:val="24"/>
        </w:rPr>
      </w:pPr>
      <w:r>
        <w:rPr>
          <w:rFonts w:hint="eastAsia" w:ascii="宋体" w:hAnsi="宋体" w:eastAsia="宋体" w:cs="宋体"/>
          <w:sz w:val="24"/>
          <w:szCs w:val="24"/>
        </w:rPr>
        <w:t>附件 1：</w:t>
      </w:r>
      <w:r>
        <w:rPr>
          <w:rFonts w:hint="eastAsia" w:ascii="宋体" w:hAnsi="宋体" w:cs="仿宋"/>
          <w:b w:val="0"/>
          <w:bCs w:val="0"/>
          <w:sz w:val="24"/>
          <w:szCs w:val="24"/>
          <w:lang w:eastAsia="zh-CN"/>
        </w:rPr>
        <w:t>供应商</w:t>
      </w:r>
      <w:r>
        <w:rPr>
          <w:rFonts w:hint="eastAsia" w:ascii="宋体" w:hAnsi="宋体" w:cs="仿宋"/>
          <w:b w:val="0"/>
          <w:bCs w:val="0"/>
          <w:sz w:val="24"/>
          <w:szCs w:val="24"/>
        </w:rPr>
        <w:t>廉洁守约承诺书</w:t>
      </w:r>
    </w:p>
    <w:p w14:paraId="2F818BE7">
      <w:pPr>
        <w:pStyle w:val="3"/>
        <w:spacing w:before="161" w:line="364" w:lineRule="auto"/>
        <w:ind w:left="420" w:leftChars="200" w:right="36" w:rightChars="0" w:firstLine="0" w:firstLineChars="0"/>
        <w:rPr>
          <w:rFonts w:hint="eastAsia" w:ascii="宋体" w:hAnsi="宋体" w:eastAsia="宋体" w:cs="宋体"/>
          <w:sz w:val="24"/>
          <w:szCs w:val="24"/>
        </w:rPr>
      </w:pPr>
      <w:r>
        <w:rPr>
          <w:rFonts w:hint="eastAsia" w:ascii="宋体" w:hAnsi="宋体" w:eastAsia="宋体" w:cs="宋体"/>
          <w:sz w:val="24"/>
          <w:szCs w:val="24"/>
        </w:rPr>
        <w:t>附件 2：项目监理机构及监理人员</w:t>
      </w:r>
    </w:p>
    <w:p w14:paraId="15902B8B">
      <w:pPr>
        <w:pStyle w:val="3"/>
        <w:spacing w:before="161" w:line="364" w:lineRule="auto"/>
        <w:ind w:left="420" w:leftChars="200" w:right="36" w:rightChars="0" w:firstLine="0" w:firstLineChars="0"/>
        <w:rPr>
          <w:rFonts w:hint="eastAsia" w:ascii="宋体" w:hAnsi="宋体" w:eastAsia="宋体" w:cs="宋体"/>
          <w:sz w:val="24"/>
          <w:szCs w:val="24"/>
        </w:rPr>
      </w:pPr>
      <w:r>
        <w:rPr>
          <w:rFonts w:hint="eastAsia" w:ascii="宋体" w:hAnsi="宋体" w:eastAsia="宋体" w:cs="宋体"/>
          <w:sz w:val="24"/>
          <w:szCs w:val="24"/>
        </w:rPr>
        <w:t>一、监理组织架构框图</w:t>
      </w:r>
    </w:p>
    <w:p w14:paraId="426297A0">
      <w:pPr>
        <w:pStyle w:val="3"/>
        <w:spacing w:line="306" w:lineRule="exact"/>
        <w:ind w:left="420" w:leftChars="200" w:firstLine="0" w:firstLineChars="0"/>
        <w:rPr>
          <w:rFonts w:hint="eastAsia" w:ascii="宋体" w:hAnsi="宋体" w:eastAsia="宋体" w:cs="宋体"/>
          <w:sz w:val="24"/>
          <w:szCs w:val="24"/>
        </w:rPr>
      </w:pPr>
      <w:r>
        <w:rPr>
          <w:rFonts w:hint="eastAsia" w:ascii="宋体" w:hAnsi="宋体" w:eastAsia="宋体" w:cs="宋体"/>
          <w:sz w:val="24"/>
          <w:szCs w:val="24"/>
        </w:rPr>
        <w:t>二、拟委派本项目驻场监理机构人员一览表</w:t>
      </w:r>
    </w:p>
    <w:p w14:paraId="123E1256">
      <w:pPr>
        <w:pStyle w:val="2"/>
        <w:ind w:left="420" w:leftChars="200" w:firstLine="0" w:firstLineChars="0"/>
        <w:rPr>
          <w:rFonts w:hint="eastAsia" w:ascii="宋体" w:hAnsi="宋体" w:eastAsia="宋体" w:cs="宋体"/>
          <w:sz w:val="24"/>
          <w:szCs w:val="24"/>
        </w:rPr>
        <w:sectPr>
          <w:pgSz w:w="11910" w:h="16840"/>
          <w:pgMar w:top="1134" w:right="1134" w:bottom="1037" w:left="1134" w:header="0" w:footer="917" w:gutter="0"/>
          <w:pgNumType w:fmt="decimal"/>
          <w:cols w:space="720" w:num="1"/>
        </w:sectPr>
      </w:pPr>
    </w:p>
    <w:p w14:paraId="7F0C883B">
      <w:pPr>
        <w:pStyle w:val="8"/>
        <w:tabs>
          <w:tab w:val="left" w:pos="2200"/>
        </w:tabs>
      </w:pPr>
      <w:r>
        <w:t>第一部分</w:t>
      </w:r>
      <w:r>
        <w:tab/>
      </w:r>
      <w:r>
        <w:t>委托监理协议书</w:t>
      </w:r>
    </w:p>
    <w:p w14:paraId="0080A739">
      <w:pPr>
        <w:pStyle w:val="3"/>
        <w:tabs>
          <w:tab w:val="left" w:pos="7761"/>
        </w:tabs>
        <w:spacing w:line="316" w:lineRule="auto"/>
        <w:ind w:right="226" w:firstLine="482"/>
        <w:jc w:val="both"/>
      </w:pPr>
      <w:r>
        <w:rPr>
          <w:rFonts w:hint="eastAsia"/>
          <w:b/>
          <w:u w:val="single"/>
        </w:rPr>
        <w:t>中山大学孙逸仙纪念医院</w:t>
      </w:r>
      <w:r>
        <w:t>（以下称委托人或甲方）与</w:t>
      </w:r>
      <w:r>
        <w:rPr>
          <w:rFonts w:hint="eastAsia"/>
          <w:b/>
          <w:bCs/>
          <w:u w:val="single"/>
          <w:lang w:val="en-US"/>
        </w:rPr>
        <w:t xml:space="preserve">                 </w:t>
      </w:r>
      <w:r>
        <w:t>（以下称监理人或乙方）依照《中华人民共和国</w:t>
      </w:r>
      <w:r>
        <w:rPr>
          <w:rFonts w:hint="eastAsia"/>
        </w:rPr>
        <w:t>民法典</w:t>
      </w:r>
      <w:r>
        <w:t>》《中华人民共和国建筑法》《中华人民共和国招标投标法》《中华人民共和国招标投标法实施条例》及其他有关法律、行政法规、部门规章、地方性法规和规章，遵循平等、自愿、公平和诚实信用的原则，双方就</w:t>
      </w:r>
      <w:r>
        <w:rPr>
          <w:rFonts w:hint="eastAsia"/>
          <w:b/>
          <w:u w:val="single"/>
          <w:lang w:val="en-US" w:eastAsia="zh-CN"/>
        </w:rPr>
        <w:t>中山大学孙逸仙纪念医</w:t>
      </w:r>
      <w:r>
        <w:rPr>
          <w:rFonts w:hint="eastAsia"/>
          <w:b/>
          <w:color w:val="auto"/>
          <w:u w:val="single"/>
          <w:lang w:val="en-US" w:eastAsia="zh-CN"/>
        </w:rPr>
        <w:t>院2026年度工程项目监理服务采</w:t>
      </w:r>
      <w:r>
        <w:rPr>
          <w:rFonts w:hint="eastAsia"/>
          <w:b/>
          <w:u w:val="single"/>
          <w:lang w:val="en-US" w:eastAsia="zh-CN"/>
        </w:rPr>
        <w:t>购项目</w:t>
      </w:r>
      <w:r>
        <w:t>委托监理事宜协商一致，订立本合同。</w:t>
      </w:r>
    </w:p>
    <w:p w14:paraId="15885D49">
      <w:pPr>
        <w:pStyle w:val="3"/>
        <w:spacing w:before="10"/>
        <w:ind w:left="0"/>
        <w:rPr>
          <w:sz w:val="25"/>
        </w:rPr>
      </w:pPr>
    </w:p>
    <w:p w14:paraId="3D35E5A7">
      <w:pPr>
        <w:pStyle w:val="14"/>
        <w:spacing w:before="67"/>
        <w:ind w:left="705" w:firstLine="0"/>
      </w:pPr>
      <w:r>
        <w:t>一、工程概况</w:t>
      </w:r>
    </w:p>
    <w:p w14:paraId="04AB36D5">
      <w:pPr>
        <w:pStyle w:val="43"/>
        <w:numPr>
          <w:ilvl w:val="0"/>
          <w:numId w:val="5"/>
        </w:numPr>
        <w:tabs>
          <w:tab w:val="left" w:pos="1185"/>
        </w:tabs>
        <w:spacing w:before="98"/>
        <w:ind w:left="1142" w:leftChars="0" w:firstLineChars="0"/>
        <w:rPr>
          <w:sz w:val="24"/>
        </w:rPr>
      </w:pPr>
      <w:r>
        <w:rPr>
          <w:sz w:val="24"/>
        </w:rPr>
        <w:t>工程名称：</w:t>
      </w:r>
      <w:r>
        <w:rPr>
          <w:rFonts w:hint="eastAsia"/>
          <w:sz w:val="24"/>
          <w:u w:val="single"/>
          <w:lang w:val="en-US"/>
        </w:rPr>
        <w:t>中山大学孙逸仙纪念医院2026年度工程</w:t>
      </w:r>
      <w:r>
        <w:rPr>
          <w:rFonts w:hint="eastAsia"/>
          <w:sz w:val="24"/>
          <w:u w:val="single"/>
          <w:lang w:val="en-US" w:eastAsia="zh-CN"/>
        </w:rPr>
        <w:t>项目监理服务采购项目</w:t>
      </w:r>
      <w:r>
        <w:rPr>
          <w:sz w:val="24"/>
        </w:rPr>
        <w:t>（简称本合同工程）。</w:t>
      </w:r>
    </w:p>
    <w:p w14:paraId="2A5AE09A">
      <w:pPr>
        <w:pStyle w:val="43"/>
        <w:numPr>
          <w:ilvl w:val="0"/>
          <w:numId w:val="5"/>
        </w:numPr>
        <w:tabs>
          <w:tab w:val="left" w:pos="1185"/>
        </w:tabs>
        <w:spacing w:before="95"/>
        <w:ind w:left="1142" w:leftChars="0" w:firstLineChars="0"/>
        <w:rPr>
          <w:sz w:val="24"/>
        </w:rPr>
      </w:pPr>
      <w:r>
        <w:rPr>
          <w:sz w:val="24"/>
        </w:rPr>
        <w:t>工程地点：</w:t>
      </w:r>
      <w:r>
        <w:rPr>
          <w:rFonts w:hint="eastAsia"/>
          <w:sz w:val="24"/>
          <w:u w:val="single"/>
          <w:lang w:val="en-US"/>
        </w:rPr>
        <w:t>中山大学孙逸仙纪念医院南院区、北院区、花都院区以</w:t>
      </w:r>
      <w:r>
        <w:rPr>
          <w:rFonts w:hint="eastAsia"/>
          <w:color w:val="auto"/>
          <w:sz w:val="24"/>
          <w:u w:val="single"/>
          <w:lang w:val="en-US"/>
        </w:rPr>
        <w:t>及医院其他物业</w:t>
      </w:r>
      <w:r>
        <w:rPr>
          <w:rFonts w:hint="eastAsia" w:ascii="宋体" w:hAnsi="宋体" w:cs="宋体"/>
          <w:bCs/>
          <w:sz w:val="24"/>
          <w:lang w:val="en-US" w:eastAsia="zh-CN"/>
        </w:rPr>
        <w:t>（包括租赁物业）</w:t>
      </w:r>
      <w:r>
        <w:rPr>
          <w:sz w:val="24"/>
          <w:u w:val="single"/>
          <w:lang w:val="en-US"/>
        </w:rPr>
        <w:t>等</w:t>
      </w:r>
      <w:r>
        <w:rPr>
          <w:sz w:val="24"/>
        </w:rPr>
        <w:t>。</w:t>
      </w:r>
    </w:p>
    <w:p w14:paraId="41FE03EA">
      <w:pPr>
        <w:pStyle w:val="43"/>
        <w:numPr>
          <w:ilvl w:val="0"/>
          <w:numId w:val="5"/>
        </w:numPr>
        <w:tabs>
          <w:tab w:val="left" w:pos="1305"/>
        </w:tabs>
        <w:spacing w:before="178"/>
        <w:ind w:left="1142" w:leftChars="0" w:firstLineChars="0"/>
      </w:pPr>
      <w:r>
        <w:rPr>
          <w:sz w:val="24"/>
        </w:rPr>
        <w:t>工程规模：</w:t>
      </w:r>
      <w:r>
        <w:rPr>
          <w:rFonts w:hint="eastAsia"/>
          <w:sz w:val="24"/>
          <w:u w:val="single"/>
          <w:lang w:val="en-US" w:eastAsia="zh-CN"/>
        </w:rPr>
        <w:t>医院</w:t>
      </w:r>
      <w:r>
        <w:rPr>
          <w:sz w:val="24"/>
          <w:u w:val="single"/>
        </w:rPr>
        <w:t>202</w:t>
      </w:r>
      <w:r>
        <w:rPr>
          <w:rFonts w:hint="eastAsia"/>
          <w:sz w:val="24"/>
          <w:u w:val="single"/>
          <w:lang w:val="en-US" w:eastAsia="zh-CN"/>
        </w:rPr>
        <w:t>6</w:t>
      </w:r>
      <w:r>
        <w:rPr>
          <w:sz w:val="24"/>
          <w:u w:val="single"/>
        </w:rPr>
        <w:t>年度小型项目（按计费费率乘以工程造价得出监理费低于20万元的项目）</w:t>
      </w:r>
    </w:p>
    <w:p w14:paraId="74ACF07E">
      <w:pPr>
        <w:pStyle w:val="43"/>
        <w:numPr>
          <w:ilvl w:val="0"/>
          <w:numId w:val="5"/>
        </w:numPr>
        <w:tabs>
          <w:tab w:val="left" w:pos="1305"/>
        </w:tabs>
        <w:spacing w:before="178"/>
        <w:ind w:left="1142" w:leftChars="0" w:firstLineChars="0"/>
      </w:pPr>
      <w:r>
        <w:rPr>
          <w:sz w:val="24"/>
        </w:rPr>
        <w:t>在合同履行期内，委托人有权</w:t>
      </w:r>
      <w:r>
        <w:rPr>
          <w:rFonts w:hint="eastAsia"/>
          <w:sz w:val="24"/>
        </w:rPr>
        <w:t>按需选择监理服务，以委托人发出的委托函为准</w:t>
      </w:r>
      <w:r>
        <w:rPr>
          <w:sz w:val="24"/>
        </w:rPr>
        <w:t>。</w:t>
      </w:r>
    </w:p>
    <w:p w14:paraId="492ADA45">
      <w:pPr>
        <w:pStyle w:val="43"/>
        <w:numPr>
          <w:ilvl w:val="0"/>
          <w:numId w:val="5"/>
        </w:numPr>
        <w:tabs>
          <w:tab w:val="left" w:pos="1185"/>
        </w:tabs>
        <w:spacing w:before="98"/>
        <w:ind w:left="1142" w:leftChars="0" w:firstLineChars="0"/>
        <w:rPr>
          <w:sz w:val="24"/>
        </w:rPr>
      </w:pPr>
      <w:r>
        <w:rPr>
          <w:sz w:val="24"/>
        </w:rPr>
        <w:t>工程建安费估算：</w:t>
      </w:r>
      <w:r>
        <w:rPr>
          <w:rFonts w:hint="eastAsia" w:ascii="宋体" w:hAnsi="宋体" w:eastAsia="宋体" w:cs="宋体"/>
          <w:bCs/>
          <w:color w:val="auto"/>
          <w:sz w:val="24"/>
          <w:lang w:val="en-US" w:eastAsia="zh-CN"/>
        </w:rPr>
        <w:t>2026年拟开展的工程项目中需要</w:t>
      </w:r>
      <w:r>
        <w:rPr>
          <w:rFonts w:hint="eastAsia" w:ascii="宋体" w:hAnsi="宋体" w:cs="宋体"/>
          <w:bCs/>
          <w:color w:val="auto"/>
          <w:sz w:val="24"/>
          <w:lang w:val="en-US" w:eastAsia="zh-CN"/>
        </w:rPr>
        <w:t>监理</w:t>
      </w:r>
      <w:r>
        <w:rPr>
          <w:rFonts w:hint="eastAsia" w:ascii="宋体" w:hAnsi="宋体" w:eastAsia="宋体" w:cs="宋体"/>
          <w:bCs/>
          <w:color w:val="auto"/>
          <w:sz w:val="24"/>
          <w:lang w:val="en-US" w:eastAsia="zh-CN"/>
        </w:rPr>
        <w:t>且</w:t>
      </w:r>
      <w:r>
        <w:rPr>
          <w:rFonts w:hint="eastAsia" w:ascii="宋体" w:hAnsi="宋体" w:cs="宋体"/>
          <w:bCs/>
          <w:color w:val="auto"/>
          <w:sz w:val="24"/>
          <w:lang w:val="en-US" w:eastAsia="zh-CN"/>
        </w:rPr>
        <w:t>监理</w:t>
      </w:r>
      <w:r>
        <w:rPr>
          <w:rFonts w:hint="eastAsia" w:ascii="宋体" w:hAnsi="宋体" w:eastAsia="宋体" w:cs="宋体"/>
          <w:bCs/>
          <w:color w:val="auto"/>
          <w:sz w:val="24"/>
          <w:lang w:val="en-US" w:eastAsia="zh-CN"/>
        </w:rPr>
        <w:t>费小于20万元的项目施工合同总金额约2</w:t>
      </w:r>
      <w:r>
        <w:rPr>
          <w:rFonts w:hint="eastAsia" w:ascii="宋体" w:hAnsi="宋体" w:cs="宋体"/>
          <w:bCs/>
          <w:color w:val="auto"/>
          <w:sz w:val="24"/>
          <w:lang w:val="en-US" w:eastAsia="zh-CN"/>
        </w:rPr>
        <w:t>953</w:t>
      </w:r>
      <w:r>
        <w:rPr>
          <w:rFonts w:hint="eastAsia" w:ascii="宋体" w:hAnsi="宋体" w:eastAsia="宋体" w:cs="宋体"/>
          <w:bCs/>
          <w:color w:val="auto"/>
          <w:sz w:val="24"/>
          <w:lang w:val="en-US" w:eastAsia="zh-CN"/>
        </w:rPr>
        <w:t>万元</w:t>
      </w:r>
      <w:r>
        <w:rPr>
          <w:rFonts w:hint="eastAsia"/>
          <w:sz w:val="24"/>
          <w:u w:val="none"/>
          <w:lang w:val="en-US" w:eastAsia="zh-CN"/>
        </w:rPr>
        <w:t>。</w:t>
      </w:r>
      <w:r>
        <w:rPr>
          <w:rFonts w:hint="eastAsia"/>
          <w:sz w:val="24"/>
          <w:u w:val="single"/>
          <w:lang w:val="en-US"/>
        </w:rPr>
        <w:t>实际的项目数量、项目总投资金额可能会因项目的具体情况而有所不同，仅供参考。</w:t>
      </w:r>
    </w:p>
    <w:p w14:paraId="13C8E3A3">
      <w:pPr>
        <w:pStyle w:val="43"/>
        <w:numPr>
          <w:ilvl w:val="0"/>
          <w:numId w:val="5"/>
        </w:numPr>
        <w:tabs>
          <w:tab w:val="left" w:pos="1185"/>
        </w:tabs>
        <w:spacing w:before="96"/>
        <w:ind w:left="1142" w:leftChars="0" w:hanging="602" w:firstLineChars="0"/>
        <w:rPr>
          <w:sz w:val="24"/>
        </w:rPr>
      </w:pPr>
      <w:r>
        <w:rPr>
          <w:sz w:val="24"/>
        </w:rPr>
        <w:t>监理目标：</w:t>
      </w:r>
    </w:p>
    <w:p w14:paraId="160AC441">
      <w:pPr>
        <w:pStyle w:val="3"/>
        <w:spacing w:before="177" w:line="364" w:lineRule="auto"/>
        <w:ind w:left="225" w:right="230" w:firstLine="580"/>
      </w:pPr>
      <w:r>
        <w:t>①质量控制目标：按照国家最新颁布《建筑工程施工质量验收统一标准》及相应配套的各专业验收规范，一次验收合格。</w:t>
      </w:r>
    </w:p>
    <w:p w14:paraId="0AC01893">
      <w:pPr>
        <w:pStyle w:val="3"/>
        <w:spacing w:before="2" w:line="364" w:lineRule="auto"/>
        <w:ind w:left="225" w:right="230" w:firstLine="580"/>
        <w:jc w:val="both"/>
        <w:rPr>
          <w:color w:val="000000"/>
        </w:rPr>
      </w:pPr>
      <w:r>
        <w:t>②进度控制目标：</w:t>
      </w:r>
      <w:r>
        <w:rPr>
          <w:rFonts w:hint="eastAsia"/>
          <w:color w:val="000000"/>
        </w:rPr>
        <w:t>以各项目施工合同约定的工期为准</w:t>
      </w:r>
      <w:r>
        <w:rPr>
          <w:color w:val="000000"/>
        </w:rPr>
        <w:t xml:space="preserve"> ，</w:t>
      </w:r>
      <w:r>
        <w:rPr>
          <w:color w:val="000000"/>
          <w:u w:val="single"/>
        </w:rPr>
        <w:t>监理人应加强工期统筹管理，运用先进技术手段，优化工序安排和劳动力、机械、材料的合同调配，杜绝人为管理不善导致窝工停工现象，督促施工单位确保按期或提前完成。</w:t>
      </w:r>
    </w:p>
    <w:p w14:paraId="459F1D7F">
      <w:pPr>
        <w:pStyle w:val="3"/>
        <w:spacing w:before="1" w:line="364" w:lineRule="auto"/>
        <w:ind w:left="225" w:right="230" w:firstLine="580"/>
        <w:rPr>
          <w:color w:val="000000"/>
        </w:rPr>
      </w:pPr>
      <w:r>
        <w:rPr>
          <w:color w:val="000000"/>
        </w:rPr>
        <w:t>③造价控制目标：所监理项目的结算</w:t>
      </w:r>
      <w:r>
        <w:rPr>
          <w:rFonts w:hint="eastAsia"/>
          <w:color w:val="000000"/>
        </w:rPr>
        <w:t>造价</w:t>
      </w:r>
      <w:r>
        <w:rPr>
          <w:color w:val="000000"/>
        </w:rPr>
        <w:t>不超过</w:t>
      </w:r>
      <w:r>
        <w:rPr>
          <w:rFonts w:hint="eastAsia"/>
          <w:color w:val="000000"/>
        </w:rPr>
        <w:t>施工合同价的</w:t>
      </w:r>
      <w:r>
        <w:rPr>
          <w:rFonts w:hint="eastAsia"/>
          <w:color w:val="000000"/>
          <w:lang w:val="en-US" w:eastAsia="zh-CN"/>
        </w:rPr>
        <w:t>110</w:t>
      </w:r>
      <w:r>
        <w:rPr>
          <w:rFonts w:hint="eastAsia"/>
          <w:color w:val="000000"/>
        </w:rPr>
        <w:t>%</w:t>
      </w:r>
      <w:r>
        <w:rPr>
          <w:color w:val="000000"/>
        </w:rPr>
        <w:t>。</w:t>
      </w:r>
    </w:p>
    <w:p w14:paraId="74C418D0">
      <w:pPr>
        <w:pStyle w:val="3"/>
        <w:spacing w:before="2" w:line="364" w:lineRule="auto"/>
        <w:ind w:right="230" w:firstLine="480" w:firstLineChars="200"/>
        <w:jc w:val="both"/>
        <w:rPr>
          <w:color w:val="000000"/>
        </w:rPr>
      </w:pPr>
      <w:r>
        <w:rPr>
          <w:color w:val="000000"/>
        </w:rPr>
        <w:t>④安全文明管理目标：确保不发生一般事故等级及以上的安全生产事故且死亡人数为零；确保有关建设人员不违反使用单位安全监管规定。</w:t>
      </w:r>
    </w:p>
    <w:p w14:paraId="06FD639D">
      <w:pPr>
        <w:pStyle w:val="3"/>
        <w:spacing w:before="53" w:line="364" w:lineRule="auto"/>
        <w:ind w:right="110" w:firstLine="480" w:firstLineChars="200"/>
        <w:jc w:val="both"/>
        <w:rPr>
          <w:color w:val="000000"/>
        </w:rPr>
      </w:pPr>
      <w:r>
        <w:rPr>
          <w:color w:val="000000"/>
        </w:rPr>
        <w:t>⑤环境管理目标：</w:t>
      </w:r>
      <w:r>
        <w:rPr>
          <w:rFonts w:hint="eastAsia"/>
          <w:color w:val="000000"/>
          <w:lang w:val="en-US" w:eastAsia="zh-CN"/>
        </w:rPr>
        <w:t>符合</w:t>
      </w:r>
      <w:r>
        <w:rPr>
          <w:color w:val="000000"/>
        </w:rPr>
        <w:t>《广州市建设工程现场文明施工管理办法》（穗建质〔2008〕937 号）、《广州市城乡建设委员会关于印发广州市加强建筑工地环保管理工作方案的通知》(穗建质〔2014〕754 号) 、《广州市提升建设工程安全文明施工管理水平的工作指引》（穗建质〔2017〕815 号）、《危险性较大的分部分项工程安全管理规定》(中华人民共和国住房和城乡建设部令第 37 号)、《关于加强建设工程安全生产管理 落实建设各方主体责任的暂行规定》（穗建规字〔2017〕21 号）、《广州市建设工程绿色施工围蔽指导图集（V1.0 试行版）》的通知（穗建质〔2018〕1953 号）、《广州市住房和城乡建设委员会关于实施&lt; 广州市建设工程绿色施工围蔽指导图集（V1.0 试行版）&gt;的补充通知》（穗建质〔2018〕2281 号）和《广州市住房和城乡建设委员会关于印发建设工程扬尘防治“6 个 100%”管理标准细化措施的通知》（穗建质〔2018〕1394 号）等国家、省、市现行标准、规定和文件要求。</w:t>
      </w:r>
    </w:p>
    <w:p w14:paraId="3B124184">
      <w:pPr>
        <w:pStyle w:val="3"/>
        <w:spacing w:before="4" w:line="364" w:lineRule="auto"/>
        <w:ind w:right="235" w:firstLine="559"/>
        <w:rPr>
          <w:color w:val="000000"/>
        </w:rPr>
      </w:pPr>
      <w:r>
        <w:rPr>
          <w:color w:val="000000"/>
        </w:rPr>
        <w:t>⑥监理文件及档案资料要求：按照广东省 2016 年版通表格式和要求，运用电子化、信息化手段，制作、收集、整理、归档全部监理及相关资料。</w:t>
      </w:r>
    </w:p>
    <w:p w14:paraId="4646BE65">
      <w:pPr>
        <w:pStyle w:val="3"/>
        <w:spacing w:before="2" w:line="364" w:lineRule="auto"/>
        <w:ind w:right="68" w:firstLine="480"/>
        <w:rPr>
          <w:color w:val="000000"/>
        </w:rPr>
      </w:pPr>
      <w:r>
        <w:rPr>
          <w:color w:val="000000"/>
        </w:rPr>
        <w:t>⑦其他要求：按照法律法规、工程建设标准、勘察设计文件及合同，全面落实对项目全部建设内容的监理服务工作，合同明确约定的必须全面执行，合同未明确的按现行法规、规范、标准及行业惯例落实。其他未尽事宜以合同和法规、规范、标准为准。</w:t>
      </w:r>
    </w:p>
    <w:p w14:paraId="43647DE7">
      <w:pPr>
        <w:pStyle w:val="3"/>
        <w:spacing w:before="7"/>
        <w:ind w:left="0"/>
        <w:rPr>
          <w:color w:val="000000"/>
          <w:sz w:val="25"/>
        </w:rPr>
      </w:pPr>
    </w:p>
    <w:p w14:paraId="2B7DF7D5">
      <w:pPr>
        <w:pStyle w:val="14"/>
        <w:spacing w:before="1"/>
        <w:ind w:left="705" w:firstLine="0"/>
        <w:rPr>
          <w:color w:val="000000"/>
        </w:rPr>
      </w:pPr>
      <w:r>
        <w:rPr>
          <w:color w:val="000000"/>
        </w:rPr>
        <w:t>二、监理服务范围</w:t>
      </w:r>
    </w:p>
    <w:p w14:paraId="26637717">
      <w:pPr>
        <w:pStyle w:val="14"/>
        <w:numPr>
          <w:ilvl w:val="1"/>
          <w:numId w:val="6"/>
        </w:numPr>
        <w:tabs>
          <w:tab w:val="left" w:pos="1131"/>
        </w:tabs>
        <w:spacing w:before="98"/>
        <w:ind w:hanging="426"/>
        <w:rPr>
          <w:color w:val="000000"/>
        </w:rPr>
      </w:pPr>
      <w:r>
        <w:rPr>
          <w:color w:val="000000"/>
        </w:rPr>
        <w:t>监理范围</w:t>
      </w:r>
    </w:p>
    <w:p w14:paraId="0F367086">
      <w:pPr>
        <w:pStyle w:val="43"/>
        <w:numPr>
          <w:ilvl w:val="0"/>
          <w:numId w:val="7"/>
        </w:numPr>
        <w:tabs>
          <w:tab w:val="left" w:pos="1191"/>
        </w:tabs>
        <w:spacing w:before="95" w:line="316" w:lineRule="auto"/>
        <w:ind w:right="230" w:firstLine="360"/>
        <w:jc w:val="both"/>
        <w:rPr>
          <w:color w:val="000000"/>
          <w:sz w:val="24"/>
        </w:rPr>
      </w:pPr>
      <w:r>
        <w:rPr>
          <w:rFonts w:hint="eastAsia"/>
          <w:color w:val="000000"/>
          <w:sz w:val="24"/>
        </w:rPr>
        <w:t xml:space="preserve"> </w:t>
      </w:r>
      <w:r>
        <w:rPr>
          <w:color w:val="000000"/>
          <w:sz w:val="24"/>
        </w:rPr>
        <w:t>施工准备阶段、施工阶段、工程质量保修期的质量监督、安全生产监督管理、投资控制、进度控制、合同管理、信息管理、组织协调；协调各进驻单位同步建设，对各进驻单位进度统一调控，避免相互干扰，确保实现工程的总体目标。</w:t>
      </w:r>
    </w:p>
    <w:p w14:paraId="6D550558">
      <w:pPr>
        <w:pStyle w:val="43"/>
        <w:numPr>
          <w:ilvl w:val="0"/>
          <w:numId w:val="7"/>
        </w:numPr>
        <w:tabs>
          <w:tab w:val="left" w:pos="1191"/>
        </w:tabs>
        <w:spacing w:line="314" w:lineRule="auto"/>
        <w:ind w:right="235" w:firstLine="360"/>
        <w:rPr>
          <w:color w:val="000000"/>
          <w:sz w:val="24"/>
        </w:rPr>
      </w:pPr>
      <w:r>
        <w:rPr>
          <w:color w:val="000000"/>
          <w:sz w:val="24"/>
        </w:rPr>
        <w:t>按委托人的要求提前进场参与开工前期的准备和筹划工作，协助委托人对施工图纸提出意见，制定工程管理办法、各参建方职责及有关事务性工作等。</w:t>
      </w:r>
    </w:p>
    <w:p w14:paraId="4FA86D99">
      <w:pPr>
        <w:pStyle w:val="14"/>
        <w:numPr>
          <w:ilvl w:val="1"/>
          <w:numId w:val="6"/>
        </w:numPr>
        <w:tabs>
          <w:tab w:val="left" w:pos="1131"/>
        </w:tabs>
        <w:spacing w:before="98"/>
        <w:ind w:hanging="426"/>
        <w:rPr>
          <w:color w:val="000000"/>
        </w:rPr>
      </w:pPr>
      <w:r>
        <w:rPr>
          <w:color w:val="000000"/>
        </w:rPr>
        <w:t>工程内容</w:t>
      </w:r>
    </w:p>
    <w:p w14:paraId="7D4B11F1">
      <w:pPr>
        <w:pStyle w:val="3"/>
        <w:spacing w:before="96" w:line="316" w:lineRule="auto"/>
        <w:ind w:right="94" w:firstLine="480"/>
        <w:rPr>
          <w:color w:val="000000"/>
        </w:rPr>
      </w:pPr>
      <w:r>
        <w:rPr>
          <w:color w:val="000000"/>
        </w:rPr>
        <w:t>包括但不限于</w:t>
      </w:r>
      <w:r>
        <w:rPr>
          <w:rFonts w:hint="eastAsia"/>
          <w:b/>
          <w:color w:val="000000"/>
          <w:u w:val="single"/>
          <w:lang w:val="en-US" w:eastAsia="zh-CN"/>
        </w:rPr>
        <w:t>医院</w:t>
      </w:r>
      <w:r>
        <w:rPr>
          <w:b/>
          <w:color w:val="000000"/>
          <w:u w:val="single"/>
          <w:lang w:val="en-US"/>
        </w:rPr>
        <w:t>202</w:t>
      </w:r>
      <w:r>
        <w:rPr>
          <w:rFonts w:hint="eastAsia"/>
          <w:b/>
          <w:color w:val="000000"/>
          <w:u w:val="single"/>
          <w:lang w:val="en-US" w:eastAsia="zh-CN"/>
        </w:rPr>
        <w:t>6</w:t>
      </w:r>
      <w:r>
        <w:rPr>
          <w:b/>
          <w:color w:val="000000"/>
          <w:u w:val="single"/>
          <w:lang w:val="en-US"/>
        </w:rPr>
        <w:t>年度小型项目（按计费费率乘以工程造价得出监理费低于20万元的项目）</w:t>
      </w:r>
      <w:r>
        <w:rPr>
          <w:b/>
          <w:color w:val="000000"/>
        </w:rPr>
        <w:t>施工监理</w:t>
      </w:r>
      <w:r>
        <w:rPr>
          <w:color w:val="000000"/>
        </w:rPr>
        <w:t>的以下内容：土建、装修、人防、机电安装（室内外供配电、电气、给排水、防雷、暖通、电梯、消防、设备检验）、智能化工程、园林绿化、燃气工程、市政配套等工程。</w:t>
      </w:r>
    </w:p>
    <w:p w14:paraId="4B3F69E2">
      <w:pPr>
        <w:pStyle w:val="14"/>
        <w:numPr>
          <w:ilvl w:val="1"/>
          <w:numId w:val="6"/>
        </w:numPr>
        <w:tabs>
          <w:tab w:val="left" w:pos="1131"/>
        </w:tabs>
        <w:spacing w:line="304" w:lineRule="exact"/>
        <w:ind w:hanging="426"/>
        <w:rPr>
          <w:color w:val="000000"/>
        </w:rPr>
      </w:pPr>
      <w:r>
        <w:rPr>
          <w:color w:val="000000"/>
        </w:rPr>
        <w:t>监理服务期</w:t>
      </w:r>
    </w:p>
    <w:p w14:paraId="633E8C55">
      <w:pPr>
        <w:pStyle w:val="43"/>
        <w:numPr>
          <w:ilvl w:val="0"/>
          <w:numId w:val="0"/>
        </w:numPr>
        <w:tabs>
          <w:tab w:val="left" w:pos="945"/>
        </w:tabs>
        <w:spacing w:before="158" w:line="360" w:lineRule="auto"/>
        <w:ind w:right="233" w:rightChars="0" w:firstLine="480" w:firstLineChars="200"/>
        <w:rPr>
          <w:rFonts w:hint="eastAsia" w:ascii="Times New Roman" w:hAnsi="Times New Roman" w:cs="Times New Roman"/>
          <w:color w:val="auto"/>
          <w:sz w:val="24"/>
          <w:highlight w:val="none"/>
          <w:lang w:val="en-US" w:eastAsia="zh-CN"/>
        </w:rPr>
      </w:pPr>
      <w:r>
        <w:rPr>
          <w:rFonts w:hint="eastAsia" w:ascii="宋体" w:hAnsi="宋体" w:cs="宋体"/>
          <w:b w:val="0"/>
          <w:bCs w:val="0"/>
          <w:color w:val="auto"/>
          <w:sz w:val="24"/>
          <w:szCs w:val="20"/>
          <w:highlight w:val="none"/>
          <w:lang w:val="en-US" w:eastAsia="zh-CN"/>
        </w:rPr>
        <w:t>监理委托期限</w:t>
      </w:r>
      <w:r>
        <w:rPr>
          <w:rFonts w:hint="eastAsia" w:ascii="Times New Roman" w:hAnsi="Times New Roman" w:cs="Times New Roman"/>
          <w:color w:val="auto"/>
          <w:sz w:val="24"/>
          <w:highlight w:val="none"/>
          <w:lang w:val="en-US" w:eastAsia="zh-CN"/>
        </w:rPr>
        <w:t>自2026年1月1日至2026年12月31日</w:t>
      </w:r>
      <w:r>
        <w:rPr>
          <w:rFonts w:hint="eastAsia"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或累计实际结算款项达到本项目的采购预算时止</w:t>
      </w:r>
      <w:r>
        <w:rPr>
          <w:rFonts w:hint="eastAsia" w:ascii="Times New Roman" w:hAnsi="Times New Roman" w:cs="Times New Roman"/>
          <w:color w:val="auto"/>
          <w:sz w:val="24"/>
          <w:highlight w:val="none"/>
        </w:rPr>
        <w:t>。具体项目</w:t>
      </w:r>
      <w:r>
        <w:rPr>
          <w:rFonts w:hint="eastAsia" w:ascii="Times New Roman" w:hAnsi="Times New Roman" w:cs="Times New Roman"/>
          <w:color w:val="auto"/>
          <w:sz w:val="24"/>
          <w:highlight w:val="none"/>
          <w:lang w:val="en-US" w:eastAsia="zh-CN"/>
        </w:rPr>
        <w:t>服务时间到</w:t>
      </w:r>
      <w:r>
        <w:rPr>
          <w:rFonts w:hint="eastAsia" w:ascii="Times New Roman" w:hAnsi="Times New Roman" w:cs="Times New Roman"/>
          <w:color w:val="auto"/>
          <w:sz w:val="24"/>
          <w:highlight w:val="none"/>
          <w:lang w:val="zh-CN"/>
        </w:rPr>
        <w:t>项目工程竣工验收合格并投入使用为止</w:t>
      </w:r>
      <w:r>
        <w:rPr>
          <w:rFonts w:hint="eastAsia" w:ascii="Times New Roman" w:hAnsi="Times New Roman" w:cs="Times New Roman"/>
          <w:color w:val="auto"/>
          <w:sz w:val="24"/>
          <w:highlight w:val="none"/>
          <w:lang w:val="en-US" w:eastAsia="zh-CN"/>
        </w:rPr>
        <w:t>。</w:t>
      </w:r>
    </w:p>
    <w:p w14:paraId="6CBC89E8">
      <w:pPr>
        <w:pStyle w:val="3"/>
        <w:spacing w:line="360" w:lineRule="auto"/>
        <w:ind w:right="230" w:firstLine="480"/>
        <w:jc w:val="both"/>
        <w:rPr>
          <w:rFonts w:hint="eastAsia" w:eastAsia="宋体"/>
          <w:color w:val="000000"/>
        </w:rPr>
      </w:pPr>
      <w:r>
        <w:rPr>
          <w:rFonts w:hint="eastAsia" w:eastAsia="宋体"/>
          <w:color w:val="000000"/>
        </w:rPr>
        <w:t>监理方需对已经委托的项目完成监理服务，本合同期限为委托监理项目质保期结束并完成项目结算，监理服务周期必须满足实际施工要求，监理人须实行全过程监理服务</w:t>
      </w:r>
      <w:r>
        <w:rPr>
          <w:rFonts w:hint="eastAsia"/>
          <w:color w:val="000000"/>
          <w:lang w:eastAsia="zh-CN"/>
        </w:rPr>
        <w:t>，</w:t>
      </w:r>
      <w:r>
        <w:rPr>
          <w:rFonts w:hint="eastAsia"/>
          <w:color w:val="000000"/>
          <w:lang w:val="en-US" w:eastAsia="zh-CN"/>
        </w:rPr>
        <w:t>不得以监理合同到期作为推脱的理由</w:t>
      </w:r>
      <w:r>
        <w:rPr>
          <w:rFonts w:hint="eastAsia" w:eastAsia="宋体"/>
          <w:color w:val="000000"/>
        </w:rPr>
        <w:t>。若因工程建设需要延长工程监理服务期的，监理人不得因工程监理服务期延长而要求增加工程监理服务费。</w:t>
      </w:r>
    </w:p>
    <w:p w14:paraId="35D99F5F">
      <w:pPr>
        <w:pStyle w:val="3"/>
        <w:spacing w:line="360" w:lineRule="auto"/>
        <w:ind w:right="230" w:firstLine="480"/>
        <w:jc w:val="both"/>
        <w:rPr>
          <w:color w:val="000000"/>
        </w:rPr>
      </w:pPr>
      <w:r>
        <w:rPr>
          <w:color w:val="000000"/>
        </w:rPr>
        <w:t>监理服务期内，工程施工阶段监理人的总监理工程师、总监理工程师代表、专业监理工程师、造价人员、资料员须</w:t>
      </w:r>
      <w:r>
        <w:rPr>
          <w:rFonts w:hint="eastAsia"/>
          <w:color w:val="000000"/>
          <w:lang w:val="en-US" w:bidi="ar"/>
        </w:rPr>
        <w:t>按委托人要求</w:t>
      </w:r>
      <w:r>
        <w:rPr>
          <w:color w:val="000000"/>
        </w:rPr>
        <w:t>在工程现场开展监理服务工作</w:t>
      </w:r>
      <w:r>
        <w:rPr>
          <w:rFonts w:hint="eastAsia"/>
          <w:color w:val="000000"/>
        </w:rPr>
        <w:t>，</w:t>
      </w:r>
      <w:r>
        <w:rPr>
          <w:rFonts w:hint="eastAsia"/>
          <w:color w:val="000000"/>
          <w:lang w:val="en-US" w:bidi="ar"/>
        </w:rPr>
        <w:t>驻场人员要求详见2.4 监理人员配备要求</w:t>
      </w:r>
      <w:r>
        <w:rPr>
          <w:color w:val="000000"/>
        </w:rPr>
        <w:t>；工程收尾阶段造价人员、资料员须在工程现场或委托人指定场所开展为期 6 个月的工程收尾相关监理服务工作。</w:t>
      </w:r>
    </w:p>
    <w:p w14:paraId="00F22E54">
      <w:pPr>
        <w:pStyle w:val="14"/>
        <w:numPr>
          <w:ilvl w:val="1"/>
          <w:numId w:val="6"/>
        </w:numPr>
        <w:tabs>
          <w:tab w:val="left" w:pos="1191"/>
        </w:tabs>
        <w:spacing w:line="304" w:lineRule="exact"/>
        <w:ind w:left="1190" w:hanging="486"/>
        <w:jc w:val="both"/>
        <w:rPr>
          <w:color w:val="000000"/>
        </w:rPr>
      </w:pPr>
      <w:r>
        <w:rPr>
          <w:color w:val="000000"/>
        </w:rPr>
        <w:t>监理人员配备要求</w:t>
      </w:r>
      <w:r>
        <w:rPr>
          <w:rFonts w:hint="eastAsia"/>
          <w:color w:val="000000"/>
          <w:lang w:eastAsia="zh-CN"/>
        </w:rPr>
        <w:t>（</w:t>
      </w:r>
      <w:r>
        <w:rPr>
          <w:rFonts w:hint="eastAsia"/>
          <w:b w:val="0"/>
          <w:bCs w:val="0"/>
          <w:color w:val="FF0000"/>
          <w:lang w:val="en-US" w:eastAsia="zh-CN"/>
        </w:rPr>
        <w:t>根据响应文件响应情况进行修改</w:t>
      </w:r>
      <w:r>
        <w:rPr>
          <w:rFonts w:hint="eastAsia"/>
          <w:color w:val="000000"/>
          <w:lang w:val="en-US" w:eastAsia="zh-CN"/>
        </w:rPr>
        <w:t>）</w:t>
      </w:r>
    </w:p>
    <w:p w14:paraId="4E699C4C">
      <w:pPr>
        <w:pStyle w:val="3"/>
        <w:spacing w:before="174" w:line="360" w:lineRule="auto"/>
        <w:ind w:right="233" w:firstLine="434"/>
        <w:jc w:val="both"/>
        <w:rPr>
          <w:color w:val="000000"/>
        </w:rPr>
      </w:pPr>
      <w:r>
        <w:rPr>
          <w:color w:val="000000"/>
          <w:lang w:val="en-US" w:bidi="ar-SA"/>
        </w:rPr>
        <mc:AlternateContent>
          <mc:Choice Requires="wps">
            <w:drawing>
              <wp:anchor distT="0" distB="0" distL="114300" distR="114300" simplePos="0" relativeHeight="251663360" behindDoc="1" locked="0" layoutInCell="1" allowOverlap="1">
                <wp:simplePos x="0" y="0"/>
                <wp:positionH relativeFrom="page">
                  <wp:posOffset>2169795</wp:posOffset>
                </wp:positionH>
                <wp:positionV relativeFrom="paragraph">
                  <wp:posOffset>287655</wp:posOffset>
                </wp:positionV>
                <wp:extent cx="30734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307340" cy="0"/>
                        </a:xfrm>
                        <a:prstGeom prst="line">
                          <a:avLst/>
                        </a:prstGeom>
                        <a:ln w="762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70.85pt;margin-top:22.65pt;height:0pt;width:24.2pt;mso-position-horizontal-relative:page;z-index:-251653120;mso-width-relative:page;mso-height-relative:page;" filled="f" stroked="t" coordsize="21600,21600" o:gfxdata="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oW0x3YAAAACQEAAA8AAAAAAAAAAQAgAAAAIgAAAGRycy9kb3ducmV2LnhtbFBLAQIUABQA&#10;AAAIAIdO4kAGVPZ48AEAAOUDAAAOAAAAAAAAAAEAIAAAACcBAABkcnMvZTJvRG9jLnhtbFBLBQYA&#10;AAAABgAGAFkBAACJBQAAAAA=&#10;">
                <v:fill on="f" focussize="0,0"/>
                <v:stroke weight="0.6pt" color="#000000" joinstyle="round"/>
                <v:imagedata o:title=""/>
                <o:lock v:ext="edit" aspectratio="f"/>
              </v:line>
            </w:pict>
          </mc:Fallback>
        </mc:AlternateContent>
      </w:r>
      <w:r>
        <w:rPr>
          <w:color w:val="000000"/>
        </w:rPr>
        <w:t xml:space="preserve">总监理工程师： </w:t>
      </w:r>
      <w:r>
        <w:rPr>
          <w:rFonts w:hint="eastAsia"/>
          <w:color w:val="000000"/>
          <w:lang w:val="en-US"/>
        </w:rPr>
        <w:t xml:space="preserve">   </w:t>
      </w:r>
      <w:r>
        <w:rPr>
          <w:color w:val="000000"/>
          <w:u w:val="none"/>
        </w:rPr>
        <w:t>名</w:t>
      </w:r>
      <w:r>
        <w:rPr>
          <w:color w:val="000000"/>
        </w:rPr>
        <w:t>，要求为具有建设部 2006 年 4 月 1 日后颁发的中华人民</w:t>
      </w:r>
      <w:r>
        <w:rPr>
          <w:rFonts w:hint="eastAsia"/>
          <w:color w:val="000000"/>
          <w:lang w:val="en-US" w:eastAsia="zh-CN"/>
        </w:rPr>
        <w:t>共</w:t>
      </w:r>
      <w:r>
        <w:rPr>
          <w:color w:val="000000"/>
        </w:rPr>
        <w:t>和国注册监理工程师注册执业证书，且其注册专业房屋建筑工程，注册执业单位为本公司。</w:t>
      </w:r>
    </w:p>
    <w:p w14:paraId="79F30125">
      <w:pPr>
        <w:pStyle w:val="3"/>
        <w:spacing w:before="161" w:line="360" w:lineRule="auto"/>
        <w:ind w:right="113" w:firstLine="434"/>
        <w:rPr>
          <w:color w:val="000000"/>
        </w:rPr>
      </w:pPr>
      <w:r>
        <w:rPr>
          <w:color w:val="000000"/>
        </w:rPr>
        <w:t>专业监理工程师：要求</w:t>
      </w:r>
      <w:r>
        <w:rPr>
          <w:rFonts w:hint="eastAsia"/>
          <w:color w:val="000000"/>
          <w:lang w:val="en-US"/>
        </w:rPr>
        <w:t>房建</w:t>
      </w:r>
      <w:r>
        <w:rPr>
          <w:color w:val="000000"/>
        </w:rPr>
        <w:t>、机电、</w:t>
      </w:r>
      <w:r>
        <w:rPr>
          <w:rFonts w:hint="eastAsia"/>
          <w:color w:val="000000"/>
          <w:lang w:val="en-US" w:eastAsia="zh-CN"/>
        </w:rPr>
        <w:t>电气、</w:t>
      </w:r>
      <w:r>
        <w:rPr>
          <w:color w:val="000000"/>
        </w:rPr>
        <w:t>给排水</w:t>
      </w:r>
      <w:r>
        <w:rPr>
          <w:rFonts w:hint="eastAsia"/>
          <w:color w:val="000000"/>
          <w:lang w:eastAsia="zh-CN"/>
        </w:rPr>
        <w:t>、</w:t>
      </w:r>
      <w:r>
        <w:rPr>
          <w:rFonts w:hint="eastAsia"/>
          <w:color w:val="000000"/>
          <w:lang w:val="en-US" w:eastAsia="zh-CN"/>
        </w:rPr>
        <w:t>测量</w:t>
      </w:r>
      <w:r>
        <w:rPr>
          <w:color w:val="000000"/>
        </w:rPr>
        <w:t>各</w:t>
      </w:r>
      <w:r>
        <w:rPr>
          <w:color w:val="000000"/>
          <w:u w:val="single"/>
        </w:rPr>
        <w:t xml:space="preserve"> </w:t>
      </w:r>
      <w:r>
        <w:rPr>
          <w:rFonts w:hint="eastAsia"/>
          <w:color w:val="000000"/>
          <w:u w:val="single"/>
          <w:lang w:val="en-US"/>
        </w:rPr>
        <w:t xml:space="preserve">   </w:t>
      </w:r>
      <w:r>
        <w:rPr>
          <w:color w:val="000000"/>
        </w:rPr>
        <w:t>名；具备工程师或以上职称； 以专业监理工程师证书或注册监理工程师注册执业证书或毕业证或职称证上所列的相关专业为准。</w:t>
      </w:r>
    </w:p>
    <w:p w14:paraId="26CFBA1A">
      <w:pPr>
        <w:pStyle w:val="3"/>
        <w:tabs>
          <w:tab w:val="left" w:pos="2438"/>
        </w:tabs>
        <w:spacing w:before="1" w:line="360" w:lineRule="auto"/>
        <w:ind w:right="228" w:firstLine="434"/>
        <w:rPr>
          <w:color w:val="000000"/>
        </w:rPr>
      </w:pPr>
      <w:r>
        <w:rPr>
          <w:color w:val="000000"/>
        </w:rPr>
        <w:t>造价工程师</w:t>
      </w:r>
      <w:r>
        <w:rPr>
          <w:color w:val="000000"/>
          <w:u w:val="single"/>
        </w:rPr>
        <w:t xml:space="preserve"> </w:t>
      </w:r>
      <w:r>
        <w:rPr>
          <w:rFonts w:hint="eastAsia"/>
          <w:color w:val="000000"/>
          <w:u w:val="single"/>
          <w:lang w:val="en-US"/>
        </w:rPr>
        <w:t xml:space="preserve">   </w:t>
      </w:r>
      <w:r>
        <w:rPr>
          <w:color w:val="000000"/>
        </w:rPr>
        <w:t>名，具备</w:t>
      </w:r>
      <w:r>
        <w:rPr>
          <w:rFonts w:hint="eastAsia" w:ascii="Helvetica" w:hAnsi="Helvetica" w:eastAsia="宋体" w:cs="Helvetica"/>
          <w:color w:val="000000"/>
          <w:szCs w:val="21"/>
          <w:u w:val="single"/>
          <w:shd w:val="clear" w:color="auto" w:fill="FFFFFF"/>
          <w:lang w:val="en-US" w:eastAsia="zh-CN"/>
        </w:rPr>
        <w:t xml:space="preserve">   </w:t>
      </w:r>
      <w:r>
        <w:rPr>
          <w:rFonts w:ascii="Helvetica" w:hAnsi="Helvetica" w:eastAsia="Helvetica" w:cs="Helvetica"/>
          <w:color w:val="000000"/>
          <w:szCs w:val="21"/>
          <w:shd w:val="clear" w:color="auto" w:fill="FFFFFF"/>
        </w:rPr>
        <w:t>级造价师</w:t>
      </w:r>
      <w:r>
        <w:rPr>
          <w:rFonts w:hint="eastAsia" w:ascii="Helvetica" w:hAnsi="Helvetica" w:cs="Helvetica"/>
          <w:color w:val="000000"/>
          <w:szCs w:val="21"/>
          <w:shd w:val="clear" w:color="auto" w:fill="FFFFFF"/>
        </w:rPr>
        <w:t>执业资格</w:t>
      </w:r>
      <w:r>
        <w:rPr>
          <w:color w:val="000000"/>
        </w:rPr>
        <w:t>或以上资格。根据项目进度、专业需求</w:t>
      </w:r>
      <w:r>
        <w:rPr>
          <w:rFonts w:hint="eastAsia"/>
          <w:color w:val="000000"/>
          <w:lang w:eastAsia="zh-CN"/>
        </w:rPr>
        <w:t>、</w:t>
      </w:r>
      <w:r>
        <w:rPr>
          <w:color w:val="000000"/>
        </w:rPr>
        <w:t>甲方要求参加例会。</w:t>
      </w:r>
    </w:p>
    <w:p w14:paraId="3CC6B4A9">
      <w:pPr>
        <w:pStyle w:val="3"/>
        <w:tabs>
          <w:tab w:val="left" w:pos="4655"/>
        </w:tabs>
        <w:spacing w:before="2" w:line="360" w:lineRule="auto"/>
        <w:ind w:right="233" w:firstLine="434"/>
        <w:rPr>
          <w:color w:val="000000"/>
        </w:rPr>
      </w:pPr>
      <w:r>
        <w:rPr>
          <w:color w:val="000000"/>
        </w:rPr>
        <w:t>安全监理员或注册安全工程师：</w:t>
      </w:r>
      <w:r>
        <w:rPr>
          <w:color w:val="000000"/>
          <w:u w:val="single"/>
        </w:rPr>
        <w:t xml:space="preserve"> </w:t>
      </w:r>
      <w:r>
        <w:rPr>
          <w:rFonts w:hint="eastAsia"/>
          <w:color w:val="000000"/>
          <w:u w:val="single"/>
          <w:lang w:val="en-US"/>
        </w:rPr>
        <w:t xml:space="preserve">  </w:t>
      </w:r>
      <w:r>
        <w:rPr>
          <w:color w:val="000000"/>
        </w:rPr>
        <w:t>名，要求为取得安全监理员证书或注册安全工程师资格证书和注册证。</w:t>
      </w:r>
    </w:p>
    <w:p w14:paraId="3BFE56C3">
      <w:pPr>
        <w:pStyle w:val="3"/>
        <w:tabs>
          <w:tab w:val="left" w:pos="2145"/>
        </w:tabs>
        <w:spacing w:line="360" w:lineRule="auto"/>
        <w:ind w:left="703"/>
        <w:rPr>
          <w:color w:val="000000"/>
        </w:rPr>
      </w:pPr>
      <w:r>
        <w:rPr>
          <w:color w:val="000000"/>
        </w:rPr>
        <w:t>监理员：</w:t>
      </w:r>
      <w:r>
        <w:rPr>
          <w:rFonts w:hint="eastAsia"/>
          <w:color w:val="000000"/>
          <w:u w:val="single"/>
          <w:lang w:val="en-US"/>
        </w:rPr>
        <w:t xml:space="preserve">    </w:t>
      </w:r>
      <w:r>
        <w:rPr>
          <w:color w:val="000000"/>
        </w:rPr>
        <w:t>名，具备监理员证书。</w:t>
      </w:r>
    </w:p>
    <w:p w14:paraId="44EDB316">
      <w:pPr>
        <w:pStyle w:val="3"/>
        <w:tabs>
          <w:tab w:val="left" w:pos="2145"/>
        </w:tabs>
        <w:spacing w:before="95" w:line="360" w:lineRule="auto"/>
        <w:ind w:left="703"/>
        <w:rPr>
          <w:color w:val="000000"/>
        </w:rPr>
      </w:pPr>
      <w:r>
        <w:rPr>
          <w:color w:val="000000"/>
        </w:rPr>
        <w:t>资料员：</w:t>
      </w:r>
      <w:r>
        <w:rPr>
          <w:color w:val="000000"/>
          <w:u w:val="single"/>
        </w:rPr>
        <w:t xml:space="preserve"> </w:t>
      </w:r>
      <w:r>
        <w:rPr>
          <w:rFonts w:hint="eastAsia"/>
          <w:color w:val="000000"/>
          <w:u w:val="single"/>
          <w:lang w:val="en-US"/>
        </w:rPr>
        <w:t xml:space="preserve">   </w:t>
      </w:r>
      <w:r>
        <w:rPr>
          <w:color w:val="000000"/>
        </w:rPr>
        <w:t>名，熟悉建设工程档案归档要求。</w:t>
      </w:r>
    </w:p>
    <w:p w14:paraId="2B83E1B8">
      <w:pPr>
        <w:pStyle w:val="3"/>
        <w:spacing w:before="2"/>
        <w:ind w:left="0"/>
        <w:rPr>
          <w:color w:val="000000"/>
          <w:sz w:val="19"/>
        </w:rPr>
      </w:pPr>
    </w:p>
    <w:p w14:paraId="7588A7B3">
      <w:pPr>
        <w:pStyle w:val="14"/>
        <w:ind w:left="705" w:firstLine="0"/>
        <w:rPr>
          <w:color w:val="000000"/>
        </w:rPr>
      </w:pPr>
      <w:r>
        <w:rPr>
          <w:color w:val="000000"/>
        </w:rPr>
        <w:t>三、监理酬金及其支付方式</w:t>
      </w:r>
    </w:p>
    <w:p w14:paraId="04EE7A38">
      <w:pPr>
        <w:pStyle w:val="14"/>
        <w:numPr>
          <w:ilvl w:val="1"/>
          <w:numId w:val="8"/>
        </w:numPr>
        <w:tabs>
          <w:tab w:val="left" w:pos="1131"/>
        </w:tabs>
        <w:spacing w:before="98"/>
        <w:ind w:hanging="426"/>
        <w:jc w:val="both"/>
        <w:rPr>
          <w:color w:val="000000"/>
        </w:rPr>
      </w:pPr>
      <w:r>
        <w:rPr>
          <w:color w:val="000000"/>
        </w:rPr>
        <w:t>监理酬金的计取</w:t>
      </w:r>
    </w:p>
    <w:p w14:paraId="57398722">
      <w:pPr>
        <w:pStyle w:val="43"/>
        <w:numPr>
          <w:ilvl w:val="2"/>
          <w:numId w:val="8"/>
        </w:numPr>
        <w:tabs>
          <w:tab w:val="left" w:pos="1364"/>
        </w:tabs>
        <w:spacing w:before="98" w:line="360" w:lineRule="auto"/>
        <w:ind w:right="230" w:firstLine="480"/>
        <w:jc w:val="both"/>
        <w:rPr>
          <w:color w:val="000000"/>
          <w:sz w:val="24"/>
          <w:szCs w:val="24"/>
        </w:rPr>
      </w:pPr>
      <w:r>
        <w:rPr>
          <w:color w:val="000000"/>
          <w:sz w:val="24"/>
          <w:szCs w:val="24"/>
          <w:highlight w:val="none"/>
        </w:rPr>
        <w:t>委托人、监理人一致同意：本合同</w:t>
      </w:r>
      <w:r>
        <w:rPr>
          <w:rFonts w:hint="eastAsia"/>
          <w:color w:val="000000"/>
          <w:sz w:val="24"/>
          <w:szCs w:val="24"/>
          <w:highlight w:val="none"/>
        </w:rPr>
        <w:t>以</w:t>
      </w:r>
      <w:r>
        <w:rPr>
          <w:rFonts w:hint="eastAsia"/>
          <w:color w:val="000000"/>
          <w:sz w:val="24"/>
          <w:szCs w:val="24"/>
          <w:highlight w:val="none"/>
          <w:lang w:val="en-US" w:eastAsia="zh-CN"/>
        </w:rPr>
        <w:t>成交</w:t>
      </w:r>
      <w:r>
        <w:rPr>
          <w:rFonts w:hint="eastAsia"/>
          <w:color w:val="000000"/>
          <w:sz w:val="24"/>
          <w:szCs w:val="24"/>
          <w:highlight w:val="none"/>
        </w:rPr>
        <w:t>价为暂定金额，结算时</w:t>
      </w:r>
      <w:r>
        <w:rPr>
          <w:color w:val="000000"/>
          <w:sz w:val="24"/>
          <w:szCs w:val="24"/>
          <w:highlight w:val="none"/>
        </w:rPr>
        <w:t>监理酬金以</w:t>
      </w:r>
      <w:r>
        <w:rPr>
          <w:rFonts w:hint="eastAsia"/>
          <w:color w:val="000000"/>
          <w:sz w:val="24"/>
          <w:szCs w:val="24"/>
          <w:highlight w:val="none"/>
        </w:rPr>
        <w:t>各项目施工</w:t>
      </w:r>
      <w:r>
        <w:rPr>
          <w:color w:val="000000"/>
          <w:sz w:val="24"/>
          <w:szCs w:val="24"/>
          <w:highlight w:val="none"/>
        </w:rPr>
        <w:t>合同</w:t>
      </w:r>
      <w:r>
        <w:rPr>
          <w:rFonts w:hint="eastAsia"/>
          <w:color w:val="000000"/>
          <w:sz w:val="24"/>
          <w:szCs w:val="24"/>
          <w:highlight w:val="none"/>
        </w:rPr>
        <w:t>价</w:t>
      </w:r>
      <w:r>
        <w:rPr>
          <w:color w:val="000000"/>
          <w:sz w:val="24"/>
          <w:szCs w:val="24"/>
          <w:highlight w:val="none"/>
        </w:rPr>
        <w:t>作为施工监理服务收费的计费额，</w:t>
      </w:r>
      <w:r>
        <w:rPr>
          <w:rFonts w:hint="eastAsia"/>
          <w:color w:val="000000"/>
          <w:sz w:val="24"/>
          <w:szCs w:val="24"/>
          <w:highlight w:val="none"/>
        </w:rPr>
        <w:t>乘以监理费</w:t>
      </w:r>
      <w:r>
        <w:rPr>
          <w:rFonts w:hint="eastAsia"/>
          <w:color w:val="000000"/>
          <w:sz w:val="24"/>
          <w:szCs w:val="24"/>
          <w:highlight w:val="none"/>
          <w:lang w:val="en-US" w:eastAsia="zh-CN"/>
        </w:rPr>
        <w:t>成交</w:t>
      </w:r>
      <w:r>
        <w:rPr>
          <w:rFonts w:hint="eastAsia"/>
          <w:color w:val="000000"/>
          <w:sz w:val="24"/>
          <w:szCs w:val="24"/>
          <w:highlight w:val="none"/>
        </w:rPr>
        <w:t>费率计算</w:t>
      </w:r>
      <w:r>
        <w:rPr>
          <w:color w:val="000000"/>
          <w:sz w:val="24"/>
          <w:szCs w:val="24"/>
          <w:highlight w:val="none"/>
        </w:rPr>
        <w:t>，即：结算合同价=</w:t>
      </w:r>
      <w:r>
        <w:rPr>
          <w:rFonts w:hint="eastAsia"/>
          <w:color w:val="000000"/>
          <w:sz w:val="24"/>
          <w:szCs w:val="24"/>
          <w:highlight w:val="none"/>
        </w:rPr>
        <w:t>各项目施工合同价之和</w:t>
      </w:r>
      <w:r>
        <w:rPr>
          <w:color w:val="000000"/>
          <w:sz w:val="24"/>
          <w:szCs w:val="24"/>
          <w:highlight w:val="none"/>
        </w:rPr>
        <w:t>×</w:t>
      </w:r>
      <w:r>
        <w:rPr>
          <w:rFonts w:hint="eastAsia"/>
          <w:color w:val="000000"/>
          <w:sz w:val="24"/>
          <w:szCs w:val="24"/>
          <w:highlight w:val="none"/>
        </w:rPr>
        <w:t>监理费</w:t>
      </w:r>
      <w:r>
        <w:rPr>
          <w:rFonts w:hint="eastAsia"/>
          <w:color w:val="000000"/>
          <w:sz w:val="24"/>
          <w:szCs w:val="24"/>
          <w:highlight w:val="none"/>
          <w:lang w:val="en-US" w:eastAsia="zh-CN"/>
        </w:rPr>
        <w:t>成交</w:t>
      </w:r>
      <w:r>
        <w:rPr>
          <w:rFonts w:hint="eastAsia"/>
          <w:color w:val="000000"/>
          <w:sz w:val="24"/>
          <w:szCs w:val="24"/>
          <w:highlight w:val="none"/>
        </w:rPr>
        <w:t>费率</w:t>
      </w:r>
      <w:r>
        <w:rPr>
          <w:color w:val="000000"/>
          <w:sz w:val="24"/>
          <w:szCs w:val="24"/>
          <w:highlight w:val="none"/>
        </w:rPr>
        <w:t>。合同约定的监理酬金是基于合同约定监理人员</w:t>
      </w:r>
      <w:r>
        <w:rPr>
          <w:rFonts w:hint="eastAsia"/>
          <w:color w:val="000000"/>
          <w:sz w:val="24"/>
          <w:szCs w:val="24"/>
          <w:highlight w:val="none"/>
          <w:lang w:val="en-US" w:bidi="ar"/>
        </w:rPr>
        <w:t>按委托人要求到位</w:t>
      </w:r>
      <w:r>
        <w:rPr>
          <w:color w:val="000000"/>
          <w:sz w:val="24"/>
          <w:szCs w:val="24"/>
          <w:highlight w:val="none"/>
        </w:rPr>
        <w:t>的前提下，结算时才按本合同约定的方法计算。</w:t>
      </w:r>
      <w:r>
        <w:rPr>
          <w:color w:val="000000"/>
          <w:sz w:val="24"/>
          <w:szCs w:val="24"/>
        </w:rPr>
        <w:t>监理人除按上述约定收取监理酬金外，不得向委托人主张其他任何费用或补偿。</w:t>
      </w:r>
    </w:p>
    <w:p w14:paraId="35AD85A2">
      <w:pPr>
        <w:pStyle w:val="43"/>
        <w:numPr>
          <w:ilvl w:val="0"/>
          <w:numId w:val="0"/>
        </w:numPr>
        <w:spacing w:before="98"/>
        <w:ind w:firstLine="720" w:firstLineChars="300"/>
        <w:jc w:val="both"/>
        <w:rPr>
          <w:color w:val="000000"/>
          <w:sz w:val="24"/>
        </w:rPr>
      </w:pPr>
      <w:r>
        <w:rPr>
          <w:rFonts w:hint="eastAsia" w:ascii="宋体" w:hAnsi="宋体" w:eastAsia="宋体" w:cs="宋体"/>
          <w:color w:val="000000"/>
          <w:sz w:val="24"/>
          <w:szCs w:val="24"/>
          <w:lang w:val="en-US" w:eastAsia="zh-CN" w:bidi="ar"/>
        </w:rPr>
        <w:t>3.1.2</w:t>
      </w:r>
      <w:r>
        <w:rPr>
          <w:rFonts w:hint="eastAsia" w:ascii="宋体" w:hAnsi="宋体" w:eastAsia="宋体" w:cs="宋体"/>
          <w:color w:val="000000"/>
          <w:sz w:val="24"/>
        </w:rPr>
        <w:t>本合</w:t>
      </w:r>
      <w:r>
        <w:rPr>
          <w:color w:val="000000"/>
          <w:sz w:val="24"/>
        </w:rPr>
        <w:t>同监理酬金的暂定金额为</w:t>
      </w:r>
      <w:r>
        <w:rPr>
          <w:rFonts w:hint="eastAsia"/>
          <w:color w:val="000000"/>
          <w:sz w:val="24"/>
          <w:szCs w:val="24"/>
          <w:u w:val="single"/>
          <w:lang w:val="en-US" w:bidi="ar"/>
        </w:rPr>
        <w:t xml:space="preserve">     </w:t>
      </w:r>
      <w:r>
        <w:rPr>
          <w:color w:val="000000"/>
          <w:sz w:val="24"/>
        </w:rPr>
        <w:t>万元（大写：</w:t>
      </w:r>
      <w:r>
        <w:rPr>
          <w:rFonts w:hint="eastAsia"/>
          <w:color w:val="000000"/>
          <w:sz w:val="24"/>
          <w:szCs w:val="24"/>
          <w:u w:val="single"/>
          <w:lang w:val="en-US" w:bidi="ar"/>
        </w:rPr>
        <w:t xml:space="preserve">              </w:t>
      </w:r>
      <w:r>
        <w:rPr>
          <w:color w:val="000000"/>
          <w:sz w:val="24"/>
        </w:rPr>
        <w:t>）。</w:t>
      </w:r>
    </w:p>
    <w:p w14:paraId="79C8F3D0">
      <w:pPr>
        <w:pStyle w:val="43"/>
        <w:numPr>
          <w:ilvl w:val="0"/>
          <w:numId w:val="0"/>
        </w:numPr>
        <w:tabs>
          <w:tab w:val="left" w:pos="1364"/>
        </w:tabs>
        <w:spacing w:before="98" w:line="360" w:lineRule="auto"/>
        <w:ind w:right="230" w:rightChars="0" w:firstLine="720" w:firstLineChars="300"/>
        <w:jc w:val="both"/>
        <w:rPr>
          <w:sz w:val="24"/>
        </w:rPr>
      </w:pPr>
      <w:r>
        <w:rPr>
          <w:rFonts w:hint="eastAsia" w:ascii="宋体" w:hAnsi="宋体" w:eastAsia="宋体" w:cs="宋体"/>
          <w:color w:val="000000"/>
          <w:sz w:val="24"/>
          <w:lang w:val="en-US" w:eastAsia="zh-CN"/>
        </w:rPr>
        <w:t>3.1.3</w:t>
      </w:r>
      <w:r>
        <w:rPr>
          <w:rFonts w:hint="eastAsia" w:ascii="宋体" w:hAnsi="宋体" w:eastAsia="宋体" w:cs="宋体"/>
          <w:color w:val="000000"/>
          <w:sz w:val="24"/>
        </w:rPr>
        <w:t>监理</w:t>
      </w:r>
      <w:r>
        <w:rPr>
          <w:color w:val="000000"/>
          <w:sz w:val="24"/>
        </w:rPr>
        <w:t>酬金的定义：凡在本合同中提及</w:t>
      </w:r>
      <w:r>
        <w:rPr>
          <w:rFonts w:hint="eastAsia"/>
          <w:color w:val="000000"/>
          <w:sz w:val="24"/>
          <w:lang w:val="en-US" w:eastAsia="zh-CN"/>
        </w:rPr>
        <w:t>的</w:t>
      </w:r>
      <w:r>
        <w:rPr>
          <w:color w:val="000000"/>
          <w:sz w:val="24"/>
        </w:rPr>
        <w:t>与监理服务有关的一切费用均含在监理酬金中，具体包括人员工资、福利、社保、办公费用（资料费、电脑、打印</w:t>
      </w:r>
      <w:r>
        <w:rPr>
          <w:sz w:val="24"/>
        </w:rPr>
        <w:t>机、复印机等办公设备及耗材费）、受托人为监理本项目使用的设备和设施费用、交通差旅费用、餐费、管理费、利润、税金等一切费用（包括专用条款 3.3.1 条提及的食堂开办及保洁费用）。</w:t>
      </w:r>
    </w:p>
    <w:p w14:paraId="4FEF37D0">
      <w:pPr>
        <w:pStyle w:val="43"/>
        <w:numPr>
          <w:ilvl w:val="0"/>
          <w:numId w:val="0"/>
        </w:numPr>
        <w:tabs>
          <w:tab w:val="left" w:pos="1467"/>
        </w:tabs>
        <w:spacing w:before="7" w:line="360" w:lineRule="auto"/>
        <w:ind w:right="245" w:rightChars="0" w:firstLine="480" w:firstLineChars="200"/>
        <w:jc w:val="both"/>
        <w:rPr>
          <w:sz w:val="24"/>
          <w:highlight w:val="none"/>
        </w:rPr>
      </w:pPr>
      <w:r>
        <w:rPr>
          <w:rFonts w:hint="eastAsia" w:ascii="宋体" w:hAnsi="宋体" w:eastAsia="宋体" w:cs="宋体"/>
          <w:sz w:val="24"/>
          <w:highlight w:val="none"/>
          <w:lang w:val="en-US" w:eastAsia="zh-CN"/>
        </w:rPr>
        <w:t>3.1.4</w:t>
      </w:r>
      <w:r>
        <w:rPr>
          <w:rFonts w:hint="eastAsia" w:ascii="宋体" w:hAnsi="宋体" w:eastAsia="宋体" w:cs="宋体"/>
          <w:sz w:val="24"/>
          <w:highlight w:val="none"/>
        </w:rPr>
        <w:t>当委托</w:t>
      </w:r>
      <w:r>
        <w:rPr>
          <w:sz w:val="24"/>
          <w:highlight w:val="none"/>
        </w:rPr>
        <w:t>人认为监理人派到现场监理人员不能胜任监理工作导致合同范围内的各项工作不能按时完成或完成的工作不符合规定甚至出现违规现象时，这时可由委托人另行委派专业人员代替受托人安排的原班人员，所需费用（费用多少由委托人</w:t>
      </w:r>
      <w:r>
        <w:rPr>
          <w:rFonts w:hint="eastAsia"/>
          <w:sz w:val="24"/>
          <w:highlight w:val="none"/>
          <w:lang w:val="en-US" w:eastAsia="zh-CN"/>
        </w:rPr>
        <w:t>确</w:t>
      </w:r>
      <w:r>
        <w:rPr>
          <w:sz w:val="24"/>
          <w:highlight w:val="none"/>
        </w:rPr>
        <w:t>定，受托人不能有任何异议）由委托人从本合同监理酬金中直接扣除并支付给委托人指派的专业人员。在本合同中，凡与 3.1.5 条有矛盾的均以此条为准。</w:t>
      </w:r>
    </w:p>
    <w:p w14:paraId="6E8BD2BB">
      <w:pPr>
        <w:pStyle w:val="43"/>
        <w:numPr>
          <w:ilvl w:val="0"/>
          <w:numId w:val="0"/>
        </w:numPr>
        <w:tabs>
          <w:tab w:val="left" w:pos="1467"/>
        </w:tabs>
        <w:spacing w:line="316" w:lineRule="auto"/>
        <w:ind w:right="251" w:rightChars="0" w:firstLine="480" w:firstLineChars="200"/>
        <w:jc w:val="both"/>
        <w:rPr>
          <w:sz w:val="24"/>
        </w:rPr>
      </w:pPr>
      <w:r>
        <w:rPr>
          <w:rFonts w:hint="eastAsia" w:ascii="宋体" w:hAnsi="宋体" w:eastAsia="宋体" w:cs="宋体"/>
          <w:sz w:val="24"/>
          <w:lang w:val="en-US" w:eastAsia="zh-CN"/>
        </w:rPr>
        <w:t>3.1.5</w:t>
      </w:r>
      <w:r>
        <w:rPr>
          <w:rFonts w:hint="eastAsia" w:ascii="宋体" w:hAnsi="宋体" w:eastAsia="宋体" w:cs="宋体"/>
          <w:sz w:val="24"/>
        </w:rPr>
        <w:t>在</w:t>
      </w:r>
      <w:r>
        <w:rPr>
          <w:sz w:val="24"/>
        </w:rPr>
        <w:t>本合同约定的监理范围内，监理人不得以任何理由要求附加工作和额外工作的监理酬金。</w:t>
      </w:r>
    </w:p>
    <w:p w14:paraId="4A781E60">
      <w:pPr>
        <w:pStyle w:val="43"/>
        <w:numPr>
          <w:ilvl w:val="0"/>
          <w:numId w:val="0"/>
        </w:numPr>
        <w:tabs>
          <w:tab w:val="left" w:pos="1467"/>
        </w:tabs>
        <w:spacing w:line="316" w:lineRule="auto"/>
        <w:ind w:right="251" w:rightChars="0" w:firstLine="480" w:firstLineChars="200"/>
        <w:jc w:val="both"/>
        <w:rPr>
          <w:rFonts w:hint="eastAsia" w:ascii="宋体" w:hAnsi="宋体" w:eastAsia="宋体" w:cs="宋体"/>
          <w:sz w:val="24"/>
        </w:rPr>
      </w:pPr>
      <w:r>
        <w:rPr>
          <w:rFonts w:hint="eastAsia" w:ascii="宋体" w:hAnsi="宋体" w:eastAsia="宋体" w:cs="宋体"/>
          <w:sz w:val="24"/>
          <w:lang w:val="en-US" w:eastAsia="zh-CN"/>
        </w:rPr>
        <w:t>3.1.6</w:t>
      </w:r>
      <w:r>
        <w:rPr>
          <w:rFonts w:hint="eastAsia" w:ascii="宋体" w:hAnsi="宋体" w:eastAsia="宋体" w:cs="宋体"/>
          <w:sz w:val="24"/>
        </w:rPr>
        <w:t>在本合同约定的监理范围内，当工程量增加</w:t>
      </w:r>
      <w:r>
        <w:rPr>
          <w:rFonts w:hint="eastAsia" w:ascii="宋体" w:hAnsi="宋体" w:eastAsia="宋体" w:cs="宋体"/>
          <w:sz w:val="24"/>
          <w:lang w:eastAsia="zh-CN"/>
        </w:rPr>
        <w:t>，</w:t>
      </w:r>
      <w:r>
        <w:rPr>
          <w:rFonts w:hint="eastAsia" w:ascii="宋体" w:hAnsi="宋体" w:eastAsia="宋体" w:cs="宋体"/>
          <w:sz w:val="24"/>
        </w:rPr>
        <w:t>或设计变更</w:t>
      </w:r>
      <w:r>
        <w:rPr>
          <w:rFonts w:hint="eastAsia" w:ascii="宋体" w:hAnsi="宋体" w:eastAsia="宋体" w:cs="宋体"/>
          <w:sz w:val="24"/>
          <w:lang w:eastAsia="zh-CN"/>
        </w:rPr>
        <w:t>，</w:t>
      </w:r>
      <w:r>
        <w:rPr>
          <w:rFonts w:hint="eastAsia" w:ascii="宋体" w:hAnsi="宋体" w:eastAsia="宋体" w:cs="宋体"/>
          <w:sz w:val="24"/>
        </w:rPr>
        <w:t>或设计变化</w:t>
      </w:r>
      <w:r>
        <w:rPr>
          <w:rFonts w:hint="eastAsia" w:ascii="宋体" w:hAnsi="宋体" w:eastAsia="宋体" w:cs="宋体"/>
          <w:sz w:val="24"/>
          <w:lang w:eastAsia="zh-CN"/>
        </w:rPr>
        <w:t>，</w:t>
      </w:r>
      <w:r>
        <w:rPr>
          <w:rFonts w:hint="eastAsia" w:ascii="宋体" w:hAnsi="宋体" w:eastAsia="宋体" w:cs="宋体"/>
          <w:sz w:val="24"/>
        </w:rPr>
        <w:t>或设计规模变化时，监理人工作的变化均应视为本合同约定的监理工作。</w:t>
      </w:r>
    </w:p>
    <w:p w14:paraId="529DDBE2">
      <w:pPr>
        <w:pStyle w:val="43"/>
        <w:numPr>
          <w:ilvl w:val="0"/>
          <w:numId w:val="0"/>
        </w:numPr>
        <w:tabs>
          <w:tab w:val="left" w:pos="1467"/>
        </w:tabs>
        <w:spacing w:line="316" w:lineRule="auto"/>
        <w:ind w:right="251" w:rightChars="0" w:firstLine="480" w:firstLineChars="200"/>
        <w:jc w:val="both"/>
        <w:rPr>
          <w:rFonts w:hint="eastAsia" w:ascii="宋体" w:hAnsi="宋体" w:eastAsia="宋体" w:cs="宋体"/>
          <w:sz w:val="24"/>
        </w:rPr>
      </w:pPr>
      <w:r>
        <w:rPr>
          <w:rFonts w:hint="eastAsia" w:ascii="宋体" w:hAnsi="宋体" w:eastAsia="宋体" w:cs="宋体"/>
          <w:sz w:val="24"/>
          <w:lang w:val="en-US" w:eastAsia="zh-CN"/>
        </w:rPr>
        <w:t>3.1.7</w:t>
      </w:r>
      <w:r>
        <w:rPr>
          <w:rFonts w:hint="eastAsia" w:ascii="宋体" w:hAnsi="宋体" w:eastAsia="宋体" w:cs="宋体"/>
          <w:sz w:val="24"/>
        </w:rPr>
        <w:t>在本合同约定的服务期间，不因物价变动而对约定的监理酬金浮动幅度作任何调整。</w:t>
      </w:r>
    </w:p>
    <w:p w14:paraId="0D188267">
      <w:pPr>
        <w:pStyle w:val="43"/>
        <w:numPr>
          <w:ilvl w:val="0"/>
          <w:numId w:val="0"/>
        </w:numPr>
        <w:tabs>
          <w:tab w:val="left" w:pos="1467"/>
        </w:tabs>
        <w:spacing w:line="316" w:lineRule="auto"/>
        <w:ind w:right="245" w:rightChars="0" w:firstLine="480" w:firstLineChars="200"/>
        <w:jc w:val="both"/>
        <w:rPr>
          <w:sz w:val="24"/>
        </w:rPr>
      </w:pPr>
      <w:r>
        <w:rPr>
          <w:rFonts w:hint="eastAsia" w:ascii="宋体" w:hAnsi="宋体" w:eastAsia="宋体" w:cs="宋体"/>
          <w:sz w:val="24"/>
          <w:lang w:val="en-US" w:eastAsia="zh-CN"/>
        </w:rPr>
        <w:t>3.1.8</w:t>
      </w:r>
      <w:r>
        <w:rPr>
          <w:rFonts w:hint="eastAsia" w:ascii="宋体" w:hAnsi="宋体" w:eastAsia="宋体" w:cs="宋体"/>
          <w:sz w:val="24"/>
        </w:rPr>
        <w:t>在</w:t>
      </w:r>
      <w:r>
        <w:rPr>
          <w:sz w:val="24"/>
        </w:rPr>
        <w:t>本合同约定的监理范围内，非因监理人原因造成工程延期，致使监理服务期出现延长，监理人的责任期也应相应延长，本合同监理酬金不作调整，双方另有约定的除外。</w:t>
      </w:r>
    </w:p>
    <w:p w14:paraId="333904C6">
      <w:pPr>
        <w:pStyle w:val="43"/>
        <w:numPr>
          <w:ilvl w:val="0"/>
          <w:numId w:val="0"/>
        </w:numPr>
        <w:tabs>
          <w:tab w:val="left" w:pos="1467"/>
        </w:tabs>
        <w:spacing w:line="316" w:lineRule="auto"/>
        <w:ind w:right="245" w:rightChars="0" w:firstLine="480" w:firstLineChars="200"/>
        <w:jc w:val="both"/>
        <w:rPr>
          <w:rFonts w:hint="eastAsia" w:ascii="宋体" w:hAnsi="宋体" w:eastAsia="宋体" w:cs="宋体"/>
          <w:sz w:val="24"/>
        </w:rPr>
      </w:pPr>
      <w:r>
        <w:rPr>
          <w:rFonts w:hint="eastAsia" w:ascii="宋体" w:hAnsi="宋体" w:eastAsia="宋体" w:cs="宋体"/>
          <w:sz w:val="24"/>
          <w:lang w:val="en-US" w:eastAsia="zh-CN"/>
        </w:rPr>
        <w:t>3.1.9</w:t>
      </w:r>
      <w:r>
        <w:rPr>
          <w:rFonts w:hint="eastAsia" w:ascii="宋体" w:hAnsi="宋体" w:eastAsia="宋体" w:cs="宋体"/>
          <w:sz w:val="24"/>
        </w:rPr>
        <w:t>如在工程实施期间，因国家政策变化、政府对本合同工程的计划调整或不可抗力等非委托人主观原因造成本合同工程停建的，则监理人必须接受终止服务并积极配合委托人做好善后工作，按已实际完成的监理服务内容和本合同的相关约定结清监理酬金，监理人不得要求额外的费用及任何形式的补偿。</w:t>
      </w:r>
    </w:p>
    <w:p w14:paraId="12EFFA33">
      <w:pPr>
        <w:pStyle w:val="43"/>
        <w:numPr>
          <w:ilvl w:val="0"/>
          <w:numId w:val="0"/>
        </w:numPr>
        <w:tabs>
          <w:tab w:val="left" w:pos="1527"/>
        </w:tabs>
        <w:spacing w:line="316" w:lineRule="auto"/>
        <w:ind w:right="245" w:rightChars="0" w:firstLine="480" w:firstLineChars="200"/>
        <w:jc w:val="both"/>
        <w:rPr>
          <w:rFonts w:hint="eastAsia" w:ascii="宋体" w:hAnsi="宋体" w:eastAsia="宋体" w:cs="宋体"/>
          <w:sz w:val="24"/>
        </w:rPr>
      </w:pPr>
      <w:r>
        <w:rPr>
          <w:rFonts w:hint="eastAsia" w:ascii="宋体" w:hAnsi="宋体" w:eastAsia="宋体" w:cs="宋体"/>
          <w:sz w:val="24"/>
          <w:lang w:val="en-US" w:eastAsia="zh-CN"/>
        </w:rPr>
        <w:t>3.1.10</w:t>
      </w:r>
      <w:r>
        <w:rPr>
          <w:rFonts w:hint="eastAsia" w:ascii="宋体" w:hAnsi="宋体" w:eastAsia="宋体" w:cs="宋体"/>
          <w:sz w:val="24"/>
        </w:rPr>
        <w:t>如在工程实施期间，因任何原因造成本合同工程中间停工而导致监理人必须二次或多次进出场，监理酬金将不会因此而有所调整，相关费用亦已经包含在本合同监理酬金之中。因工程中间停工而不退场的，在此期间，监理人可与委托人协商减少驻场监理人员的数量，但本合同监理酬金不作调整。</w:t>
      </w:r>
    </w:p>
    <w:p w14:paraId="722C4492">
      <w:pPr>
        <w:pStyle w:val="43"/>
        <w:numPr>
          <w:ilvl w:val="0"/>
          <w:numId w:val="0"/>
        </w:numPr>
        <w:tabs>
          <w:tab w:val="left" w:pos="1527"/>
        </w:tabs>
        <w:spacing w:line="316" w:lineRule="auto"/>
        <w:ind w:right="245" w:rightChars="0" w:firstLine="480" w:firstLineChars="200"/>
        <w:jc w:val="both"/>
        <w:rPr>
          <w:rFonts w:eastAsia="宋体"/>
          <w:sz w:val="24"/>
        </w:rPr>
      </w:pPr>
      <w:r>
        <w:rPr>
          <w:rFonts w:hint="eastAsia" w:ascii="宋体" w:hAnsi="宋体" w:eastAsia="宋体" w:cs="宋体"/>
          <w:sz w:val="24"/>
          <w:lang w:val="en-US" w:eastAsia="zh-CN"/>
        </w:rPr>
        <w:t>3.1.11</w:t>
      </w:r>
      <w:r>
        <w:rPr>
          <w:rFonts w:hint="eastAsia" w:ascii="宋体" w:hAnsi="宋体" w:eastAsia="宋体" w:cs="宋体"/>
          <w:sz w:val="24"/>
        </w:rPr>
        <w:t>本项目为</w:t>
      </w:r>
      <w:r>
        <w:rPr>
          <w:rFonts w:hint="eastAsia" w:eastAsia="宋体"/>
          <w:sz w:val="24"/>
        </w:rPr>
        <w:t>总价控制项目，监理费结算价在合同价</w:t>
      </w:r>
      <w:r>
        <w:rPr>
          <w:rFonts w:eastAsia="宋体"/>
          <w:sz w:val="24"/>
        </w:rPr>
        <w:t>110%（含110%）内的，按照原合同约定支付，</w:t>
      </w:r>
      <w:r>
        <w:rPr>
          <w:rFonts w:hint="eastAsia" w:eastAsia="宋体"/>
          <w:sz w:val="24"/>
        </w:rPr>
        <w:t>并由甲乙双方签订补充协议予以确认，</w:t>
      </w:r>
      <w:r>
        <w:rPr>
          <w:rFonts w:eastAsia="宋体"/>
          <w:sz w:val="24"/>
        </w:rPr>
        <w:t>超过合同价110%的部分不予支付。</w:t>
      </w:r>
    </w:p>
    <w:p w14:paraId="5716D71A">
      <w:pPr>
        <w:pStyle w:val="14"/>
        <w:numPr>
          <w:ilvl w:val="1"/>
          <w:numId w:val="8"/>
        </w:numPr>
        <w:tabs>
          <w:tab w:val="left" w:pos="1131"/>
        </w:tabs>
        <w:spacing w:line="302" w:lineRule="exact"/>
        <w:ind w:hanging="426"/>
        <w:jc w:val="both"/>
      </w:pPr>
      <w:r>
        <w:t>监理酬金的支付</w:t>
      </w:r>
    </w:p>
    <w:p w14:paraId="4C0C6DAE">
      <w:pPr>
        <w:pStyle w:val="43"/>
        <w:numPr>
          <w:ilvl w:val="2"/>
          <w:numId w:val="8"/>
        </w:numPr>
        <w:tabs>
          <w:tab w:val="left" w:pos="1467"/>
        </w:tabs>
        <w:spacing w:before="75" w:line="316" w:lineRule="auto"/>
        <w:ind w:right="245" w:firstLine="496"/>
        <w:jc w:val="both"/>
        <w:rPr>
          <w:sz w:val="24"/>
        </w:rPr>
      </w:pPr>
      <w:r>
        <w:rPr>
          <w:sz w:val="24"/>
        </w:rPr>
        <w:t>监理人向委托人承诺，将按照本合同的约定完成本合同监理服务的工作内容且相关的监理服务须达到令委托人满意的程度。监理人如未能按约定完成相关工作内容的工作成果，或完成的工作成果未能达到约定的审核标准，或委托人对监理工作情况的检查结果未能达到约定的令人满意的程度，均视为监理人对该承诺的违反，委托人将在合同监理酬金暂定金额中扣减相关监理工作内容的酬金</w:t>
      </w:r>
      <w:r>
        <w:rPr>
          <w:rFonts w:hint="eastAsia"/>
          <w:sz w:val="24"/>
        </w:rPr>
        <w:t>并按合同专用条款第4条约定处以罚金</w:t>
      </w:r>
      <w:r>
        <w:rPr>
          <w:sz w:val="24"/>
        </w:rPr>
        <w:t>。监理人对于履行监理职责方面的违约责任按照专用条款第 4.1 款的相关约定执行。</w:t>
      </w:r>
    </w:p>
    <w:p w14:paraId="58BEE25C">
      <w:pPr>
        <w:pStyle w:val="43"/>
        <w:numPr>
          <w:ilvl w:val="-1"/>
          <w:numId w:val="0"/>
        </w:numPr>
        <w:tabs>
          <w:tab w:val="left" w:pos="0"/>
        </w:tabs>
        <w:spacing w:line="298" w:lineRule="exact"/>
        <w:ind w:left="-34" w:leftChars="-16" w:firstLine="720" w:firstLineChars="300"/>
        <w:jc w:val="both"/>
        <w:rPr>
          <w:sz w:val="24"/>
        </w:rPr>
      </w:pPr>
      <w:r>
        <w:rPr>
          <w:rFonts w:hint="eastAsia" w:ascii="宋体" w:hAnsi="宋体" w:eastAsia="宋体" w:cs="宋体"/>
          <w:sz w:val="24"/>
          <w:lang w:val="en-US" w:eastAsia="zh-CN"/>
        </w:rPr>
        <w:t>3.2.2</w:t>
      </w:r>
      <w:r>
        <w:rPr>
          <w:sz w:val="24"/>
        </w:rPr>
        <w:t>委托人同意按以下的支付时间与金额，支付监理人的报酬：</w:t>
      </w:r>
    </w:p>
    <w:p w14:paraId="29084845">
      <w:pPr>
        <w:pStyle w:val="43"/>
        <w:tabs>
          <w:tab w:val="left" w:pos="1325"/>
        </w:tabs>
        <w:spacing w:line="298" w:lineRule="exact"/>
        <w:ind w:left="271" w:leftChars="129" w:firstLine="424" w:firstLineChars="177"/>
        <w:jc w:val="both"/>
        <w:rPr>
          <w:sz w:val="24"/>
        </w:rPr>
      </w:pPr>
      <w:r>
        <w:rPr>
          <w:rFonts w:hint="eastAsia"/>
          <w:sz w:val="24"/>
        </w:rPr>
        <w:t>3.2.2.1每个小型项目进度达到</w:t>
      </w:r>
      <w:r>
        <w:rPr>
          <w:sz w:val="24"/>
        </w:rPr>
        <w:t>50%时（以该小型项目施工进度款百分比为准），委托人向监理人支付相应项目监理费的</w:t>
      </w:r>
      <w:r>
        <w:rPr>
          <w:rFonts w:hint="eastAsia"/>
          <w:sz w:val="24"/>
          <w:lang w:val="en-US" w:eastAsia="zh-CN"/>
        </w:rPr>
        <w:t>30</w:t>
      </w:r>
      <w:r>
        <w:rPr>
          <w:sz w:val="24"/>
        </w:rPr>
        <w:t>％。</w:t>
      </w:r>
    </w:p>
    <w:p w14:paraId="4F1EDB40">
      <w:pPr>
        <w:pStyle w:val="43"/>
        <w:tabs>
          <w:tab w:val="left" w:pos="1325"/>
        </w:tabs>
        <w:spacing w:line="298" w:lineRule="exact"/>
        <w:ind w:left="271" w:leftChars="129" w:firstLine="424" w:firstLineChars="177"/>
        <w:jc w:val="both"/>
        <w:rPr>
          <w:sz w:val="24"/>
        </w:rPr>
      </w:pPr>
      <w:r>
        <w:rPr>
          <w:rFonts w:hint="eastAsia"/>
          <w:sz w:val="24"/>
        </w:rPr>
        <w:t>3.2.2.2</w:t>
      </w:r>
      <w:r>
        <w:rPr>
          <w:sz w:val="24"/>
        </w:rPr>
        <w:t>每个项目竣工验收或交付使用后，委托人向监理人支付至相应项目实际监理费的80％。</w:t>
      </w:r>
    </w:p>
    <w:p w14:paraId="4F55388D">
      <w:pPr>
        <w:tabs>
          <w:tab w:val="left" w:pos="1325"/>
        </w:tabs>
        <w:spacing w:line="298" w:lineRule="exact"/>
        <w:ind w:left="271" w:leftChars="129" w:firstLine="424" w:firstLineChars="177"/>
        <w:jc w:val="both"/>
        <w:rPr>
          <w:sz w:val="24"/>
        </w:rPr>
      </w:pPr>
      <w:r>
        <w:rPr>
          <w:rFonts w:hint="eastAsia"/>
          <w:sz w:val="24"/>
        </w:rPr>
        <w:t>3.2.2.3</w:t>
      </w:r>
      <w:r>
        <w:rPr>
          <w:rFonts w:hint="eastAsia" w:ascii="宋体" w:hAnsi="宋体" w:eastAsia="宋体" w:cs="宋体"/>
          <w:color w:val="auto"/>
          <w:sz w:val="24"/>
          <w:szCs w:val="24"/>
          <w:highlight w:val="none"/>
          <w:lang w:val="en-US" w:eastAsia="zh-CN"/>
        </w:rPr>
        <w:t>每个项目工程结算完成后，监理人于15天内向委托人移交监理资料后，委托人向监理人支付至监理费的</w:t>
      </w:r>
      <w:r>
        <w:rPr>
          <w:rFonts w:hint="eastAsia" w:ascii="宋体" w:hAnsi="宋体" w:cs="宋体"/>
          <w:color w:val="auto"/>
          <w:sz w:val="24"/>
          <w:szCs w:val="24"/>
          <w:highlight w:val="none"/>
          <w:lang w:val="en-US" w:eastAsia="zh-CN"/>
        </w:rPr>
        <w:t>100</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p>
    <w:p w14:paraId="48EA0120">
      <w:pPr>
        <w:pStyle w:val="43"/>
        <w:numPr>
          <w:ilvl w:val="2"/>
          <w:numId w:val="8"/>
        </w:numPr>
        <w:tabs>
          <w:tab w:val="left" w:pos="1337"/>
        </w:tabs>
        <w:spacing w:line="316" w:lineRule="auto"/>
        <w:ind w:right="235" w:firstLine="463"/>
        <w:jc w:val="both"/>
        <w:rPr>
          <w:sz w:val="24"/>
        </w:rPr>
      </w:pPr>
      <w:r>
        <w:rPr>
          <w:sz w:val="24"/>
        </w:rPr>
        <w:t>本合同结算监理酬金审定后，委托人发现监理酬金超付的，则监理人必须在 14 日内无条件退还委托人；若监理人迟延退还超付的监理酬金，除须继续向委托人退还超付的监理酬金外，还应每天向委托人支付该超付监理酬金 2‰的违约金。</w:t>
      </w:r>
    </w:p>
    <w:p w14:paraId="422D803C">
      <w:pPr>
        <w:pStyle w:val="43"/>
        <w:numPr>
          <w:ilvl w:val="0"/>
          <w:numId w:val="0"/>
        </w:numPr>
        <w:tabs>
          <w:tab w:val="left" w:pos="1306"/>
        </w:tabs>
        <w:spacing w:line="316" w:lineRule="auto"/>
        <w:ind w:right="235" w:rightChars="0" w:firstLine="480" w:firstLineChars="200"/>
        <w:jc w:val="both"/>
        <w:rPr>
          <w:rFonts w:hint="eastAsia" w:ascii="宋体" w:hAnsi="宋体" w:eastAsia="宋体" w:cs="宋体"/>
          <w:bCs/>
          <w:sz w:val="24"/>
          <w:szCs w:val="36"/>
          <w:lang w:eastAsia="zh-CN"/>
        </w:rPr>
      </w:pPr>
      <w:r>
        <w:rPr>
          <w:rFonts w:hint="eastAsia" w:ascii="宋体" w:hAnsi="宋体" w:eastAsia="宋体" w:cs="宋体"/>
          <w:color w:val="000000"/>
          <w:sz w:val="24"/>
          <w:lang w:val="en-US" w:eastAsia="zh-CN"/>
        </w:rPr>
        <w:t>3.2.3</w:t>
      </w:r>
      <w:r>
        <w:rPr>
          <w:rFonts w:hint="eastAsia" w:ascii="宋体" w:hAnsi="宋体" w:eastAsia="宋体" w:cs="宋体"/>
          <w:bCs/>
          <w:sz w:val="24"/>
          <w:szCs w:val="36"/>
        </w:rPr>
        <w:t>监理</w:t>
      </w:r>
      <w:r>
        <w:rPr>
          <w:rFonts w:hint="eastAsia" w:ascii="宋体" w:hAnsi="宋体" w:eastAsia="宋体" w:cs="宋体"/>
          <w:bCs/>
          <w:sz w:val="24"/>
          <w:szCs w:val="36"/>
          <w:lang w:val="en-US" w:eastAsia="zh-CN"/>
        </w:rPr>
        <w:t>服务</w:t>
      </w:r>
      <w:r>
        <w:rPr>
          <w:rFonts w:hint="eastAsia" w:ascii="宋体" w:hAnsi="宋体" w:eastAsia="宋体" w:cs="宋体"/>
          <w:bCs/>
          <w:sz w:val="24"/>
          <w:szCs w:val="36"/>
        </w:rPr>
        <w:t>费用</w:t>
      </w:r>
      <w:r>
        <w:rPr>
          <w:rFonts w:hint="eastAsia" w:ascii="宋体" w:hAnsi="宋体" w:eastAsia="宋体" w:cs="宋体"/>
          <w:bCs/>
          <w:sz w:val="24"/>
          <w:szCs w:val="36"/>
          <w:lang w:val="en-US" w:eastAsia="zh-CN"/>
        </w:rPr>
        <w:t>按项目分别结算。各项目监理费金额=</w:t>
      </w:r>
      <w:r>
        <w:rPr>
          <w:rFonts w:hint="eastAsia" w:ascii="宋体" w:hAnsi="宋体" w:eastAsia="宋体" w:cs="宋体"/>
          <w:bCs/>
          <w:sz w:val="24"/>
          <w:szCs w:val="36"/>
        </w:rPr>
        <w:t>各项目施工合同价</w:t>
      </w:r>
      <w:r>
        <w:rPr>
          <w:rFonts w:hint="eastAsia" w:ascii="宋体" w:hAnsi="宋体" w:eastAsia="宋体" w:cs="宋体"/>
          <w:bCs/>
          <w:sz w:val="24"/>
          <w:szCs w:val="36"/>
          <w:lang w:val="en-US" w:eastAsia="zh-CN"/>
        </w:rPr>
        <w:t>金额</w:t>
      </w:r>
      <w:r>
        <w:rPr>
          <w:rFonts w:hint="eastAsia" w:ascii="宋体" w:hAnsi="宋体" w:eastAsia="宋体" w:cs="宋体"/>
          <w:bCs/>
          <w:sz w:val="24"/>
          <w:szCs w:val="36"/>
        </w:rPr>
        <w:t>×监理</w:t>
      </w:r>
      <w:r>
        <w:rPr>
          <w:rFonts w:hint="eastAsia" w:ascii="宋体" w:hAnsi="宋体" w:eastAsia="宋体" w:cs="宋体"/>
          <w:bCs/>
          <w:sz w:val="24"/>
          <w:szCs w:val="36"/>
          <w:lang w:val="en-US" w:eastAsia="zh-CN"/>
        </w:rPr>
        <w:t>服务费</w:t>
      </w:r>
      <w:r>
        <w:rPr>
          <w:rFonts w:hint="eastAsia" w:ascii="宋体" w:hAnsi="宋体" w:eastAsia="宋体" w:cs="宋体"/>
          <w:bCs/>
          <w:sz w:val="24"/>
          <w:szCs w:val="36"/>
        </w:rPr>
        <w:t>费率</w:t>
      </w:r>
      <w:r>
        <w:rPr>
          <w:rFonts w:hint="eastAsia" w:ascii="宋体" w:hAnsi="宋体" w:eastAsia="宋体" w:cs="宋体"/>
          <w:bCs/>
          <w:sz w:val="24"/>
          <w:szCs w:val="36"/>
          <w:lang w:eastAsia="zh-CN"/>
        </w:rPr>
        <w:t>。</w:t>
      </w:r>
    </w:p>
    <w:p w14:paraId="70F18267">
      <w:pPr>
        <w:pStyle w:val="43"/>
        <w:numPr>
          <w:ilvl w:val="0"/>
          <w:numId w:val="0"/>
        </w:numPr>
        <w:tabs>
          <w:tab w:val="left" w:pos="1306"/>
        </w:tabs>
        <w:spacing w:line="316" w:lineRule="auto"/>
        <w:ind w:right="235" w:rightChars="0" w:firstLine="480" w:firstLineChars="200"/>
        <w:jc w:val="both"/>
        <w:rPr>
          <w:rFonts w:hint="eastAsia" w:ascii="宋体" w:hAnsi="宋体" w:eastAsia="宋体" w:cs="宋体"/>
          <w:bCs/>
          <w:sz w:val="24"/>
          <w:lang w:val="en-US" w:eastAsia="zh-CN"/>
        </w:rPr>
      </w:pPr>
      <w:r>
        <w:rPr>
          <w:rFonts w:hint="eastAsia" w:ascii="宋体" w:hAnsi="宋体" w:eastAsia="宋体" w:cs="宋体"/>
          <w:bCs/>
          <w:sz w:val="24"/>
          <w:szCs w:val="36"/>
          <w:lang w:val="en-US" w:eastAsia="zh-CN"/>
        </w:rPr>
        <w:t>3.2.4</w:t>
      </w:r>
      <w:r>
        <w:rPr>
          <w:rFonts w:hint="eastAsia" w:ascii="宋体" w:hAnsi="宋体" w:eastAsia="宋体" w:cs="宋体"/>
          <w:bCs/>
          <w:sz w:val="24"/>
          <w:lang w:val="en-US" w:eastAsia="zh-CN"/>
        </w:rPr>
        <w:t>原则上监理费用每季度支付一次。</w:t>
      </w:r>
    </w:p>
    <w:p w14:paraId="6871C85C">
      <w:pPr>
        <w:pStyle w:val="43"/>
        <w:numPr>
          <w:ilvl w:val="0"/>
          <w:numId w:val="0"/>
        </w:numPr>
        <w:tabs>
          <w:tab w:val="left" w:pos="1306"/>
        </w:tabs>
        <w:spacing w:line="316" w:lineRule="auto"/>
        <w:ind w:right="235" w:rightChars="0" w:firstLine="480" w:firstLineChars="200"/>
        <w:jc w:val="both"/>
        <w:rPr>
          <w:rFonts w:hint="eastAsia" w:ascii="宋体" w:hAnsi="宋体" w:eastAsia="宋体" w:cs="宋体"/>
          <w:bCs/>
          <w:sz w:val="24"/>
          <w:lang w:val="en-US" w:eastAsia="zh-CN"/>
        </w:rPr>
      </w:pPr>
      <w:r>
        <w:rPr>
          <w:rFonts w:hint="eastAsia" w:ascii="宋体" w:hAnsi="宋体" w:eastAsia="宋体" w:cs="宋体"/>
          <w:bCs/>
          <w:sz w:val="24"/>
          <w:lang w:val="en-US" w:eastAsia="zh-CN"/>
        </w:rPr>
        <w:t>3.2.5监理人在完成各阶段相应工作后，应</w:t>
      </w:r>
      <w:r>
        <w:rPr>
          <w:rFonts w:hint="eastAsia" w:ascii="宋体" w:hAnsi="宋体" w:eastAsia="宋体" w:cs="宋体"/>
          <w:bCs/>
          <w:color w:val="auto"/>
          <w:sz w:val="24"/>
          <w:lang w:val="en-US" w:eastAsia="zh-CN"/>
        </w:rPr>
        <w:t>以书面形式向委托人申请监理费。请款资料经过委托人审计部门审核无误，委托人收到监理人合法等额发票且满足支付条件后30天内支付监理费。</w:t>
      </w:r>
    </w:p>
    <w:p w14:paraId="1D5EC1CD">
      <w:pPr>
        <w:pStyle w:val="43"/>
        <w:numPr>
          <w:ilvl w:val="0"/>
          <w:numId w:val="0"/>
        </w:numPr>
        <w:tabs>
          <w:tab w:val="left" w:pos="1306"/>
        </w:tabs>
        <w:spacing w:line="316" w:lineRule="auto"/>
        <w:ind w:right="235" w:rightChars="0" w:firstLine="480" w:firstLineChars="200"/>
        <w:jc w:val="both"/>
        <w:rPr>
          <w:rFonts w:hint="eastAsia" w:ascii="宋体" w:hAnsi="宋体" w:eastAsia="宋体" w:cs="宋体"/>
          <w:sz w:val="24"/>
        </w:rPr>
      </w:pPr>
      <w:r>
        <w:rPr>
          <w:rFonts w:hint="eastAsia" w:ascii="宋体" w:hAnsi="宋体" w:eastAsia="宋体" w:cs="宋体"/>
          <w:color w:val="000000"/>
          <w:sz w:val="24"/>
          <w:lang w:val="en-US" w:eastAsia="zh-CN"/>
        </w:rPr>
        <w:t>3.2.6</w:t>
      </w:r>
      <w:r>
        <w:rPr>
          <w:rFonts w:hint="eastAsia" w:ascii="宋体" w:hAnsi="宋体" w:eastAsia="宋体" w:cs="宋体"/>
          <w:bCs/>
          <w:color w:val="auto"/>
          <w:sz w:val="24"/>
          <w:lang w:val="en-US" w:eastAsia="zh-CN"/>
        </w:rPr>
        <w:t>付款形式：采用支票、银行汇付（含电汇）等形式。</w:t>
      </w:r>
    </w:p>
    <w:p w14:paraId="6A5E71BC">
      <w:pPr>
        <w:pStyle w:val="43"/>
        <w:numPr>
          <w:ilvl w:val="-1"/>
          <w:numId w:val="0"/>
        </w:numPr>
        <w:spacing w:line="304" w:lineRule="exact"/>
        <w:ind w:firstLine="480" w:firstLineChars="200"/>
        <w:jc w:val="both"/>
        <w:rPr>
          <w:sz w:val="24"/>
        </w:rPr>
      </w:pPr>
      <w:r>
        <w:rPr>
          <w:rFonts w:hint="eastAsia" w:ascii="宋体" w:hAnsi="宋体" w:eastAsia="宋体" w:cs="宋体"/>
          <w:sz w:val="24"/>
          <w:lang w:val="en-US" w:eastAsia="zh-CN"/>
        </w:rPr>
        <w:t>3.2.7</w:t>
      </w:r>
      <w:r>
        <w:rPr>
          <w:rFonts w:hint="eastAsia" w:ascii="宋体" w:hAnsi="宋体" w:eastAsia="宋体" w:cs="宋体"/>
          <w:sz w:val="24"/>
        </w:rPr>
        <w:t>本项目工程监理费用不因工期变化而调整。</w:t>
      </w:r>
    </w:p>
    <w:p w14:paraId="77925F14">
      <w:pPr>
        <w:pStyle w:val="14"/>
        <w:spacing w:before="179"/>
        <w:ind w:left="705" w:firstLine="0"/>
      </w:pPr>
      <w:r>
        <w:t>四、总监理工程师</w:t>
      </w:r>
    </w:p>
    <w:p w14:paraId="2295D6DE">
      <w:pPr>
        <w:pStyle w:val="3"/>
        <w:tabs>
          <w:tab w:val="left" w:pos="3446"/>
          <w:tab w:val="left" w:pos="5911"/>
          <w:tab w:val="left" w:pos="7910"/>
        </w:tabs>
        <w:spacing w:before="98"/>
        <w:ind w:left="686"/>
      </w:pPr>
      <w:r>
        <w:t>总监理工程师姓名：</w:t>
      </w:r>
      <w:r>
        <w:rPr>
          <w:rFonts w:hint="eastAsia"/>
          <w:u w:val="single"/>
          <w:lang w:val="en-US"/>
        </w:rPr>
        <w:t xml:space="preserve">     </w:t>
      </w:r>
      <w:r>
        <w:rPr>
          <w:rFonts w:hint="eastAsia"/>
          <w:u w:val="single"/>
        </w:rPr>
        <w:t xml:space="preserve"> </w:t>
      </w:r>
      <w:r>
        <w:t>，身份证号码：</w:t>
      </w:r>
      <w:r>
        <w:rPr>
          <w:rFonts w:hint="eastAsia"/>
          <w:u w:val="single"/>
          <w:lang w:val="en-US"/>
        </w:rPr>
        <w:t xml:space="preserve">           </w:t>
      </w:r>
      <w:r>
        <w:t>，注册号：</w:t>
      </w:r>
      <w:r>
        <w:rPr>
          <w:rFonts w:hint="eastAsia"/>
          <w:u w:val="single"/>
          <w:lang w:val="en-US"/>
        </w:rPr>
        <w:t xml:space="preserve">       </w:t>
      </w:r>
      <w:r>
        <w:t>。</w:t>
      </w:r>
    </w:p>
    <w:p w14:paraId="7995BEBF">
      <w:pPr>
        <w:pStyle w:val="3"/>
        <w:spacing w:before="1"/>
        <w:ind w:left="0"/>
        <w:rPr>
          <w:sz w:val="19"/>
        </w:rPr>
      </w:pPr>
    </w:p>
    <w:p w14:paraId="58B07A3E">
      <w:pPr>
        <w:pStyle w:val="14"/>
        <w:spacing w:before="1"/>
        <w:ind w:left="705" w:firstLine="0"/>
      </w:pPr>
      <w:r>
        <w:t>五、词语限定</w:t>
      </w:r>
    </w:p>
    <w:p w14:paraId="05E6FE82">
      <w:pPr>
        <w:pStyle w:val="3"/>
        <w:spacing w:before="95"/>
        <w:ind w:left="686"/>
      </w:pPr>
      <w:r>
        <w:t>本协议书中相关词语的含义与专用条款、通用条款中的定义与解释相同。</w:t>
      </w:r>
    </w:p>
    <w:p w14:paraId="66A44F52">
      <w:pPr>
        <w:pStyle w:val="14"/>
        <w:spacing w:before="197"/>
        <w:ind w:left="705" w:firstLine="0"/>
      </w:pPr>
      <w:r>
        <w:t>六、主要人员信息提供</w:t>
      </w:r>
    </w:p>
    <w:p w14:paraId="4278F9DB">
      <w:pPr>
        <w:pStyle w:val="3"/>
        <w:spacing w:before="95" w:line="316" w:lineRule="auto"/>
        <w:ind w:right="188" w:firstLine="480"/>
      </w:pPr>
      <w:r>
        <w:t>监理人应在收到</w:t>
      </w:r>
      <w:r>
        <w:rPr>
          <w:rFonts w:hint="eastAsia"/>
          <w:lang w:val="en-US" w:eastAsia="zh-CN"/>
        </w:rPr>
        <w:t>成交</w:t>
      </w:r>
      <w:r>
        <w:t>通知书之日起 5 日内以书面形式向委托人提交其法定代表人、总监理工程师、项目总监代表的姓名、身份证号码、职务、职称、联系方式（包括办公电话、手机、传真号码）、通信地址等信息作为合同附件。</w:t>
      </w:r>
    </w:p>
    <w:p w14:paraId="385C6B4C">
      <w:pPr>
        <w:pStyle w:val="14"/>
        <w:spacing w:before="196"/>
        <w:ind w:left="705" w:firstLine="0"/>
      </w:pPr>
      <w:r>
        <w:t>七、监理人资料变更</w:t>
      </w:r>
    </w:p>
    <w:p w14:paraId="338642A4">
      <w:pPr>
        <w:pStyle w:val="3"/>
        <w:spacing w:before="96" w:line="316" w:lineRule="auto"/>
        <w:ind w:right="230" w:firstLine="480"/>
        <w:jc w:val="both"/>
        <w:rPr>
          <w:sz w:val="21"/>
          <w:szCs w:val="21"/>
        </w:rPr>
      </w:pPr>
      <w:r>
        <w:t>在本合同有效期内，监理人的单位名称变更的，应及时以书面形式通知委托人并附上变更登记资料；监理人法定代表人变更的，应在变更后 15 日内向委托人提交新法定代表人的姓名、身份证号码、职务、职称、联系电话、通信地址等信息。</w:t>
      </w:r>
    </w:p>
    <w:p w14:paraId="3C6544C3">
      <w:pPr>
        <w:pStyle w:val="4"/>
      </w:pPr>
    </w:p>
    <w:p w14:paraId="61E6B31F">
      <w:pPr>
        <w:pStyle w:val="14"/>
        <w:ind w:left="705" w:firstLine="0"/>
      </w:pPr>
      <w:r>
        <w:t>八、人员变更</w:t>
      </w:r>
    </w:p>
    <w:p w14:paraId="59DC976B">
      <w:pPr>
        <w:pStyle w:val="3"/>
        <w:spacing w:before="96" w:line="316" w:lineRule="auto"/>
        <w:ind w:right="233" w:firstLine="480"/>
        <w:jc w:val="both"/>
        <w:rPr>
          <w:sz w:val="21"/>
          <w:szCs w:val="21"/>
        </w:rPr>
      </w:pPr>
      <w:r>
        <w:t>在本合同有效期内，原则上不能更换总监理工程师，监理人确需更换总监理工程师， 应在更换前 7 日书面报告委托人并得到委托人许可，拟更换的总监理工程师的资格条件不得低于原总监理工程师。</w:t>
      </w:r>
    </w:p>
    <w:p w14:paraId="7411CDE9">
      <w:pPr>
        <w:pStyle w:val="4"/>
      </w:pPr>
    </w:p>
    <w:p w14:paraId="42553D7C">
      <w:pPr>
        <w:pStyle w:val="14"/>
        <w:ind w:left="705" w:firstLine="0"/>
      </w:pPr>
      <w:r>
        <w:t>九、双方承诺</w:t>
      </w:r>
    </w:p>
    <w:p w14:paraId="60832F39">
      <w:pPr>
        <w:pStyle w:val="43"/>
        <w:numPr>
          <w:ilvl w:val="0"/>
          <w:numId w:val="0"/>
        </w:numPr>
        <w:tabs>
          <w:tab w:val="left" w:pos="1276"/>
        </w:tabs>
        <w:spacing w:before="96"/>
        <w:ind w:firstLine="480" w:firstLineChars="200"/>
        <w:rPr>
          <w:sz w:val="24"/>
        </w:rPr>
      </w:pPr>
      <w:r>
        <w:rPr>
          <w:rFonts w:hint="eastAsia"/>
          <w:sz w:val="24"/>
          <w:lang w:eastAsia="zh-CN"/>
        </w:rPr>
        <w:t>（</w:t>
      </w:r>
      <w:r>
        <w:rPr>
          <w:rFonts w:hint="eastAsia"/>
          <w:sz w:val="24"/>
          <w:lang w:val="en-US" w:eastAsia="zh-CN"/>
        </w:rPr>
        <w:t>1）</w:t>
      </w:r>
      <w:r>
        <w:rPr>
          <w:sz w:val="24"/>
        </w:rPr>
        <w:t>监理人向委托人承诺，按照本合同约定提供监理与相关服务。</w:t>
      </w:r>
    </w:p>
    <w:p w14:paraId="7FC4ACDD">
      <w:pPr>
        <w:pStyle w:val="43"/>
        <w:numPr>
          <w:ilvl w:val="0"/>
          <w:numId w:val="0"/>
        </w:numPr>
        <w:tabs>
          <w:tab w:val="left" w:pos="1276"/>
        </w:tabs>
        <w:spacing w:before="98"/>
        <w:ind w:firstLine="480" w:firstLineChars="200"/>
        <w:rPr>
          <w:sz w:val="21"/>
          <w:szCs w:val="21"/>
        </w:rPr>
      </w:pPr>
      <w:r>
        <w:rPr>
          <w:rFonts w:hint="eastAsia"/>
          <w:sz w:val="24"/>
          <w:lang w:eastAsia="zh-CN"/>
        </w:rPr>
        <w:t>（</w:t>
      </w:r>
      <w:r>
        <w:rPr>
          <w:rFonts w:hint="eastAsia"/>
          <w:sz w:val="24"/>
          <w:lang w:val="en-US" w:eastAsia="zh-CN"/>
        </w:rPr>
        <w:t>2）</w:t>
      </w:r>
      <w:r>
        <w:rPr>
          <w:sz w:val="24"/>
        </w:rPr>
        <w:t>委托人向监理人承诺，按照本合同约定支付酬金。</w:t>
      </w:r>
    </w:p>
    <w:p w14:paraId="121B1270">
      <w:pPr>
        <w:pStyle w:val="43"/>
        <w:numPr>
          <w:ilvl w:val="0"/>
          <w:numId w:val="0"/>
        </w:numPr>
        <w:tabs>
          <w:tab w:val="left" w:pos="1276"/>
        </w:tabs>
        <w:spacing w:before="98"/>
        <w:ind w:firstLine="420" w:firstLineChars="200"/>
        <w:rPr>
          <w:sz w:val="21"/>
          <w:szCs w:val="21"/>
        </w:rPr>
      </w:pPr>
    </w:p>
    <w:p w14:paraId="5B521DCD">
      <w:pPr>
        <w:pStyle w:val="14"/>
        <w:ind w:left="705" w:firstLine="0"/>
      </w:pPr>
      <w:r>
        <w:t>十、合同的生效与终止</w:t>
      </w:r>
    </w:p>
    <w:p w14:paraId="27162CE3">
      <w:pPr>
        <w:pStyle w:val="3"/>
        <w:spacing w:before="96" w:line="316" w:lineRule="auto"/>
        <w:ind w:right="233" w:firstLine="480"/>
      </w:pPr>
      <w:r>
        <w:t>本合同自委托人、监理人双方代表签字并加盖公章后生效。以下三个条件均满足后， 双方终止本合同的执行：</w:t>
      </w:r>
    </w:p>
    <w:p w14:paraId="695AB994">
      <w:pPr>
        <w:pStyle w:val="43"/>
        <w:numPr>
          <w:ilvl w:val="0"/>
          <w:numId w:val="0"/>
        </w:numPr>
        <w:tabs>
          <w:tab w:val="left" w:pos="1185"/>
        </w:tabs>
        <w:spacing w:line="305" w:lineRule="exact"/>
        <w:ind w:firstLine="480" w:firstLineChars="200"/>
        <w:rPr>
          <w:sz w:val="24"/>
        </w:rPr>
      </w:pPr>
      <w:r>
        <w:rPr>
          <w:rFonts w:hint="eastAsia"/>
          <w:sz w:val="24"/>
          <w:lang w:eastAsia="zh-CN"/>
        </w:rPr>
        <w:t>（</w:t>
      </w:r>
      <w:r>
        <w:rPr>
          <w:rFonts w:hint="eastAsia"/>
          <w:sz w:val="24"/>
          <w:lang w:val="en-US" w:eastAsia="zh-CN"/>
        </w:rPr>
        <w:t>1）</w:t>
      </w:r>
      <w:r>
        <w:rPr>
          <w:sz w:val="24"/>
        </w:rPr>
        <w:t>本合同工程质量保修期届满；</w:t>
      </w:r>
    </w:p>
    <w:p w14:paraId="5B4EDF6A">
      <w:pPr>
        <w:pStyle w:val="43"/>
        <w:numPr>
          <w:ilvl w:val="0"/>
          <w:numId w:val="0"/>
        </w:numPr>
        <w:tabs>
          <w:tab w:val="left" w:pos="1185"/>
        </w:tabs>
        <w:spacing w:before="98"/>
        <w:ind w:firstLine="480" w:firstLineChars="200"/>
        <w:rPr>
          <w:sz w:val="24"/>
        </w:rPr>
      </w:pPr>
      <w:r>
        <w:rPr>
          <w:rFonts w:hint="eastAsia"/>
          <w:sz w:val="24"/>
          <w:lang w:eastAsia="zh-CN"/>
        </w:rPr>
        <w:t>（</w:t>
      </w:r>
      <w:r>
        <w:rPr>
          <w:rFonts w:hint="eastAsia"/>
          <w:sz w:val="24"/>
          <w:lang w:val="en-US" w:eastAsia="zh-CN"/>
        </w:rPr>
        <w:t>2）</w:t>
      </w:r>
      <w:r>
        <w:rPr>
          <w:sz w:val="24"/>
        </w:rPr>
        <w:t>本合同工程竣工结算经终审部门审定之日起届满 60 日；</w:t>
      </w:r>
    </w:p>
    <w:p w14:paraId="613BD5EE">
      <w:pPr>
        <w:pStyle w:val="43"/>
        <w:numPr>
          <w:ilvl w:val="0"/>
          <w:numId w:val="0"/>
        </w:numPr>
        <w:tabs>
          <w:tab w:val="left" w:pos="1185"/>
        </w:tabs>
        <w:spacing w:before="98"/>
        <w:ind w:firstLine="480" w:firstLineChars="200"/>
        <w:rPr>
          <w:sz w:val="24"/>
        </w:rPr>
      </w:pPr>
      <w:r>
        <w:rPr>
          <w:rFonts w:hint="eastAsia"/>
          <w:sz w:val="24"/>
          <w:lang w:eastAsia="zh-CN"/>
        </w:rPr>
        <w:t>（</w:t>
      </w:r>
      <w:r>
        <w:rPr>
          <w:rFonts w:hint="eastAsia"/>
          <w:sz w:val="24"/>
          <w:lang w:val="en-US" w:eastAsia="zh-CN"/>
        </w:rPr>
        <w:t>3）</w:t>
      </w:r>
      <w:r>
        <w:rPr>
          <w:sz w:val="24"/>
        </w:rPr>
        <w:t>双方在本合同项下的责任承担、义务履行均告完毕。</w:t>
      </w:r>
    </w:p>
    <w:p w14:paraId="58A42A51">
      <w:pPr>
        <w:pStyle w:val="3"/>
        <w:ind w:left="0"/>
      </w:pPr>
    </w:p>
    <w:p w14:paraId="1C8010C8">
      <w:pPr>
        <w:pStyle w:val="14"/>
        <w:spacing w:before="194"/>
        <w:ind w:left="705" w:firstLine="0"/>
      </w:pPr>
      <w:r>
        <w:t>十一、合同文本的份数</w:t>
      </w:r>
    </w:p>
    <w:p w14:paraId="7E33EB69">
      <w:pPr>
        <w:pStyle w:val="3"/>
        <w:spacing w:before="96"/>
        <w:ind w:left="703"/>
      </w:pPr>
      <w:r>
        <w:t>本合同一式</w:t>
      </w:r>
      <w:r>
        <w:rPr>
          <w:rFonts w:hint="eastAsia"/>
          <w:lang w:val="en-US" w:eastAsia="zh-CN"/>
        </w:rPr>
        <w:t>伍</w:t>
      </w:r>
      <w:r>
        <w:t>份，委托人执</w:t>
      </w:r>
      <w:r>
        <w:rPr>
          <w:rFonts w:hint="eastAsia"/>
          <w:lang w:val="en-US" w:eastAsia="zh-CN"/>
        </w:rPr>
        <w:t>叁</w:t>
      </w:r>
      <w:r>
        <w:t>份，监理人执</w:t>
      </w:r>
      <w:r>
        <w:rPr>
          <w:rFonts w:hint="eastAsia"/>
        </w:rPr>
        <w:t>贰</w:t>
      </w:r>
      <w:r>
        <w:t>份。</w:t>
      </w:r>
    </w:p>
    <w:p w14:paraId="4CAD0F5C">
      <w:pPr>
        <w:pStyle w:val="3"/>
        <w:ind w:left="0"/>
      </w:pPr>
    </w:p>
    <w:tbl>
      <w:tblPr>
        <w:tblStyle w:val="29"/>
        <w:tblpPr w:leftFromText="180" w:rightFromText="180" w:vertAnchor="text" w:horzAnchor="page" w:tblpX="1407" w:tblpY="456"/>
        <w:tblOverlap w:val="never"/>
        <w:tblW w:w="0" w:type="auto"/>
        <w:tblInd w:w="0" w:type="dxa"/>
        <w:tblLayout w:type="fixed"/>
        <w:tblCellMar>
          <w:top w:w="0" w:type="dxa"/>
          <w:left w:w="108" w:type="dxa"/>
          <w:bottom w:w="0" w:type="dxa"/>
          <w:right w:w="108" w:type="dxa"/>
        </w:tblCellMar>
      </w:tblPr>
      <w:tblGrid>
        <w:gridCol w:w="4968"/>
        <w:gridCol w:w="3960"/>
      </w:tblGrid>
      <w:tr w14:paraId="4C4EBEDC">
        <w:tblPrEx>
          <w:tblCellMar>
            <w:top w:w="0" w:type="dxa"/>
            <w:left w:w="108" w:type="dxa"/>
            <w:bottom w:w="0" w:type="dxa"/>
            <w:right w:w="108" w:type="dxa"/>
          </w:tblCellMar>
        </w:tblPrEx>
        <w:tc>
          <w:tcPr>
            <w:tcW w:w="4968" w:type="dxa"/>
            <w:noWrap w:val="0"/>
            <w:vAlign w:val="center"/>
          </w:tcPr>
          <w:p w14:paraId="00E14271">
            <w:pPr>
              <w:spacing w:line="360" w:lineRule="auto"/>
              <w:rPr>
                <w:rFonts w:hint="eastAsia" w:ascii="宋体"/>
                <w:sz w:val="24"/>
              </w:rPr>
            </w:pPr>
            <w:r>
              <w:rPr>
                <w:rFonts w:hint="eastAsia" w:ascii="宋体"/>
                <w:sz w:val="24"/>
              </w:rPr>
              <w:t>法定代表人：（签字）</w:t>
            </w:r>
          </w:p>
          <w:p w14:paraId="69590899">
            <w:pPr>
              <w:pStyle w:val="5"/>
            </w:pPr>
          </w:p>
        </w:tc>
        <w:tc>
          <w:tcPr>
            <w:tcW w:w="3960" w:type="dxa"/>
            <w:noWrap w:val="0"/>
            <w:vAlign w:val="center"/>
          </w:tcPr>
          <w:p w14:paraId="159080EF">
            <w:pPr>
              <w:spacing w:line="360" w:lineRule="auto"/>
              <w:rPr>
                <w:rFonts w:hint="eastAsia" w:ascii="宋体"/>
                <w:sz w:val="24"/>
              </w:rPr>
            </w:pPr>
            <w:r>
              <w:rPr>
                <w:rFonts w:hint="eastAsia" w:ascii="宋体"/>
                <w:sz w:val="24"/>
              </w:rPr>
              <w:t>法定代表人：（签字）</w:t>
            </w:r>
          </w:p>
          <w:p w14:paraId="0FB11806">
            <w:pPr>
              <w:pStyle w:val="5"/>
            </w:pPr>
          </w:p>
        </w:tc>
      </w:tr>
      <w:tr w14:paraId="391BEDC8">
        <w:tblPrEx>
          <w:tblCellMar>
            <w:top w:w="0" w:type="dxa"/>
            <w:left w:w="108" w:type="dxa"/>
            <w:bottom w:w="0" w:type="dxa"/>
            <w:right w:w="108" w:type="dxa"/>
          </w:tblCellMar>
        </w:tblPrEx>
        <w:tc>
          <w:tcPr>
            <w:tcW w:w="4968" w:type="dxa"/>
            <w:noWrap w:val="0"/>
            <w:vAlign w:val="center"/>
          </w:tcPr>
          <w:p w14:paraId="05B9DCFA">
            <w:pPr>
              <w:spacing w:line="360" w:lineRule="auto"/>
              <w:rPr>
                <w:rFonts w:hint="eastAsia" w:ascii="宋体"/>
                <w:sz w:val="24"/>
              </w:rPr>
            </w:pPr>
            <w:r>
              <w:rPr>
                <w:rFonts w:hint="eastAsia" w:ascii="宋体"/>
                <w:sz w:val="24"/>
              </w:rPr>
              <w:t>委托代理人：（签字）</w:t>
            </w:r>
          </w:p>
          <w:p w14:paraId="5306FAFD">
            <w:pPr>
              <w:pStyle w:val="5"/>
            </w:pPr>
          </w:p>
        </w:tc>
        <w:tc>
          <w:tcPr>
            <w:tcW w:w="3960" w:type="dxa"/>
            <w:noWrap w:val="0"/>
            <w:vAlign w:val="center"/>
          </w:tcPr>
          <w:p w14:paraId="33D51314">
            <w:pPr>
              <w:spacing w:line="360" w:lineRule="auto"/>
              <w:rPr>
                <w:rFonts w:hint="eastAsia" w:ascii="宋体"/>
                <w:sz w:val="24"/>
              </w:rPr>
            </w:pPr>
            <w:r>
              <w:rPr>
                <w:rFonts w:hint="eastAsia" w:ascii="宋体"/>
                <w:sz w:val="24"/>
              </w:rPr>
              <w:t>委托代理人：（签字）</w:t>
            </w:r>
          </w:p>
          <w:p w14:paraId="449DA2FB">
            <w:pPr>
              <w:pStyle w:val="5"/>
            </w:pPr>
          </w:p>
        </w:tc>
      </w:tr>
      <w:tr w14:paraId="670E86B6">
        <w:tblPrEx>
          <w:tblCellMar>
            <w:top w:w="0" w:type="dxa"/>
            <w:left w:w="108" w:type="dxa"/>
            <w:bottom w:w="0" w:type="dxa"/>
            <w:right w:w="108" w:type="dxa"/>
          </w:tblCellMar>
        </w:tblPrEx>
        <w:tc>
          <w:tcPr>
            <w:tcW w:w="4968" w:type="dxa"/>
            <w:noWrap w:val="0"/>
            <w:vAlign w:val="center"/>
          </w:tcPr>
          <w:p w14:paraId="7B1C32AB">
            <w:pPr>
              <w:spacing w:line="360" w:lineRule="auto"/>
              <w:rPr>
                <w:rFonts w:hint="eastAsia" w:ascii="宋体"/>
                <w:sz w:val="24"/>
              </w:rPr>
            </w:pPr>
            <w:r>
              <w:rPr>
                <w:rFonts w:hint="eastAsia" w:ascii="宋体"/>
                <w:sz w:val="24"/>
              </w:rPr>
              <w:t>联系人：</w:t>
            </w:r>
          </w:p>
          <w:p w14:paraId="6FE9AE23">
            <w:pPr>
              <w:pStyle w:val="5"/>
            </w:pPr>
          </w:p>
        </w:tc>
        <w:tc>
          <w:tcPr>
            <w:tcW w:w="3960" w:type="dxa"/>
            <w:noWrap w:val="0"/>
            <w:vAlign w:val="center"/>
          </w:tcPr>
          <w:p w14:paraId="144965E9">
            <w:pPr>
              <w:spacing w:line="360" w:lineRule="auto"/>
              <w:rPr>
                <w:rFonts w:hint="eastAsia" w:ascii="宋体"/>
                <w:sz w:val="24"/>
              </w:rPr>
            </w:pPr>
            <w:r>
              <w:rPr>
                <w:rFonts w:hint="eastAsia" w:ascii="宋体"/>
                <w:sz w:val="24"/>
              </w:rPr>
              <w:t>联系人：</w:t>
            </w:r>
          </w:p>
          <w:p w14:paraId="19B1022F">
            <w:pPr>
              <w:pStyle w:val="5"/>
            </w:pPr>
          </w:p>
        </w:tc>
      </w:tr>
      <w:tr w14:paraId="67E13BE1">
        <w:tblPrEx>
          <w:tblCellMar>
            <w:top w:w="0" w:type="dxa"/>
            <w:left w:w="108" w:type="dxa"/>
            <w:bottom w:w="0" w:type="dxa"/>
            <w:right w:w="108" w:type="dxa"/>
          </w:tblCellMar>
        </w:tblPrEx>
        <w:tc>
          <w:tcPr>
            <w:tcW w:w="4968" w:type="dxa"/>
            <w:noWrap w:val="0"/>
            <w:vAlign w:val="center"/>
          </w:tcPr>
          <w:p w14:paraId="22C75076">
            <w:pPr>
              <w:spacing w:line="360" w:lineRule="auto"/>
              <w:rPr>
                <w:rFonts w:ascii="宋体"/>
                <w:sz w:val="24"/>
              </w:rPr>
            </w:pPr>
            <w:r>
              <w:rPr>
                <w:rFonts w:hint="eastAsia" w:ascii="宋体"/>
                <w:sz w:val="24"/>
              </w:rPr>
              <w:t>住　　所：广州市沿江西路107号</w:t>
            </w:r>
          </w:p>
        </w:tc>
        <w:tc>
          <w:tcPr>
            <w:tcW w:w="3960" w:type="dxa"/>
            <w:noWrap w:val="0"/>
            <w:vAlign w:val="center"/>
          </w:tcPr>
          <w:p w14:paraId="0A65F65B">
            <w:pPr>
              <w:spacing w:line="360" w:lineRule="auto"/>
              <w:rPr>
                <w:rFonts w:ascii="宋体"/>
                <w:sz w:val="24"/>
              </w:rPr>
            </w:pPr>
            <w:r>
              <w:rPr>
                <w:rFonts w:hint="eastAsia" w:ascii="宋体"/>
                <w:sz w:val="24"/>
              </w:rPr>
              <w:t xml:space="preserve">住　　所： </w:t>
            </w:r>
          </w:p>
        </w:tc>
      </w:tr>
      <w:tr w14:paraId="4806C457">
        <w:tblPrEx>
          <w:tblCellMar>
            <w:top w:w="0" w:type="dxa"/>
            <w:left w:w="108" w:type="dxa"/>
            <w:bottom w:w="0" w:type="dxa"/>
            <w:right w:w="108" w:type="dxa"/>
          </w:tblCellMar>
        </w:tblPrEx>
        <w:tc>
          <w:tcPr>
            <w:tcW w:w="4968" w:type="dxa"/>
            <w:noWrap w:val="0"/>
            <w:vAlign w:val="center"/>
          </w:tcPr>
          <w:p w14:paraId="74F8EE68">
            <w:pPr>
              <w:spacing w:line="360" w:lineRule="auto"/>
              <w:rPr>
                <w:rFonts w:ascii="宋体"/>
                <w:sz w:val="24"/>
              </w:rPr>
            </w:pPr>
            <w:r>
              <w:rPr>
                <w:rFonts w:hint="eastAsia" w:ascii="宋体"/>
                <w:sz w:val="24"/>
              </w:rPr>
              <w:t>邮政编码：510120</w:t>
            </w:r>
          </w:p>
        </w:tc>
        <w:tc>
          <w:tcPr>
            <w:tcW w:w="3960" w:type="dxa"/>
            <w:noWrap w:val="0"/>
            <w:vAlign w:val="center"/>
          </w:tcPr>
          <w:p w14:paraId="44192BB0">
            <w:pPr>
              <w:spacing w:line="360" w:lineRule="auto"/>
              <w:rPr>
                <w:rFonts w:ascii="宋体"/>
                <w:sz w:val="24"/>
              </w:rPr>
            </w:pPr>
            <w:r>
              <w:rPr>
                <w:rFonts w:hint="eastAsia" w:ascii="宋体"/>
                <w:sz w:val="24"/>
              </w:rPr>
              <w:t>邮政编码：</w:t>
            </w:r>
          </w:p>
        </w:tc>
      </w:tr>
      <w:tr w14:paraId="2E591E10">
        <w:tblPrEx>
          <w:tblCellMar>
            <w:top w:w="0" w:type="dxa"/>
            <w:left w:w="108" w:type="dxa"/>
            <w:bottom w:w="0" w:type="dxa"/>
            <w:right w:w="108" w:type="dxa"/>
          </w:tblCellMar>
        </w:tblPrEx>
        <w:tc>
          <w:tcPr>
            <w:tcW w:w="4968" w:type="dxa"/>
            <w:noWrap w:val="0"/>
            <w:vAlign w:val="center"/>
          </w:tcPr>
          <w:p w14:paraId="123C2BD5">
            <w:pPr>
              <w:spacing w:line="360" w:lineRule="auto"/>
              <w:rPr>
                <w:rFonts w:ascii="宋体"/>
                <w:sz w:val="24"/>
              </w:rPr>
            </w:pPr>
            <w:r>
              <w:rPr>
                <w:rFonts w:hint="eastAsia" w:ascii="宋体"/>
                <w:sz w:val="24"/>
              </w:rPr>
              <w:t>电　　话：020-81332029/34071710</w:t>
            </w:r>
          </w:p>
        </w:tc>
        <w:tc>
          <w:tcPr>
            <w:tcW w:w="3960" w:type="dxa"/>
            <w:noWrap w:val="0"/>
            <w:vAlign w:val="center"/>
          </w:tcPr>
          <w:p w14:paraId="2BF89F32">
            <w:pPr>
              <w:spacing w:line="360" w:lineRule="auto"/>
              <w:rPr>
                <w:rFonts w:ascii="宋体"/>
                <w:sz w:val="24"/>
              </w:rPr>
            </w:pPr>
            <w:r>
              <w:rPr>
                <w:rFonts w:hint="eastAsia" w:ascii="宋体"/>
                <w:sz w:val="24"/>
              </w:rPr>
              <w:t>电　　话：</w:t>
            </w:r>
          </w:p>
        </w:tc>
      </w:tr>
      <w:tr w14:paraId="0F598AA7">
        <w:tblPrEx>
          <w:tblCellMar>
            <w:top w:w="0" w:type="dxa"/>
            <w:left w:w="108" w:type="dxa"/>
            <w:bottom w:w="0" w:type="dxa"/>
            <w:right w:w="108" w:type="dxa"/>
          </w:tblCellMar>
        </w:tblPrEx>
        <w:tc>
          <w:tcPr>
            <w:tcW w:w="4968" w:type="dxa"/>
            <w:noWrap w:val="0"/>
            <w:vAlign w:val="center"/>
          </w:tcPr>
          <w:p w14:paraId="68ACDE20">
            <w:pPr>
              <w:spacing w:line="360" w:lineRule="auto"/>
              <w:rPr>
                <w:rFonts w:ascii="宋体"/>
                <w:sz w:val="24"/>
              </w:rPr>
            </w:pPr>
          </w:p>
        </w:tc>
        <w:tc>
          <w:tcPr>
            <w:tcW w:w="3960" w:type="dxa"/>
            <w:noWrap w:val="0"/>
            <w:vAlign w:val="center"/>
          </w:tcPr>
          <w:p w14:paraId="36F4D092">
            <w:pPr>
              <w:spacing w:line="360" w:lineRule="auto"/>
              <w:rPr>
                <w:rFonts w:ascii="宋体"/>
                <w:sz w:val="24"/>
              </w:rPr>
            </w:pPr>
          </w:p>
        </w:tc>
      </w:tr>
      <w:tr w14:paraId="0B3FC69C">
        <w:tblPrEx>
          <w:tblCellMar>
            <w:top w:w="0" w:type="dxa"/>
            <w:left w:w="108" w:type="dxa"/>
            <w:bottom w:w="0" w:type="dxa"/>
            <w:right w:w="108" w:type="dxa"/>
          </w:tblCellMar>
        </w:tblPrEx>
        <w:tc>
          <w:tcPr>
            <w:tcW w:w="4968" w:type="dxa"/>
            <w:noWrap w:val="0"/>
            <w:vAlign w:val="center"/>
          </w:tcPr>
          <w:p w14:paraId="61B87F85">
            <w:pPr>
              <w:spacing w:line="360" w:lineRule="auto"/>
              <w:rPr>
                <w:rFonts w:ascii="宋体"/>
                <w:sz w:val="24"/>
              </w:rPr>
            </w:pPr>
            <w:r>
              <w:rPr>
                <w:rFonts w:hint="eastAsia" w:ascii="宋体"/>
                <w:sz w:val="24"/>
              </w:rPr>
              <w:t>开户银行：广州市工商银行第二支行</w:t>
            </w:r>
          </w:p>
        </w:tc>
        <w:tc>
          <w:tcPr>
            <w:tcW w:w="3960" w:type="dxa"/>
            <w:noWrap w:val="0"/>
            <w:vAlign w:val="center"/>
          </w:tcPr>
          <w:p w14:paraId="50A53351">
            <w:pPr>
              <w:spacing w:line="360" w:lineRule="auto"/>
              <w:rPr>
                <w:rFonts w:ascii="宋体"/>
                <w:sz w:val="24"/>
              </w:rPr>
            </w:pPr>
            <w:r>
              <w:rPr>
                <w:rFonts w:hint="eastAsia" w:ascii="宋体"/>
                <w:sz w:val="24"/>
              </w:rPr>
              <w:t xml:space="preserve">开户银行： </w:t>
            </w:r>
          </w:p>
        </w:tc>
      </w:tr>
      <w:tr w14:paraId="4C8C2609">
        <w:tblPrEx>
          <w:tblCellMar>
            <w:top w:w="0" w:type="dxa"/>
            <w:left w:w="108" w:type="dxa"/>
            <w:bottom w:w="0" w:type="dxa"/>
            <w:right w:w="108" w:type="dxa"/>
          </w:tblCellMar>
        </w:tblPrEx>
        <w:tc>
          <w:tcPr>
            <w:tcW w:w="4968" w:type="dxa"/>
            <w:noWrap w:val="0"/>
            <w:vAlign w:val="center"/>
          </w:tcPr>
          <w:p w14:paraId="4BFA9EBF">
            <w:pPr>
              <w:spacing w:line="360" w:lineRule="auto"/>
              <w:rPr>
                <w:rFonts w:ascii="宋体"/>
                <w:sz w:val="24"/>
              </w:rPr>
            </w:pPr>
            <w:r>
              <w:rPr>
                <w:rFonts w:hint="eastAsia" w:ascii="宋体"/>
                <w:sz w:val="24"/>
                <w:lang w:eastAsia="zh-CN"/>
              </w:rPr>
              <w:t>银行账号</w:t>
            </w:r>
            <w:r>
              <w:rPr>
                <w:rFonts w:hint="eastAsia" w:ascii="宋体"/>
                <w:sz w:val="24"/>
              </w:rPr>
              <w:t>：</w:t>
            </w:r>
            <w:r>
              <w:rPr>
                <w:rFonts w:ascii="宋体"/>
                <w:sz w:val="24"/>
              </w:rPr>
              <w:t>3602000509000704422</w:t>
            </w:r>
          </w:p>
        </w:tc>
        <w:tc>
          <w:tcPr>
            <w:tcW w:w="3960" w:type="dxa"/>
            <w:noWrap w:val="0"/>
            <w:vAlign w:val="center"/>
          </w:tcPr>
          <w:p w14:paraId="7095DA6E">
            <w:pPr>
              <w:spacing w:line="360" w:lineRule="auto"/>
              <w:rPr>
                <w:rFonts w:ascii="宋体"/>
                <w:sz w:val="24"/>
              </w:rPr>
            </w:pPr>
            <w:r>
              <w:rPr>
                <w:rFonts w:hint="eastAsia" w:ascii="宋体"/>
                <w:sz w:val="24"/>
                <w:lang w:eastAsia="zh-CN"/>
              </w:rPr>
              <w:t>银行账号</w:t>
            </w:r>
            <w:r>
              <w:rPr>
                <w:rFonts w:hint="eastAsia" w:ascii="宋体"/>
                <w:sz w:val="24"/>
              </w:rPr>
              <w:t>：</w:t>
            </w:r>
          </w:p>
        </w:tc>
      </w:tr>
      <w:tr w14:paraId="60B0D61A">
        <w:tblPrEx>
          <w:tblCellMar>
            <w:top w:w="0" w:type="dxa"/>
            <w:left w:w="108" w:type="dxa"/>
            <w:bottom w:w="0" w:type="dxa"/>
            <w:right w:w="108" w:type="dxa"/>
          </w:tblCellMar>
        </w:tblPrEx>
        <w:tc>
          <w:tcPr>
            <w:tcW w:w="4968" w:type="dxa"/>
            <w:noWrap w:val="0"/>
            <w:vAlign w:val="center"/>
          </w:tcPr>
          <w:p w14:paraId="22E72F12">
            <w:pPr>
              <w:spacing w:line="360" w:lineRule="auto"/>
              <w:rPr>
                <w:rFonts w:ascii="宋体"/>
                <w:sz w:val="24"/>
              </w:rPr>
            </w:pPr>
          </w:p>
        </w:tc>
        <w:tc>
          <w:tcPr>
            <w:tcW w:w="3960" w:type="dxa"/>
            <w:noWrap w:val="0"/>
            <w:vAlign w:val="center"/>
          </w:tcPr>
          <w:p w14:paraId="741F9CA9">
            <w:pPr>
              <w:spacing w:line="360" w:lineRule="auto"/>
              <w:rPr>
                <w:rFonts w:ascii="宋体"/>
                <w:sz w:val="24"/>
              </w:rPr>
            </w:pPr>
          </w:p>
        </w:tc>
      </w:tr>
      <w:tr w14:paraId="5659792E">
        <w:tblPrEx>
          <w:tblCellMar>
            <w:top w:w="0" w:type="dxa"/>
            <w:left w:w="108" w:type="dxa"/>
            <w:bottom w:w="0" w:type="dxa"/>
            <w:right w:w="108" w:type="dxa"/>
          </w:tblCellMar>
        </w:tblPrEx>
        <w:tc>
          <w:tcPr>
            <w:tcW w:w="4968" w:type="dxa"/>
            <w:noWrap w:val="0"/>
            <w:vAlign w:val="center"/>
          </w:tcPr>
          <w:p w14:paraId="48B899FB">
            <w:pPr>
              <w:spacing w:line="360" w:lineRule="auto"/>
              <w:rPr>
                <w:rFonts w:ascii="宋体"/>
                <w:sz w:val="24"/>
              </w:rPr>
            </w:pPr>
            <w:r>
              <w:rPr>
                <w:rFonts w:hint="eastAsia" w:ascii="宋体"/>
                <w:sz w:val="24"/>
              </w:rPr>
              <w:t>签约日期：20</w:t>
            </w:r>
            <w:r>
              <w:rPr>
                <w:rFonts w:hint="eastAsia" w:ascii="宋体"/>
                <w:sz w:val="24"/>
                <w:lang w:val="en-US" w:eastAsia="zh-CN"/>
              </w:rPr>
              <w:t>25</w:t>
            </w:r>
            <w:r>
              <w:rPr>
                <w:rFonts w:hint="eastAsia" w:ascii="宋体"/>
                <w:sz w:val="24"/>
              </w:rPr>
              <w:t>年　 月　 日</w:t>
            </w:r>
          </w:p>
        </w:tc>
        <w:tc>
          <w:tcPr>
            <w:tcW w:w="3960" w:type="dxa"/>
            <w:noWrap w:val="0"/>
            <w:vAlign w:val="center"/>
          </w:tcPr>
          <w:p w14:paraId="1F4A1877">
            <w:pPr>
              <w:spacing w:line="360" w:lineRule="auto"/>
              <w:rPr>
                <w:rFonts w:ascii="宋体"/>
                <w:sz w:val="24"/>
              </w:rPr>
            </w:pPr>
            <w:r>
              <w:rPr>
                <w:rFonts w:hint="eastAsia" w:ascii="宋体"/>
                <w:sz w:val="24"/>
              </w:rPr>
              <w:t>签约日期：20</w:t>
            </w:r>
            <w:r>
              <w:rPr>
                <w:rFonts w:hint="eastAsia" w:ascii="宋体"/>
                <w:sz w:val="24"/>
                <w:lang w:val="en-US" w:eastAsia="zh-CN"/>
              </w:rPr>
              <w:t>25</w:t>
            </w:r>
            <w:r>
              <w:rPr>
                <w:rFonts w:hint="eastAsia" w:ascii="宋体"/>
                <w:sz w:val="24"/>
              </w:rPr>
              <w:t>年　 月　 日</w:t>
            </w:r>
          </w:p>
        </w:tc>
      </w:tr>
    </w:tbl>
    <w:p w14:paraId="3FE972C1">
      <w:pPr>
        <w:sectPr>
          <w:pgSz w:w="11910" w:h="16840"/>
          <w:pgMar w:top="1134" w:right="1037" w:bottom="1037" w:left="1134" w:header="0" w:footer="917" w:gutter="0"/>
          <w:pgNumType w:fmt="decimal"/>
          <w:cols w:space="720" w:num="1"/>
        </w:sectPr>
      </w:pPr>
    </w:p>
    <w:p w14:paraId="7414CAD4">
      <w:pPr>
        <w:tabs>
          <w:tab w:val="left" w:pos="2207"/>
        </w:tabs>
        <w:spacing w:before="16"/>
        <w:ind w:right="15"/>
        <w:jc w:val="center"/>
        <w:rPr>
          <w:b/>
          <w:sz w:val="44"/>
        </w:rPr>
      </w:pPr>
      <w:bookmarkStart w:id="134" w:name="_TOC_250002"/>
      <w:bookmarkEnd w:id="134"/>
      <w:r>
        <w:rPr>
          <w:b/>
          <w:sz w:val="44"/>
        </w:rPr>
        <w:t>第二部分</w:t>
      </w:r>
      <w:r>
        <w:rPr>
          <w:b/>
          <w:sz w:val="44"/>
        </w:rPr>
        <w:tab/>
      </w:r>
      <w:r>
        <w:rPr>
          <w:b/>
          <w:sz w:val="44"/>
        </w:rPr>
        <w:t>通用条款</w:t>
      </w:r>
    </w:p>
    <w:p w14:paraId="65BEDDEE">
      <w:pPr>
        <w:pStyle w:val="3"/>
        <w:ind w:left="0"/>
        <w:rPr>
          <w:b/>
          <w:sz w:val="20"/>
        </w:rPr>
      </w:pPr>
    </w:p>
    <w:p w14:paraId="781C40E9">
      <w:pPr>
        <w:pStyle w:val="3"/>
        <w:ind w:left="0"/>
        <w:rPr>
          <w:b/>
          <w:sz w:val="20"/>
        </w:rPr>
      </w:pPr>
    </w:p>
    <w:p w14:paraId="725B18EB">
      <w:pPr>
        <w:pStyle w:val="3"/>
        <w:spacing w:before="6"/>
        <w:ind w:left="0"/>
        <w:rPr>
          <w:b/>
          <w:sz w:val="26"/>
        </w:rPr>
      </w:pPr>
    </w:p>
    <w:p w14:paraId="0FF52726">
      <w:pPr>
        <w:pStyle w:val="13"/>
        <w:numPr>
          <w:ilvl w:val="0"/>
          <w:numId w:val="9"/>
        </w:numPr>
        <w:tabs>
          <w:tab w:val="left" w:pos="507"/>
        </w:tabs>
        <w:spacing w:before="62"/>
        <w:rPr>
          <w:sz w:val="24"/>
          <w:szCs w:val="24"/>
        </w:rPr>
      </w:pPr>
      <w:r>
        <w:rPr>
          <w:sz w:val="24"/>
          <w:szCs w:val="24"/>
        </w:rPr>
        <w:t>定义与解释</w:t>
      </w:r>
    </w:p>
    <w:p w14:paraId="4E0365E9">
      <w:pPr>
        <w:pStyle w:val="3"/>
        <w:spacing w:before="10"/>
        <w:ind w:left="0"/>
        <w:rPr>
          <w:b/>
          <w:sz w:val="20"/>
        </w:rPr>
      </w:pPr>
    </w:p>
    <w:p w14:paraId="589315FF">
      <w:pPr>
        <w:pStyle w:val="43"/>
        <w:numPr>
          <w:ilvl w:val="1"/>
          <w:numId w:val="9"/>
        </w:numPr>
        <w:spacing w:before="1"/>
        <w:ind w:left="0" w:leftChars="0" w:firstLine="0" w:firstLineChars="0"/>
        <w:rPr>
          <w:sz w:val="24"/>
        </w:rPr>
      </w:pPr>
      <w:r>
        <w:rPr>
          <w:sz w:val="24"/>
        </w:rPr>
        <w:t>定义</w:t>
      </w:r>
    </w:p>
    <w:p w14:paraId="4B21E797">
      <w:pPr>
        <w:pStyle w:val="3"/>
        <w:spacing w:before="81" w:line="362" w:lineRule="auto"/>
        <w:ind w:right="233" w:firstLine="480"/>
      </w:pPr>
      <w:r>
        <w:t>除根据上下文另有其</w:t>
      </w:r>
      <w:r>
        <w:rPr>
          <w:rFonts w:hint="eastAsia"/>
          <w:lang w:val="en-US" w:eastAsia="zh-CN"/>
        </w:rPr>
        <w:t>他</w:t>
      </w:r>
      <w:r>
        <w:t>意义外，组成本合同的全部文件中的下列名词和用语应具有本款所赋予的含义：</w:t>
      </w:r>
    </w:p>
    <w:p w14:paraId="38E4992E">
      <w:pPr>
        <w:pStyle w:val="43"/>
        <w:numPr>
          <w:ilvl w:val="-1"/>
          <w:numId w:val="0"/>
        </w:numPr>
        <w:spacing w:before="5"/>
        <w:ind w:left="0" w:leftChars="0" w:firstLine="480"/>
        <w:rPr>
          <w:sz w:val="24"/>
        </w:rPr>
      </w:pPr>
      <w:r>
        <w:rPr>
          <w:rFonts w:hint="eastAsia"/>
          <w:sz w:val="24"/>
          <w:lang w:val="en-US" w:eastAsia="zh-CN"/>
        </w:rPr>
        <w:t>1.1.1“</w:t>
      </w:r>
      <w:r>
        <w:rPr>
          <w:sz w:val="24"/>
        </w:rPr>
        <w:t>工程</w:t>
      </w:r>
      <w:r>
        <w:rPr>
          <w:rFonts w:hint="eastAsia"/>
          <w:sz w:val="24"/>
          <w:lang w:eastAsia="zh-CN"/>
        </w:rPr>
        <w:t>”</w:t>
      </w:r>
      <w:r>
        <w:rPr>
          <w:sz w:val="24"/>
        </w:rPr>
        <w:t>是指按照本合同约定实施监理与相关服务的建设工程。</w:t>
      </w:r>
    </w:p>
    <w:p w14:paraId="6B1545B7">
      <w:pPr>
        <w:pStyle w:val="43"/>
        <w:numPr>
          <w:ilvl w:val="-1"/>
          <w:numId w:val="0"/>
        </w:numPr>
        <w:tabs>
          <w:tab w:val="left" w:pos="1305"/>
        </w:tabs>
        <w:spacing w:before="158" w:line="364" w:lineRule="auto"/>
        <w:ind w:left="0" w:leftChars="0" w:right="233" w:firstLine="480"/>
        <w:rPr>
          <w:sz w:val="24"/>
        </w:rPr>
      </w:pPr>
      <w:r>
        <w:rPr>
          <w:rFonts w:hint="eastAsia"/>
          <w:sz w:val="24"/>
          <w:lang w:val="en-US" w:eastAsia="zh-CN"/>
        </w:rPr>
        <w:t>1.1.2“</w:t>
      </w:r>
      <w:r>
        <w:rPr>
          <w:sz w:val="24"/>
        </w:rPr>
        <w:t>委托人</w:t>
      </w:r>
      <w:r>
        <w:rPr>
          <w:rFonts w:hint="eastAsia"/>
          <w:sz w:val="24"/>
          <w:lang w:eastAsia="zh-CN"/>
        </w:rPr>
        <w:t>”</w:t>
      </w:r>
      <w:r>
        <w:rPr>
          <w:sz w:val="24"/>
        </w:rPr>
        <w:t>是指本合同中委托监理与相关服务的一方，及其合法的继承人或受让人。</w:t>
      </w:r>
    </w:p>
    <w:p w14:paraId="1DF6C21E">
      <w:pPr>
        <w:pStyle w:val="43"/>
        <w:numPr>
          <w:ilvl w:val="-1"/>
          <w:numId w:val="0"/>
        </w:numPr>
        <w:tabs>
          <w:tab w:val="left" w:pos="1305"/>
        </w:tabs>
        <w:spacing w:line="306" w:lineRule="exact"/>
        <w:ind w:left="0" w:leftChars="0" w:firstLine="480"/>
        <w:rPr>
          <w:sz w:val="24"/>
        </w:rPr>
      </w:pPr>
      <w:r>
        <w:rPr>
          <w:rFonts w:hint="eastAsia"/>
          <w:sz w:val="24"/>
          <w:lang w:val="en-US" w:eastAsia="zh-CN"/>
        </w:rPr>
        <w:t>1.1.3“</w:t>
      </w:r>
      <w:r>
        <w:rPr>
          <w:sz w:val="24"/>
        </w:rPr>
        <w:t>监理人</w:t>
      </w:r>
      <w:r>
        <w:rPr>
          <w:rFonts w:hint="eastAsia"/>
          <w:sz w:val="24"/>
          <w:lang w:eastAsia="zh-CN"/>
        </w:rPr>
        <w:t>”</w:t>
      </w:r>
      <w:r>
        <w:rPr>
          <w:sz w:val="24"/>
        </w:rPr>
        <w:t>是指本合同中提供监理与相关服务的一方，及其合法的继承人。</w:t>
      </w:r>
    </w:p>
    <w:p w14:paraId="3E08CEB6">
      <w:pPr>
        <w:pStyle w:val="43"/>
        <w:numPr>
          <w:ilvl w:val="-1"/>
          <w:numId w:val="0"/>
        </w:numPr>
        <w:tabs>
          <w:tab w:val="left" w:pos="1305"/>
        </w:tabs>
        <w:spacing w:before="160" w:line="362" w:lineRule="auto"/>
        <w:ind w:left="0" w:leftChars="0" w:right="230" w:firstLine="480"/>
        <w:rPr>
          <w:sz w:val="24"/>
        </w:rPr>
      </w:pPr>
      <w:r>
        <w:rPr>
          <w:rFonts w:hint="eastAsia"/>
          <w:sz w:val="24"/>
          <w:lang w:val="en-US" w:eastAsia="zh-CN"/>
        </w:rPr>
        <w:t>1.1.4“</w:t>
      </w:r>
      <w:r>
        <w:rPr>
          <w:sz w:val="24"/>
        </w:rPr>
        <w:t>承包人</w:t>
      </w:r>
      <w:r>
        <w:rPr>
          <w:rFonts w:hint="eastAsia"/>
          <w:sz w:val="24"/>
          <w:lang w:eastAsia="zh-CN"/>
        </w:rPr>
        <w:t>”</w:t>
      </w:r>
      <w:r>
        <w:rPr>
          <w:sz w:val="24"/>
        </w:rPr>
        <w:t>是指在工程范围内与委托人签订勘察、设计、施工等有关合同的当事人，及其合法的继承人。</w:t>
      </w:r>
    </w:p>
    <w:p w14:paraId="0D5D24A4">
      <w:pPr>
        <w:pStyle w:val="43"/>
        <w:numPr>
          <w:ilvl w:val="-1"/>
          <w:numId w:val="0"/>
        </w:numPr>
        <w:tabs>
          <w:tab w:val="left" w:pos="1305"/>
        </w:tabs>
        <w:spacing w:before="5" w:line="364" w:lineRule="auto"/>
        <w:ind w:left="0" w:leftChars="0" w:right="113" w:firstLine="480" w:firstLineChars="200"/>
        <w:rPr>
          <w:sz w:val="24"/>
        </w:rPr>
      </w:pPr>
      <w:r>
        <w:rPr>
          <w:rFonts w:hint="eastAsia"/>
          <w:sz w:val="24"/>
          <w:lang w:val="en-US" w:eastAsia="zh-CN"/>
        </w:rPr>
        <w:t>1.1.5“</w:t>
      </w:r>
      <w:r>
        <w:rPr>
          <w:sz w:val="24"/>
        </w:rPr>
        <w:t>监理</w:t>
      </w:r>
      <w:r>
        <w:rPr>
          <w:rFonts w:hint="eastAsia"/>
          <w:sz w:val="24"/>
          <w:lang w:eastAsia="zh-CN"/>
        </w:rPr>
        <w:t>”</w:t>
      </w:r>
      <w:r>
        <w:rPr>
          <w:sz w:val="24"/>
        </w:rPr>
        <w:t>是指监理人受委托人的委托，依照法律法规、工程建设标准、勘察设计文件及合同，在施工阶段对建设工程质量、进度、造价进行控制，对合同、信息进行管理， 对工程建设相关方的关系进行协调，并履行建设工程安全生产管理法定职责的服务活动。</w:t>
      </w:r>
    </w:p>
    <w:p w14:paraId="7D15645B">
      <w:pPr>
        <w:pStyle w:val="43"/>
        <w:numPr>
          <w:ilvl w:val="-1"/>
          <w:numId w:val="0"/>
        </w:numPr>
        <w:tabs>
          <w:tab w:val="left" w:pos="1305"/>
        </w:tabs>
        <w:spacing w:line="364" w:lineRule="auto"/>
        <w:ind w:left="0" w:leftChars="0" w:right="235" w:firstLine="480" w:firstLineChars="200"/>
        <w:rPr>
          <w:sz w:val="24"/>
        </w:rPr>
      </w:pPr>
      <w:r>
        <w:rPr>
          <w:rFonts w:hint="eastAsia"/>
          <w:sz w:val="24"/>
          <w:lang w:val="en-US" w:eastAsia="zh-CN"/>
        </w:rPr>
        <w:t>1.1.6“</w:t>
      </w:r>
      <w:r>
        <w:rPr>
          <w:sz w:val="24"/>
        </w:rPr>
        <w:t>相关服务</w:t>
      </w:r>
      <w:r>
        <w:rPr>
          <w:rFonts w:hint="eastAsia"/>
          <w:sz w:val="24"/>
          <w:lang w:eastAsia="zh-CN"/>
        </w:rPr>
        <w:t>”</w:t>
      </w:r>
      <w:r>
        <w:rPr>
          <w:sz w:val="24"/>
        </w:rPr>
        <w:t>是指监理人受委托人的委托，按照本合同约定，在勘察、设计、保修等阶段提供的服务活动。</w:t>
      </w:r>
    </w:p>
    <w:p w14:paraId="2E2395EF">
      <w:pPr>
        <w:pStyle w:val="43"/>
        <w:numPr>
          <w:ilvl w:val="-1"/>
          <w:numId w:val="0"/>
        </w:numPr>
        <w:tabs>
          <w:tab w:val="left" w:pos="1305"/>
        </w:tabs>
        <w:ind w:left="0" w:leftChars="0" w:firstLine="480" w:firstLineChars="200"/>
        <w:rPr>
          <w:sz w:val="24"/>
        </w:rPr>
      </w:pPr>
      <w:r>
        <w:rPr>
          <w:rFonts w:hint="eastAsia"/>
          <w:sz w:val="24"/>
          <w:lang w:val="en-US" w:eastAsia="zh-CN"/>
        </w:rPr>
        <w:t>1.1.7“</w:t>
      </w:r>
      <w:r>
        <w:rPr>
          <w:sz w:val="24"/>
        </w:rPr>
        <w:t>正常工作</w:t>
      </w:r>
      <w:r>
        <w:rPr>
          <w:rFonts w:hint="eastAsia"/>
          <w:sz w:val="24"/>
          <w:lang w:eastAsia="zh-CN"/>
        </w:rPr>
        <w:t>”</w:t>
      </w:r>
      <w:r>
        <w:rPr>
          <w:sz w:val="24"/>
        </w:rPr>
        <w:t>指本合同订立时通用条款和专用条款中约定的监理人的工作。</w:t>
      </w:r>
    </w:p>
    <w:p w14:paraId="10A87703">
      <w:pPr>
        <w:pStyle w:val="43"/>
        <w:numPr>
          <w:ilvl w:val="-1"/>
          <w:numId w:val="0"/>
        </w:numPr>
        <w:tabs>
          <w:tab w:val="left" w:pos="1305"/>
        </w:tabs>
        <w:spacing w:before="157"/>
        <w:ind w:left="0" w:leftChars="0" w:firstLine="480" w:firstLineChars="200"/>
        <w:rPr>
          <w:sz w:val="24"/>
        </w:rPr>
      </w:pPr>
      <w:r>
        <w:rPr>
          <w:rFonts w:hint="eastAsia"/>
          <w:sz w:val="24"/>
          <w:lang w:val="en-US" w:eastAsia="zh-CN"/>
        </w:rPr>
        <w:t>1.1.8“</w:t>
      </w:r>
      <w:r>
        <w:rPr>
          <w:sz w:val="24"/>
        </w:rPr>
        <w:t>附加工作</w:t>
      </w:r>
      <w:r>
        <w:rPr>
          <w:rFonts w:hint="eastAsia"/>
          <w:sz w:val="24"/>
          <w:lang w:eastAsia="zh-CN"/>
        </w:rPr>
        <w:t>”</w:t>
      </w:r>
      <w:r>
        <w:rPr>
          <w:sz w:val="24"/>
        </w:rPr>
        <w:t>是指本合同约定的正常工作以外监理人的工作。</w:t>
      </w:r>
    </w:p>
    <w:p w14:paraId="45532B28">
      <w:pPr>
        <w:pStyle w:val="43"/>
        <w:numPr>
          <w:ilvl w:val="-1"/>
          <w:numId w:val="0"/>
        </w:numPr>
        <w:tabs>
          <w:tab w:val="left" w:pos="1305"/>
        </w:tabs>
        <w:spacing w:before="160"/>
        <w:ind w:left="0" w:leftChars="0" w:firstLine="480" w:firstLineChars="200"/>
        <w:rPr>
          <w:sz w:val="24"/>
        </w:rPr>
      </w:pPr>
      <w:r>
        <w:rPr>
          <w:rFonts w:hint="eastAsia"/>
          <w:sz w:val="24"/>
          <w:lang w:val="en-US" w:eastAsia="zh-CN"/>
        </w:rPr>
        <w:t>1.1.9“</w:t>
      </w:r>
      <w:r>
        <w:rPr>
          <w:sz w:val="24"/>
        </w:rPr>
        <w:t>项目监理机构</w:t>
      </w:r>
      <w:r>
        <w:rPr>
          <w:rFonts w:hint="eastAsia"/>
          <w:sz w:val="24"/>
          <w:lang w:eastAsia="zh-CN"/>
        </w:rPr>
        <w:t>”</w:t>
      </w:r>
      <w:r>
        <w:rPr>
          <w:sz w:val="24"/>
        </w:rPr>
        <w:t>是指监理人派驻工程负责履行本合同的组织机构。</w:t>
      </w:r>
    </w:p>
    <w:p w14:paraId="6702A2BA">
      <w:pPr>
        <w:pStyle w:val="43"/>
        <w:numPr>
          <w:ilvl w:val="-1"/>
          <w:numId w:val="0"/>
        </w:numPr>
        <w:tabs>
          <w:tab w:val="left" w:pos="1425"/>
        </w:tabs>
        <w:spacing w:before="158" w:line="364" w:lineRule="auto"/>
        <w:ind w:left="0" w:leftChars="0" w:right="115" w:firstLine="480" w:firstLineChars="200"/>
        <w:rPr>
          <w:sz w:val="24"/>
        </w:rPr>
      </w:pPr>
      <w:r>
        <w:rPr>
          <w:rFonts w:hint="eastAsia"/>
          <w:sz w:val="24"/>
          <w:lang w:val="en-US" w:eastAsia="zh-CN"/>
        </w:rPr>
        <w:t>1.1.10“</w:t>
      </w:r>
      <w:r>
        <w:rPr>
          <w:sz w:val="24"/>
        </w:rPr>
        <w:t>总监理工程师</w:t>
      </w:r>
      <w:r>
        <w:rPr>
          <w:rFonts w:hint="eastAsia"/>
          <w:sz w:val="24"/>
          <w:lang w:eastAsia="zh-CN"/>
        </w:rPr>
        <w:t>”</w:t>
      </w:r>
      <w:r>
        <w:rPr>
          <w:sz w:val="24"/>
        </w:rPr>
        <w:t>是指由监理人的法定代表人书面授权，全面负责履行本合同、主持项目监理机构工作的注册监理工程师。</w:t>
      </w:r>
    </w:p>
    <w:p w14:paraId="5D19B671">
      <w:pPr>
        <w:pStyle w:val="43"/>
        <w:numPr>
          <w:ilvl w:val="-1"/>
          <w:numId w:val="0"/>
        </w:numPr>
        <w:tabs>
          <w:tab w:val="left" w:pos="1532"/>
        </w:tabs>
        <w:spacing w:line="364" w:lineRule="auto"/>
        <w:ind w:left="0" w:leftChars="0" w:right="233" w:firstLine="480" w:firstLineChars="200"/>
        <w:rPr>
          <w:sz w:val="24"/>
        </w:rPr>
      </w:pPr>
      <w:r>
        <w:rPr>
          <w:rFonts w:hint="eastAsia"/>
          <w:sz w:val="24"/>
          <w:lang w:val="en-US" w:eastAsia="zh-CN"/>
        </w:rPr>
        <w:t>1.1.11</w:t>
      </w:r>
      <w:r>
        <w:rPr>
          <w:sz w:val="24"/>
        </w:rPr>
        <w:t>总监理工程师代表：指由总监理工程师授权，代表总监理工程师行使其部分职责和权力的注册监理工程师。</w:t>
      </w:r>
    </w:p>
    <w:p w14:paraId="53EB44D4">
      <w:pPr>
        <w:pStyle w:val="43"/>
        <w:numPr>
          <w:ilvl w:val="-1"/>
          <w:numId w:val="0"/>
        </w:numPr>
        <w:tabs>
          <w:tab w:val="left" w:pos="1532"/>
        </w:tabs>
        <w:spacing w:line="364" w:lineRule="auto"/>
        <w:ind w:left="0" w:leftChars="0" w:right="233" w:firstLine="480" w:firstLineChars="200"/>
        <w:rPr>
          <w:sz w:val="24"/>
        </w:rPr>
      </w:pPr>
      <w:r>
        <w:rPr>
          <w:rFonts w:hint="eastAsia"/>
          <w:sz w:val="24"/>
          <w:lang w:val="en-US" w:eastAsia="zh-CN"/>
        </w:rPr>
        <w:t>1.1.12</w:t>
      </w:r>
      <w:r>
        <w:rPr>
          <w:sz w:val="24"/>
        </w:rPr>
        <w:t>注册监理工程师：指取得国务院建设主管部门颁发的《中华人民共和国注册监理工程师注册执业证书》和执业印章，从事建设工程监理与相关服务等活动的人员。</w:t>
      </w:r>
    </w:p>
    <w:p w14:paraId="52A18472">
      <w:pPr>
        <w:pStyle w:val="43"/>
        <w:numPr>
          <w:ilvl w:val="-1"/>
          <w:numId w:val="0"/>
        </w:numPr>
        <w:tabs>
          <w:tab w:val="left" w:pos="1532"/>
        </w:tabs>
        <w:spacing w:line="364" w:lineRule="auto"/>
        <w:ind w:left="0" w:leftChars="0" w:right="233" w:firstLine="480" w:firstLineChars="200"/>
        <w:rPr>
          <w:sz w:val="24"/>
        </w:rPr>
      </w:pPr>
      <w:r>
        <w:rPr>
          <w:rFonts w:hint="eastAsia"/>
          <w:sz w:val="24"/>
          <w:lang w:val="en-US" w:eastAsia="zh-CN"/>
        </w:rPr>
        <w:t>1.1.13</w:t>
      </w:r>
      <w:r>
        <w:rPr>
          <w:sz w:val="24"/>
        </w:rPr>
        <w:t>专业监理工程师：指由总监理工程师授权，负责实施某一专业或某一岗位的监理工作，有相应监理文件签发权的监理人员。</w:t>
      </w:r>
    </w:p>
    <w:p w14:paraId="29E12254">
      <w:pPr>
        <w:pStyle w:val="43"/>
        <w:numPr>
          <w:ilvl w:val="-1"/>
          <w:numId w:val="0"/>
        </w:numPr>
        <w:tabs>
          <w:tab w:val="left" w:pos="1484"/>
        </w:tabs>
        <w:spacing w:line="306" w:lineRule="exact"/>
        <w:ind w:left="0" w:leftChars="0" w:firstLine="480" w:firstLineChars="200"/>
        <w:rPr>
          <w:sz w:val="24"/>
        </w:rPr>
      </w:pPr>
      <w:r>
        <w:rPr>
          <w:rFonts w:hint="eastAsia"/>
          <w:sz w:val="24"/>
          <w:lang w:val="en-US" w:eastAsia="zh-CN"/>
        </w:rPr>
        <w:t>1.1.14</w:t>
      </w:r>
      <w:r>
        <w:rPr>
          <w:sz w:val="24"/>
        </w:rPr>
        <w:t>监理员：指从事具体监理工作的监理人员。</w:t>
      </w:r>
    </w:p>
    <w:p w14:paraId="7396BED6">
      <w:pPr>
        <w:pStyle w:val="43"/>
        <w:numPr>
          <w:ilvl w:val="0"/>
          <w:numId w:val="0"/>
        </w:numPr>
        <w:tabs>
          <w:tab w:val="left" w:pos="1421"/>
        </w:tabs>
        <w:spacing w:before="157"/>
        <w:ind w:firstLine="480" w:firstLineChars="200"/>
        <w:rPr>
          <w:sz w:val="24"/>
          <w:szCs w:val="24"/>
        </w:rPr>
      </w:pPr>
      <w:r>
        <w:rPr>
          <w:rFonts w:hint="eastAsia"/>
          <w:sz w:val="24"/>
          <w:lang w:val="en-US" w:eastAsia="zh-CN"/>
        </w:rPr>
        <w:t>1.1.15“</w:t>
      </w:r>
      <w:r>
        <w:rPr>
          <w:sz w:val="24"/>
        </w:rPr>
        <w:t>酬金</w:t>
      </w:r>
      <w:r>
        <w:rPr>
          <w:rFonts w:hint="eastAsia"/>
          <w:sz w:val="24"/>
          <w:lang w:eastAsia="zh-CN"/>
        </w:rPr>
        <w:t>”</w:t>
      </w:r>
      <w:r>
        <w:rPr>
          <w:sz w:val="24"/>
        </w:rPr>
        <w:t>是指监理人履行本合同义务，委托人按照本合同约定给付监理人的金</w:t>
      </w:r>
      <w:r>
        <w:rPr>
          <w:sz w:val="24"/>
          <w:szCs w:val="24"/>
        </w:rPr>
        <w:t>额。</w:t>
      </w:r>
    </w:p>
    <w:p w14:paraId="428940E8">
      <w:pPr>
        <w:pStyle w:val="43"/>
        <w:numPr>
          <w:ilvl w:val="-1"/>
          <w:numId w:val="0"/>
        </w:numPr>
        <w:tabs>
          <w:tab w:val="left" w:pos="1421"/>
        </w:tabs>
        <w:spacing w:before="161" w:line="364" w:lineRule="auto"/>
        <w:ind w:left="0" w:leftChars="0" w:right="233" w:firstLine="480" w:firstLineChars="200"/>
        <w:rPr>
          <w:sz w:val="24"/>
        </w:rPr>
      </w:pPr>
      <w:r>
        <w:rPr>
          <w:rFonts w:hint="eastAsia"/>
          <w:sz w:val="24"/>
          <w:lang w:val="en-US" w:eastAsia="zh-CN"/>
        </w:rPr>
        <w:t>1.1.16“</w:t>
      </w:r>
      <w:r>
        <w:rPr>
          <w:sz w:val="24"/>
        </w:rPr>
        <w:t>正常工作酬金</w:t>
      </w:r>
      <w:r>
        <w:rPr>
          <w:rFonts w:hint="eastAsia"/>
          <w:sz w:val="24"/>
          <w:lang w:eastAsia="zh-CN"/>
        </w:rPr>
        <w:t>”</w:t>
      </w:r>
      <w:r>
        <w:rPr>
          <w:sz w:val="24"/>
        </w:rPr>
        <w:t>是指监理人完成正常工作，委托人应给付监理人并在协议书中载明的签约酬金</w:t>
      </w:r>
      <w:r>
        <w:rPr>
          <w:rFonts w:hint="eastAsia"/>
          <w:sz w:val="24"/>
          <w:lang w:val="en-US" w:eastAsia="zh-CN"/>
        </w:rPr>
        <w:t>金</w:t>
      </w:r>
      <w:r>
        <w:rPr>
          <w:sz w:val="24"/>
        </w:rPr>
        <w:t>额。</w:t>
      </w:r>
    </w:p>
    <w:p w14:paraId="5385EFDA">
      <w:pPr>
        <w:pStyle w:val="43"/>
        <w:numPr>
          <w:ilvl w:val="-1"/>
          <w:numId w:val="0"/>
        </w:numPr>
        <w:tabs>
          <w:tab w:val="left" w:pos="1420"/>
        </w:tabs>
        <w:spacing w:line="306" w:lineRule="exact"/>
        <w:ind w:left="0" w:leftChars="0" w:firstLine="480" w:firstLineChars="200"/>
        <w:rPr>
          <w:sz w:val="24"/>
        </w:rPr>
      </w:pPr>
      <w:r>
        <w:rPr>
          <w:rFonts w:hint="eastAsia"/>
          <w:sz w:val="24"/>
          <w:lang w:val="en-US" w:eastAsia="zh-CN"/>
        </w:rPr>
        <w:t>1.1.17“</w:t>
      </w:r>
      <w:r>
        <w:rPr>
          <w:sz w:val="24"/>
        </w:rPr>
        <w:t>附加工作酬金</w:t>
      </w:r>
      <w:r>
        <w:rPr>
          <w:rFonts w:hint="eastAsia"/>
          <w:sz w:val="24"/>
          <w:lang w:eastAsia="zh-CN"/>
        </w:rPr>
        <w:t>”</w:t>
      </w:r>
      <w:r>
        <w:rPr>
          <w:sz w:val="24"/>
        </w:rPr>
        <w:t>是指监理人完成附加工作，委托人应给付监理人的金额。</w:t>
      </w:r>
    </w:p>
    <w:p w14:paraId="4F7A0AF9">
      <w:pPr>
        <w:pStyle w:val="43"/>
        <w:numPr>
          <w:ilvl w:val="-1"/>
          <w:numId w:val="0"/>
        </w:numPr>
        <w:tabs>
          <w:tab w:val="left" w:pos="1426"/>
        </w:tabs>
        <w:spacing w:before="160" w:line="362" w:lineRule="auto"/>
        <w:ind w:left="0" w:leftChars="0" w:right="233" w:firstLine="480" w:firstLineChars="200"/>
        <w:rPr>
          <w:sz w:val="24"/>
        </w:rPr>
      </w:pPr>
      <w:r>
        <w:rPr>
          <w:rFonts w:hint="eastAsia"/>
          <w:sz w:val="24"/>
          <w:lang w:val="en-US" w:eastAsia="zh-CN"/>
        </w:rPr>
        <w:t>1.1.18“</w:t>
      </w:r>
      <w:r>
        <w:rPr>
          <w:sz w:val="24"/>
        </w:rPr>
        <w:t>一方</w:t>
      </w:r>
      <w:r>
        <w:rPr>
          <w:rFonts w:hint="eastAsia"/>
          <w:sz w:val="24"/>
          <w:lang w:eastAsia="zh-CN"/>
        </w:rPr>
        <w:t>”</w:t>
      </w:r>
      <w:r>
        <w:rPr>
          <w:sz w:val="24"/>
        </w:rPr>
        <w:t>是指委托人或监理人；“双方”是指委托人和监理人；“第三方”是指除委托人和监理人以外的有关方。</w:t>
      </w:r>
    </w:p>
    <w:p w14:paraId="15573D59">
      <w:pPr>
        <w:pStyle w:val="43"/>
        <w:numPr>
          <w:ilvl w:val="-1"/>
          <w:numId w:val="0"/>
        </w:numPr>
        <w:tabs>
          <w:tab w:val="left" w:pos="1426"/>
        </w:tabs>
        <w:spacing w:before="5" w:line="362" w:lineRule="auto"/>
        <w:ind w:left="0" w:leftChars="0" w:right="233" w:firstLine="480" w:firstLineChars="200"/>
        <w:rPr>
          <w:sz w:val="24"/>
        </w:rPr>
      </w:pPr>
      <w:r>
        <w:rPr>
          <w:rFonts w:hint="eastAsia"/>
          <w:sz w:val="24"/>
          <w:lang w:val="en-US" w:eastAsia="zh-CN"/>
        </w:rPr>
        <w:t>1.1.19“</w:t>
      </w:r>
      <w:r>
        <w:rPr>
          <w:sz w:val="24"/>
        </w:rPr>
        <w:t>书面形式</w:t>
      </w:r>
      <w:r>
        <w:rPr>
          <w:rFonts w:hint="eastAsia"/>
          <w:sz w:val="24"/>
          <w:lang w:eastAsia="zh-CN"/>
        </w:rPr>
        <w:t>”</w:t>
      </w:r>
      <w:r>
        <w:rPr>
          <w:sz w:val="24"/>
        </w:rPr>
        <w:t>是指合同书、信件和数据电文（包括电报、电传、传真、电子数据交换和电子邮件）等可以有形地表现所载内容的形式。</w:t>
      </w:r>
    </w:p>
    <w:p w14:paraId="175EB48F">
      <w:pPr>
        <w:pStyle w:val="43"/>
        <w:numPr>
          <w:ilvl w:val="-1"/>
          <w:numId w:val="0"/>
        </w:numPr>
        <w:tabs>
          <w:tab w:val="left" w:pos="1425"/>
        </w:tabs>
        <w:spacing w:before="5"/>
        <w:ind w:left="0" w:leftChars="0" w:firstLine="480" w:firstLineChars="200"/>
        <w:rPr>
          <w:sz w:val="24"/>
        </w:rPr>
      </w:pPr>
      <w:r>
        <w:rPr>
          <w:rFonts w:hint="eastAsia"/>
          <w:sz w:val="24"/>
          <w:lang w:val="en-US" w:eastAsia="zh-CN"/>
        </w:rPr>
        <w:t>1.1.20“</w:t>
      </w:r>
      <w:r>
        <w:rPr>
          <w:sz w:val="24"/>
        </w:rPr>
        <w:t>天</w:t>
      </w:r>
      <w:r>
        <w:rPr>
          <w:rFonts w:hint="eastAsia"/>
          <w:sz w:val="24"/>
          <w:lang w:eastAsia="zh-CN"/>
        </w:rPr>
        <w:t>”</w:t>
      </w:r>
      <w:r>
        <w:rPr>
          <w:sz w:val="24"/>
        </w:rPr>
        <w:t>是指第一天零时至第二天零时的时间。</w:t>
      </w:r>
    </w:p>
    <w:p w14:paraId="282D1017">
      <w:pPr>
        <w:pStyle w:val="43"/>
        <w:numPr>
          <w:ilvl w:val="-1"/>
          <w:numId w:val="0"/>
        </w:numPr>
        <w:tabs>
          <w:tab w:val="left" w:pos="1425"/>
        </w:tabs>
        <w:spacing w:before="158"/>
        <w:ind w:left="0" w:leftChars="0" w:firstLine="480" w:firstLineChars="200"/>
        <w:rPr>
          <w:sz w:val="24"/>
        </w:rPr>
      </w:pPr>
      <w:r>
        <w:rPr>
          <w:rFonts w:hint="eastAsia"/>
          <w:sz w:val="24"/>
          <w:lang w:val="en-US" w:eastAsia="zh-CN"/>
        </w:rPr>
        <w:t>1.1.21“</w:t>
      </w:r>
      <w:r>
        <w:rPr>
          <w:sz w:val="24"/>
        </w:rPr>
        <w:t>月</w:t>
      </w:r>
      <w:r>
        <w:rPr>
          <w:rFonts w:hint="eastAsia"/>
          <w:sz w:val="24"/>
          <w:lang w:eastAsia="zh-CN"/>
        </w:rPr>
        <w:t>”</w:t>
      </w:r>
      <w:r>
        <w:rPr>
          <w:sz w:val="24"/>
        </w:rPr>
        <w:t>是指按公历从一个月中任何一天开始的一个公历月时间。</w:t>
      </w:r>
    </w:p>
    <w:p w14:paraId="1D4A82C8">
      <w:pPr>
        <w:pStyle w:val="43"/>
        <w:numPr>
          <w:ilvl w:val="-1"/>
          <w:numId w:val="0"/>
        </w:numPr>
        <w:tabs>
          <w:tab w:val="left" w:pos="1426"/>
        </w:tabs>
        <w:spacing w:before="161" w:line="364" w:lineRule="auto"/>
        <w:ind w:left="0" w:leftChars="0" w:right="230" w:firstLine="480" w:firstLineChars="200"/>
        <w:jc w:val="both"/>
        <w:rPr>
          <w:sz w:val="24"/>
        </w:rPr>
      </w:pPr>
      <w:r>
        <w:rPr>
          <w:rFonts w:hint="eastAsia"/>
          <w:sz w:val="24"/>
          <w:lang w:val="en-US" w:eastAsia="zh-CN"/>
        </w:rPr>
        <w:t>1.1.22“</w:t>
      </w:r>
      <w:r>
        <w:rPr>
          <w:sz w:val="24"/>
        </w:rPr>
        <w:t>不可抗力</w:t>
      </w:r>
      <w:r>
        <w:rPr>
          <w:rFonts w:hint="eastAsia"/>
          <w:sz w:val="24"/>
          <w:lang w:eastAsia="zh-CN"/>
        </w:rPr>
        <w:t>”</w:t>
      </w:r>
      <w:r>
        <w:rPr>
          <w:sz w:val="24"/>
        </w:rPr>
        <w:t>是指委托人和监理人在订立本合同时不可预见，在工程施工过程中不可避免发生并不能克服的自然灾害和社会性突发事件，如地震、海啸、瘟疫、水灾、骚乱、暴动、战争和专用条款约定的其他情形。</w:t>
      </w:r>
    </w:p>
    <w:p w14:paraId="50817F8F">
      <w:pPr>
        <w:pStyle w:val="43"/>
        <w:numPr>
          <w:ilvl w:val="-1"/>
          <w:numId w:val="0"/>
        </w:numPr>
        <w:tabs>
          <w:tab w:val="left" w:pos="1484"/>
        </w:tabs>
        <w:spacing w:line="305" w:lineRule="exact"/>
        <w:ind w:left="0" w:leftChars="0" w:firstLine="480" w:firstLineChars="200"/>
        <w:jc w:val="both"/>
        <w:rPr>
          <w:sz w:val="24"/>
        </w:rPr>
      </w:pPr>
      <w:r>
        <w:rPr>
          <w:rFonts w:hint="eastAsia"/>
          <w:sz w:val="24"/>
          <w:lang w:val="en-US" w:eastAsia="zh-CN"/>
        </w:rPr>
        <w:t>1.1.23</w:t>
      </w:r>
      <w:r>
        <w:rPr>
          <w:sz w:val="24"/>
        </w:rPr>
        <w:t>监理规划：指导项目监理机构全面开展监理工作的纲领性文件。</w:t>
      </w:r>
    </w:p>
    <w:p w14:paraId="2ECC315B">
      <w:pPr>
        <w:pStyle w:val="43"/>
        <w:numPr>
          <w:ilvl w:val="-1"/>
          <w:numId w:val="0"/>
        </w:numPr>
        <w:tabs>
          <w:tab w:val="left" w:pos="1484"/>
        </w:tabs>
        <w:spacing w:before="160"/>
        <w:ind w:left="0" w:leftChars="0" w:firstLine="480" w:firstLineChars="200"/>
        <w:rPr>
          <w:sz w:val="24"/>
        </w:rPr>
      </w:pPr>
      <w:r>
        <w:rPr>
          <w:rFonts w:hint="eastAsia"/>
          <w:sz w:val="24"/>
          <w:lang w:val="en-US" w:eastAsia="zh-CN"/>
        </w:rPr>
        <w:t>1.1.24</w:t>
      </w:r>
      <w:r>
        <w:rPr>
          <w:sz w:val="24"/>
        </w:rPr>
        <w:t>监理实施细则：指针对某一专业或某一方面监理工作的操作性文件。</w:t>
      </w:r>
    </w:p>
    <w:p w14:paraId="428DB03F">
      <w:pPr>
        <w:pStyle w:val="43"/>
        <w:numPr>
          <w:ilvl w:val="-1"/>
          <w:numId w:val="0"/>
        </w:numPr>
        <w:tabs>
          <w:tab w:val="left" w:pos="1532"/>
        </w:tabs>
        <w:spacing w:before="158" w:line="364" w:lineRule="auto"/>
        <w:ind w:left="0" w:leftChars="0" w:right="233" w:firstLine="480" w:firstLineChars="200"/>
        <w:rPr>
          <w:sz w:val="24"/>
        </w:rPr>
      </w:pPr>
      <w:r>
        <w:rPr>
          <w:rFonts w:hint="eastAsia"/>
          <w:sz w:val="24"/>
          <w:lang w:val="en-US" w:eastAsia="zh-CN"/>
        </w:rPr>
        <w:t>1.1.25</w:t>
      </w:r>
      <w:r>
        <w:rPr>
          <w:sz w:val="24"/>
        </w:rPr>
        <w:t>工程变更：指按照施工合同约定的程序对工程在材料、工艺、功能、构造、尺寸、技术指标、工程量及施工方法等方面做出的改变。</w:t>
      </w:r>
    </w:p>
    <w:p w14:paraId="1EB79646">
      <w:pPr>
        <w:pStyle w:val="43"/>
        <w:numPr>
          <w:ilvl w:val="-1"/>
          <w:numId w:val="0"/>
        </w:numPr>
        <w:tabs>
          <w:tab w:val="left" w:pos="1532"/>
        </w:tabs>
        <w:spacing w:before="1" w:line="362" w:lineRule="auto"/>
        <w:ind w:left="0" w:leftChars="0" w:right="233" w:firstLine="480" w:firstLineChars="200"/>
        <w:rPr>
          <w:sz w:val="24"/>
        </w:rPr>
      </w:pPr>
      <w:r>
        <w:rPr>
          <w:rFonts w:hint="eastAsia"/>
          <w:sz w:val="24"/>
          <w:lang w:val="en-US" w:eastAsia="zh-CN"/>
        </w:rPr>
        <w:t>1.1.26</w:t>
      </w:r>
      <w:r>
        <w:rPr>
          <w:sz w:val="24"/>
        </w:rPr>
        <w:t>旁站：指监理人员在施工现场对工程实体关键部位或关键工序的施工质量进行的监督检查活动。</w:t>
      </w:r>
    </w:p>
    <w:p w14:paraId="30B9CAFE">
      <w:pPr>
        <w:pStyle w:val="43"/>
        <w:numPr>
          <w:ilvl w:val="-1"/>
          <w:numId w:val="0"/>
        </w:numPr>
        <w:tabs>
          <w:tab w:val="left" w:pos="1484"/>
        </w:tabs>
        <w:spacing w:before="5"/>
        <w:ind w:left="0" w:leftChars="0" w:firstLine="480" w:firstLineChars="200"/>
        <w:rPr>
          <w:sz w:val="24"/>
        </w:rPr>
      </w:pPr>
      <w:r>
        <w:rPr>
          <w:rFonts w:hint="eastAsia"/>
          <w:sz w:val="24"/>
          <w:lang w:val="en-US" w:eastAsia="zh-CN"/>
        </w:rPr>
        <w:t>1.1.27</w:t>
      </w:r>
      <w:r>
        <w:rPr>
          <w:sz w:val="24"/>
        </w:rPr>
        <w:t>巡视：指监理人员在施工现场进行的定期或不定期的监督检查活动。</w:t>
      </w:r>
    </w:p>
    <w:p w14:paraId="79F1E11F">
      <w:pPr>
        <w:pStyle w:val="43"/>
        <w:numPr>
          <w:ilvl w:val="-1"/>
          <w:numId w:val="0"/>
        </w:numPr>
        <w:tabs>
          <w:tab w:val="left" w:pos="1532"/>
        </w:tabs>
        <w:spacing w:before="158" w:line="364" w:lineRule="auto"/>
        <w:ind w:left="0" w:leftChars="0" w:right="233" w:firstLine="480" w:firstLineChars="200"/>
        <w:rPr>
          <w:sz w:val="24"/>
        </w:rPr>
      </w:pPr>
      <w:r>
        <w:rPr>
          <w:rFonts w:hint="eastAsia"/>
          <w:sz w:val="24"/>
          <w:lang w:val="en-US" w:eastAsia="zh-CN"/>
        </w:rPr>
        <w:t>1.1.28</w:t>
      </w:r>
      <w:r>
        <w:rPr>
          <w:sz w:val="24"/>
        </w:rPr>
        <w:t>平行检验：指项目监理机构在施工单位对工程质量自检的基础上，按照有关规定或建设工程监理合同约定独立进行的检测试验活动。</w:t>
      </w:r>
    </w:p>
    <w:p w14:paraId="094EA5A6">
      <w:pPr>
        <w:pStyle w:val="43"/>
        <w:numPr>
          <w:ilvl w:val="-1"/>
          <w:numId w:val="0"/>
        </w:numPr>
        <w:tabs>
          <w:tab w:val="left" w:pos="1532"/>
        </w:tabs>
        <w:spacing w:line="364" w:lineRule="auto"/>
        <w:ind w:left="0" w:leftChars="0" w:right="233" w:firstLine="480" w:firstLineChars="200"/>
        <w:rPr>
          <w:sz w:val="24"/>
        </w:rPr>
      </w:pPr>
      <w:r>
        <w:rPr>
          <w:rFonts w:hint="eastAsia"/>
          <w:sz w:val="24"/>
          <w:lang w:val="en-US" w:eastAsia="zh-CN"/>
        </w:rPr>
        <w:t>1.1.29</w:t>
      </w:r>
      <w:r>
        <w:rPr>
          <w:sz w:val="24"/>
        </w:rPr>
        <w:t>见证取样：指项目监理机构对施工单位进行的涉及结构安全的试块、试件及工程材料现场取样、封样、送检工作的监督活动。</w:t>
      </w:r>
    </w:p>
    <w:p w14:paraId="65AB969F">
      <w:pPr>
        <w:pStyle w:val="43"/>
        <w:numPr>
          <w:ilvl w:val="-1"/>
          <w:numId w:val="0"/>
        </w:numPr>
        <w:tabs>
          <w:tab w:val="left" w:pos="1484"/>
        </w:tabs>
        <w:spacing w:line="306" w:lineRule="exact"/>
        <w:ind w:left="0" w:leftChars="0" w:firstLine="480" w:firstLineChars="200"/>
        <w:rPr>
          <w:sz w:val="24"/>
        </w:rPr>
      </w:pPr>
      <w:r>
        <w:rPr>
          <w:rFonts w:hint="eastAsia"/>
          <w:sz w:val="24"/>
          <w:lang w:val="en-US" w:eastAsia="zh-CN"/>
        </w:rPr>
        <w:t>1.1.30</w:t>
      </w:r>
      <w:r>
        <w:rPr>
          <w:sz w:val="24"/>
        </w:rPr>
        <w:t>工程延期：指由于非施工单位原因造成合同工期延长的时间。</w:t>
      </w:r>
    </w:p>
    <w:p w14:paraId="6634AFA8">
      <w:pPr>
        <w:pStyle w:val="43"/>
        <w:numPr>
          <w:ilvl w:val="-1"/>
          <w:numId w:val="0"/>
        </w:numPr>
        <w:tabs>
          <w:tab w:val="left" w:pos="1484"/>
        </w:tabs>
        <w:spacing w:before="160"/>
        <w:ind w:left="0" w:leftChars="0" w:firstLine="480" w:firstLineChars="200"/>
        <w:rPr>
          <w:sz w:val="24"/>
        </w:rPr>
      </w:pPr>
      <w:r>
        <w:rPr>
          <w:rFonts w:hint="eastAsia"/>
          <w:sz w:val="24"/>
          <w:lang w:val="en-US" w:eastAsia="zh-CN"/>
        </w:rPr>
        <w:t>1.1.31</w:t>
      </w:r>
      <w:r>
        <w:rPr>
          <w:sz w:val="24"/>
        </w:rPr>
        <w:t>工期延误：指由于施工单位自身原因造成施工期延长的时间。</w:t>
      </w:r>
    </w:p>
    <w:p w14:paraId="76696C9C">
      <w:pPr>
        <w:pStyle w:val="43"/>
        <w:numPr>
          <w:ilvl w:val="-1"/>
          <w:numId w:val="0"/>
        </w:numPr>
        <w:tabs>
          <w:tab w:val="left" w:pos="1532"/>
        </w:tabs>
        <w:spacing w:before="158" w:line="364" w:lineRule="auto"/>
        <w:ind w:left="0" w:leftChars="0" w:right="233" w:firstLine="480" w:firstLineChars="200"/>
        <w:rPr>
          <w:sz w:val="24"/>
        </w:rPr>
      </w:pPr>
      <w:r>
        <w:rPr>
          <w:rFonts w:hint="eastAsia"/>
          <w:sz w:val="24"/>
          <w:lang w:val="en-US" w:eastAsia="zh-CN"/>
        </w:rPr>
        <w:t>1.1.32</w:t>
      </w:r>
      <w:r>
        <w:rPr>
          <w:sz w:val="24"/>
        </w:rPr>
        <w:t>监理日志：指项目监理机构每日对建设工程监理工作及建设工程实施情况所做的记录。</w:t>
      </w:r>
    </w:p>
    <w:p w14:paraId="34E1BA45">
      <w:pPr>
        <w:pStyle w:val="43"/>
        <w:numPr>
          <w:ilvl w:val="-1"/>
          <w:numId w:val="0"/>
        </w:numPr>
        <w:tabs>
          <w:tab w:val="left" w:pos="1532"/>
        </w:tabs>
        <w:spacing w:line="364" w:lineRule="auto"/>
        <w:ind w:left="0" w:leftChars="0" w:right="233" w:firstLine="480" w:firstLineChars="200"/>
        <w:rPr>
          <w:sz w:val="24"/>
        </w:rPr>
      </w:pPr>
      <w:r>
        <w:rPr>
          <w:rFonts w:hint="eastAsia"/>
          <w:sz w:val="24"/>
          <w:lang w:val="en-US" w:eastAsia="zh-CN"/>
        </w:rPr>
        <w:t>1.1.33</w:t>
      </w:r>
      <w:r>
        <w:rPr>
          <w:sz w:val="24"/>
        </w:rPr>
        <w:t>监理月报：指项目监理机构每月向建设单位提交的建设工程监理工作及建设工程实施情况分析总结报告。</w:t>
      </w:r>
    </w:p>
    <w:p w14:paraId="600FAC0F">
      <w:pPr>
        <w:pStyle w:val="43"/>
        <w:numPr>
          <w:ilvl w:val="-1"/>
          <w:numId w:val="0"/>
        </w:numPr>
        <w:tabs>
          <w:tab w:val="left" w:pos="1532"/>
        </w:tabs>
        <w:spacing w:line="306" w:lineRule="exact"/>
        <w:ind w:left="0" w:leftChars="0" w:firstLine="480" w:firstLineChars="200"/>
        <w:rPr>
          <w:sz w:val="24"/>
        </w:rPr>
      </w:pPr>
      <w:r>
        <w:rPr>
          <w:rFonts w:hint="eastAsia"/>
          <w:sz w:val="24"/>
          <w:lang w:val="en-US" w:eastAsia="zh-CN"/>
        </w:rPr>
        <w:t>1.1.34</w:t>
      </w:r>
      <w:r>
        <w:rPr>
          <w:sz w:val="24"/>
        </w:rPr>
        <w:t>设备监造：指项目监理机构按照建设工程监理合同和设备采购合同约定，对设</w:t>
      </w:r>
    </w:p>
    <w:p w14:paraId="58B0A9CA">
      <w:pPr>
        <w:pStyle w:val="3"/>
        <w:spacing w:before="54"/>
      </w:pPr>
      <w:r>
        <w:t>备制造过程进行的监督检查。</w:t>
      </w:r>
    </w:p>
    <w:p w14:paraId="4395B691">
      <w:pPr>
        <w:pStyle w:val="43"/>
        <w:numPr>
          <w:ilvl w:val="-1"/>
          <w:numId w:val="0"/>
        </w:numPr>
        <w:tabs>
          <w:tab w:val="left" w:pos="1484"/>
        </w:tabs>
        <w:spacing w:before="161" w:line="364" w:lineRule="auto"/>
        <w:ind w:left="0" w:leftChars="0" w:right="113" w:firstLine="480" w:firstLineChars="200"/>
        <w:jc w:val="both"/>
        <w:rPr>
          <w:sz w:val="24"/>
        </w:rPr>
      </w:pPr>
      <w:r>
        <w:rPr>
          <w:rFonts w:hint="eastAsia"/>
          <w:sz w:val="24"/>
          <w:lang w:val="en-US" w:eastAsia="zh-CN"/>
        </w:rPr>
        <w:t>1.1.35</w:t>
      </w:r>
      <w:r>
        <w:rPr>
          <w:sz w:val="24"/>
        </w:rPr>
        <w:t>费用索赔：指根据承包合同的约定，合同一方因另一方原因造成本方经济损失， 通过监理工程师向对方索取费用的活动。</w:t>
      </w:r>
    </w:p>
    <w:p w14:paraId="6AC79B3E">
      <w:pPr>
        <w:pStyle w:val="43"/>
        <w:numPr>
          <w:ilvl w:val="-1"/>
          <w:numId w:val="0"/>
        </w:numPr>
        <w:tabs>
          <w:tab w:val="left" w:pos="1532"/>
        </w:tabs>
        <w:spacing w:line="364" w:lineRule="auto"/>
        <w:ind w:left="0" w:leftChars="0" w:right="230" w:firstLine="480" w:firstLineChars="200"/>
        <w:jc w:val="both"/>
        <w:rPr>
          <w:sz w:val="24"/>
        </w:rPr>
      </w:pPr>
      <w:r>
        <w:rPr>
          <w:rFonts w:hint="eastAsia"/>
          <w:sz w:val="24"/>
          <w:lang w:val="en-US" w:eastAsia="zh-CN"/>
        </w:rPr>
        <w:t>1.1.36</w:t>
      </w:r>
      <w:r>
        <w:rPr>
          <w:sz w:val="24"/>
        </w:rPr>
        <w:t>节点工期：指在经委托人和总监理工程师批准的施工组织设计或者工程工期网络计划中载明的承包人按总日历天数（包括法定节假日）计算完成某一阶段或某一工序的期限。按工期网络计划的一般线路和关键线路分为一般节点工期和关键节点工期。</w:t>
      </w:r>
    </w:p>
    <w:p w14:paraId="6E2EAEE8">
      <w:pPr>
        <w:pStyle w:val="43"/>
        <w:numPr>
          <w:ilvl w:val="-1"/>
          <w:numId w:val="0"/>
        </w:numPr>
        <w:tabs>
          <w:tab w:val="left" w:pos="1532"/>
        </w:tabs>
        <w:spacing w:line="364" w:lineRule="auto"/>
        <w:ind w:left="0" w:leftChars="0" w:right="230" w:firstLine="480" w:firstLineChars="200"/>
        <w:jc w:val="both"/>
        <w:rPr>
          <w:sz w:val="24"/>
        </w:rPr>
      </w:pPr>
      <w:r>
        <w:rPr>
          <w:rFonts w:hint="eastAsia"/>
          <w:sz w:val="24"/>
          <w:lang w:val="en-US" w:eastAsia="zh-CN"/>
        </w:rPr>
        <w:t>1.1.37</w:t>
      </w:r>
      <w:r>
        <w:rPr>
          <w:sz w:val="24"/>
        </w:rPr>
        <w:t>通知：指合同中所提及的各方之间传达意思表示的方式，包括但不限于申请、报告、同意、答复、批准、指令、证书、决定，等等。除专用条款有特别约定外，只有采用书面形式的通知才有效。</w:t>
      </w:r>
    </w:p>
    <w:p w14:paraId="0B3FC3CE">
      <w:pPr>
        <w:pStyle w:val="43"/>
        <w:numPr>
          <w:ilvl w:val="-1"/>
          <w:numId w:val="0"/>
        </w:numPr>
        <w:tabs>
          <w:tab w:val="left" w:pos="1544"/>
        </w:tabs>
        <w:spacing w:line="364" w:lineRule="auto"/>
        <w:ind w:left="0" w:leftChars="0" w:right="233" w:firstLine="480" w:firstLineChars="200"/>
        <w:jc w:val="both"/>
        <w:rPr>
          <w:sz w:val="24"/>
        </w:rPr>
      </w:pPr>
      <w:r>
        <w:rPr>
          <w:rFonts w:hint="eastAsia"/>
          <w:sz w:val="24"/>
          <w:lang w:val="en-US" w:eastAsia="zh-CN"/>
        </w:rPr>
        <w:t>1.1.38</w:t>
      </w:r>
      <w:r>
        <w:rPr>
          <w:sz w:val="24"/>
        </w:rPr>
        <w:t>生产安全事故：指在工程建设过程中由于责任过失造成工程倒塌或报废、机械设备毁坏和安全设施失当等原因造成人身伤亡或者重大经济损失的事故。</w:t>
      </w:r>
    </w:p>
    <w:p w14:paraId="3C9A5639">
      <w:pPr>
        <w:pStyle w:val="43"/>
        <w:numPr>
          <w:ilvl w:val="-1"/>
          <w:numId w:val="0"/>
        </w:numPr>
        <w:tabs>
          <w:tab w:val="left" w:pos="1484"/>
        </w:tabs>
        <w:spacing w:line="306" w:lineRule="exact"/>
        <w:ind w:left="0" w:leftChars="0" w:firstLine="480" w:firstLineChars="200"/>
        <w:jc w:val="both"/>
        <w:rPr>
          <w:sz w:val="24"/>
        </w:rPr>
      </w:pPr>
      <w:r>
        <w:rPr>
          <w:rFonts w:hint="eastAsia"/>
          <w:sz w:val="24"/>
          <w:lang w:val="en-US" w:eastAsia="zh-CN"/>
        </w:rPr>
        <w:t>1.1.39</w:t>
      </w:r>
      <w:r>
        <w:rPr>
          <w:sz w:val="24"/>
        </w:rPr>
        <w:t>质量事故：指因质量原因导致损失或造成人身伤亡的事故。</w:t>
      </w:r>
    </w:p>
    <w:p w14:paraId="1ACC7FBE">
      <w:pPr>
        <w:pStyle w:val="43"/>
        <w:numPr>
          <w:ilvl w:val="-1"/>
          <w:numId w:val="0"/>
        </w:numPr>
        <w:tabs>
          <w:tab w:val="left" w:pos="1484"/>
        </w:tabs>
        <w:spacing w:before="155"/>
        <w:ind w:left="0" w:leftChars="0" w:firstLine="480" w:firstLineChars="200"/>
        <w:jc w:val="both"/>
        <w:rPr>
          <w:sz w:val="24"/>
        </w:rPr>
      </w:pPr>
      <w:r>
        <w:rPr>
          <w:rFonts w:hint="eastAsia"/>
          <w:sz w:val="24"/>
          <w:lang w:val="en-US" w:eastAsia="zh-CN"/>
        </w:rPr>
        <w:t>1.1.40</w:t>
      </w:r>
      <w:r>
        <w:rPr>
          <w:sz w:val="24"/>
        </w:rPr>
        <w:t>元：指人民币元。</w:t>
      </w:r>
    </w:p>
    <w:p w14:paraId="57C9289B">
      <w:pPr>
        <w:pStyle w:val="43"/>
        <w:numPr>
          <w:ilvl w:val="-1"/>
          <w:numId w:val="0"/>
        </w:numPr>
        <w:tabs>
          <w:tab w:val="left" w:pos="1532"/>
        </w:tabs>
        <w:spacing w:before="158" w:line="364" w:lineRule="auto"/>
        <w:ind w:left="0" w:leftChars="0" w:right="233" w:firstLine="480" w:firstLineChars="200"/>
        <w:jc w:val="both"/>
        <w:rPr>
          <w:sz w:val="24"/>
        </w:rPr>
      </w:pPr>
      <w:r>
        <w:rPr>
          <w:rFonts w:hint="eastAsia"/>
          <w:sz w:val="24"/>
          <w:lang w:val="en-US" w:eastAsia="zh-CN"/>
        </w:rPr>
        <w:t>1.1.41</w:t>
      </w:r>
      <w:r>
        <w:rPr>
          <w:sz w:val="24"/>
        </w:rPr>
        <w:t>管理服务单位：指受委托人委托对本合同工程建设进行管理的单位，包括监理人和技术督导单位、材料设备管理服务单位等。</w:t>
      </w:r>
    </w:p>
    <w:p w14:paraId="6A7C7224">
      <w:pPr>
        <w:pStyle w:val="43"/>
        <w:numPr>
          <w:ilvl w:val="-1"/>
          <w:numId w:val="0"/>
        </w:numPr>
        <w:tabs>
          <w:tab w:val="left" w:pos="1484"/>
        </w:tabs>
        <w:spacing w:line="306" w:lineRule="exact"/>
        <w:ind w:left="0" w:leftChars="0" w:firstLine="480" w:firstLineChars="200"/>
        <w:jc w:val="both"/>
        <w:rPr>
          <w:sz w:val="24"/>
        </w:rPr>
      </w:pPr>
      <w:r>
        <w:rPr>
          <w:rFonts w:hint="eastAsia"/>
          <w:sz w:val="24"/>
          <w:lang w:val="en-US" w:eastAsia="zh-CN"/>
        </w:rPr>
        <w:t>1.1.42</w:t>
      </w:r>
      <w:r>
        <w:rPr>
          <w:sz w:val="24"/>
        </w:rPr>
        <w:t>保证人：指按约定向委托人提交监理人履约保函的机构。</w:t>
      </w:r>
    </w:p>
    <w:p w14:paraId="212845E7">
      <w:pPr>
        <w:pStyle w:val="43"/>
        <w:numPr>
          <w:ilvl w:val="-1"/>
          <w:numId w:val="0"/>
        </w:numPr>
        <w:tabs>
          <w:tab w:val="left" w:pos="1532"/>
        </w:tabs>
        <w:spacing w:before="161" w:line="364" w:lineRule="auto"/>
        <w:ind w:left="0" w:leftChars="0" w:right="230" w:firstLine="480" w:firstLineChars="200"/>
        <w:jc w:val="both"/>
        <w:rPr>
          <w:sz w:val="24"/>
        </w:rPr>
      </w:pPr>
      <w:r>
        <w:rPr>
          <w:rFonts w:hint="eastAsia"/>
          <w:sz w:val="24"/>
          <w:lang w:val="en-US" w:eastAsia="zh-CN"/>
        </w:rPr>
        <w:t>1.1.43</w:t>
      </w:r>
      <w:r>
        <w:rPr>
          <w:sz w:val="24"/>
        </w:rPr>
        <w:t>施工准备阶段：指自监理人接到入场通知开始，至本合同工程正式开工止，监理人在此期间应完成熟悉设计文件、参加设计技术交底、参加图纸会审、提交监理规划等监理工作。</w:t>
      </w:r>
    </w:p>
    <w:p w14:paraId="5BD67B29">
      <w:pPr>
        <w:pStyle w:val="43"/>
        <w:numPr>
          <w:ilvl w:val="-1"/>
          <w:numId w:val="0"/>
        </w:numPr>
        <w:tabs>
          <w:tab w:val="left" w:pos="1532"/>
        </w:tabs>
        <w:spacing w:line="364" w:lineRule="auto"/>
        <w:ind w:left="0" w:leftChars="0" w:right="230" w:firstLine="480" w:firstLineChars="200"/>
        <w:jc w:val="both"/>
        <w:rPr>
          <w:sz w:val="24"/>
        </w:rPr>
      </w:pPr>
      <w:r>
        <w:rPr>
          <w:rFonts w:hint="eastAsia"/>
          <w:sz w:val="24"/>
          <w:lang w:val="en-US" w:eastAsia="zh-CN"/>
        </w:rPr>
        <w:t>1.1.44</w:t>
      </w:r>
      <w:r>
        <w:rPr>
          <w:sz w:val="24"/>
        </w:rPr>
        <w:t>施工阶段：指自本合同工程主体工程正式开工开始，至本合同工程具备竣工条件后止，监理人在此期间应负责实施本合同工程的工程质量控制、工程造价控制、工程职业健康安全控制、工程合同管理、工程信息管理等监理工作。</w:t>
      </w:r>
    </w:p>
    <w:p w14:paraId="3AD04977">
      <w:pPr>
        <w:pStyle w:val="43"/>
        <w:numPr>
          <w:ilvl w:val="-1"/>
          <w:numId w:val="0"/>
        </w:numPr>
        <w:tabs>
          <w:tab w:val="left" w:pos="1532"/>
        </w:tabs>
        <w:spacing w:line="364" w:lineRule="auto"/>
        <w:ind w:left="0" w:leftChars="0" w:right="230" w:firstLine="480" w:firstLineChars="200"/>
        <w:jc w:val="both"/>
        <w:rPr>
          <w:sz w:val="24"/>
        </w:rPr>
      </w:pPr>
      <w:r>
        <w:rPr>
          <w:rFonts w:hint="eastAsia"/>
          <w:sz w:val="24"/>
          <w:lang w:val="en-US" w:eastAsia="zh-CN"/>
        </w:rPr>
        <w:t>1.1.45</w:t>
      </w:r>
      <w:r>
        <w:rPr>
          <w:sz w:val="24"/>
        </w:rPr>
        <w:t>工程收尾阶段：指自本项目工程具备竣工条件直至本合同工程结算工作全部完成结束，监理人在此期间组织实施本合同工程的竣工验收、工程项目整改、工程结算等监理工作。</w:t>
      </w:r>
    </w:p>
    <w:p w14:paraId="2B6C9A07">
      <w:pPr>
        <w:pStyle w:val="43"/>
        <w:numPr>
          <w:ilvl w:val="-1"/>
          <w:numId w:val="0"/>
        </w:numPr>
        <w:tabs>
          <w:tab w:val="left" w:pos="1532"/>
        </w:tabs>
        <w:spacing w:line="364" w:lineRule="auto"/>
        <w:ind w:left="0" w:leftChars="0" w:right="230" w:firstLine="480" w:firstLineChars="200"/>
        <w:jc w:val="both"/>
        <w:rPr>
          <w:sz w:val="24"/>
        </w:rPr>
      </w:pPr>
      <w:r>
        <w:rPr>
          <w:rFonts w:hint="eastAsia"/>
          <w:sz w:val="24"/>
          <w:lang w:val="en-US" w:eastAsia="zh-CN"/>
        </w:rPr>
        <w:t>1.1.46</w:t>
      </w:r>
      <w:r>
        <w:rPr>
          <w:sz w:val="24"/>
        </w:rPr>
        <w:t>工程质量保修阶段：指自本工程项目质量保修期开始，直至本工程项目质量保修期结束，监理人在此期间应负责本合同工程质量保修相关的监理工作。</w:t>
      </w:r>
    </w:p>
    <w:p w14:paraId="1FDE4977">
      <w:pPr>
        <w:pStyle w:val="3"/>
        <w:spacing w:before="12"/>
        <w:ind w:left="0"/>
        <w:rPr>
          <w:sz w:val="35"/>
        </w:rPr>
      </w:pPr>
    </w:p>
    <w:p w14:paraId="7BF239E7">
      <w:pPr>
        <w:pStyle w:val="43"/>
        <w:numPr>
          <w:ilvl w:val="1"/>
          <w:numId w:val="9"/>
        </w:numPr>
        <w:ind w:left="0" w:leftChars="0" w:firstLine="0" w:firstLineChars="0"/>
        <w:rPr>
          <w:sz w:val="24"/>
        </w:rPr>
      </w:pPr>
      <w:r>
        <w:rPr>
          <w:sz w:val="24"/>
        </w:rPr>
        <w:t>解释</w:t>
      </w:r>
    </w:p>
    <w:p w14:paraId="68BB1793">
      <w:pPr>
        <w:pStyle w:val="43"/>
        <w:numPr>
          <w:ilvl w:val="2"/>
          <w:numId w:val="9"/>
        </w:numPr>
        <w:tabs>
          <w:tab w:val="left" w:pos="0"/>
        </w:tabs>
        <w:spacing w:before="158"/>
        <w:ind w:left="0" w:leftChars="0" w:firstLine="0" w:firstLineChars="0"/>
        <w:jc w:val="both"/>
        <w:rPr>
          <w:sz w:val="24"/>
        </w:rPr>
      </w:pPr>
      <w:r>
        <w:rPr>
          <w:sz w:val="24"/>
        </w:rPr>
        <w:t>本合同使用中文书写、解释和说明。如专用条款约定使用两种及以上语言文字时，</w:t>
      </w:r>
    </w:p>
    <w:p w14:paraId="70609DFC">
      <w:pPr>
        <w:pStyle w:val="3"/>
        <w:spacing w:before="54"/>
        <w:ind w:left="0" w:leftChars="0" w:firstLine="0" w:firstLineChars="0"/>
      </w:pPr>
      <w:r>
        <w:t>应以中文为准。</w:t>
      </w:r>
    </w:p>
    <w:p w14:paraId="62982D18">
      <w:pPr>
        <w:pStyle w:val="43"/>
        <w:numPr>
          <w:ilvl w:val="2"/>
          <w:numId w:val="9"/>
        </w:numPr>
        <w:tabs>
          <w:tab w:val="left" w:pos="0"/>
        </w:tabs>
        <w:spacing w:before="161" w:line="364" w:lineRule="auto"/>
        <w:ind w:left="0" w:leftChars="0" w:right="161" w:firstLine="0" w:firstLineChars="0"/>
        <w:rPr>
          <w:sz w:val="24"/>
        </w:rPr>
      </w:pPr>
      <w:r>
        <w:rPr>
          <w:sz w:val="24"/>
        </w:rPr>
        <w:t>组成本合同的下列文件彼此应能相互解释、互为说明。除专用条款另有约定外， 本合同文件的解释顺序如下：</w:t>
      </w:r>
    </w:p>
    <w:p w14:paraId="6170712C">
      <w:pPr>
        <w:pStyle w:val="43"/>
        <w:numPr>
          <w:ilvl w:val="0"/>
          <w:numId w:val="10"/>
        </w:numPr>
        <w:spacing w:line="306" w:lineRule="exact"/>
        <w:ind w:left="0" w:leftChars="0" w:firstLine="0" w:firstLineChars="0"/>
        <w:rPr>
          <w:sz w:val="24"/>
        </w:rPr>
      </w:pPr>
      <w:r>
        <w:rPr>
          <w:sz w:val="24"/>
        </w:rPr>
        <w:t>协议书；</w:t>
      </w:r>
    </w:p>
    <w:p w14:paraId="35B9BDEC">
      <w:pPr>
        <w:pStyle w:val="43"/>
        <w:numPr>
          <w:ilvl w:val="0"/>
          <w:numId w:val="10"/>
        </w:numPr>
        <w:spacing w:before="160"/>
        <w:ind w:left="0" w:leftChars="0" w:firstLine="0" w:firstLineChars="0"/>
        <w:rPr>
          <w:sz w:val="24"/>
        </w:rPr>
      </w:pPr>
      <w:r>
        <w:rPr>
          <w:sz w:val="24"/>
        </w:rPr>
        <w:t>中标通知书（适用于招标工程）或委托书（适用于非招标工程）；</w:t>
      </w:r>
    </w:p>
    <w:p w14:paraId="153C717C">
      <w:pPr>
        <w:pStyle w:val="43"/>
        <w:numPr>
          <w:ilvl w:val="0"/>
          <w:numId w:val="10"/>
        </w:numPr>
        <w:spacing w:before="158"/>
        <w:ind w:left="0" w:leftChars="0" w:firstLine="0" w:firstLineChars="0"/>
        <w:rPr>
          <w:sz w:val="24"/>
        </w:rPr>
      </w:pPr>
      <w:r>
        <w:rPr>
          <w:sz w:val="24"/>
        </w:rPr>
        <w:t>专用条款及附录 A、附件 2；</w:t>
      </w:r>
    </w:p>
    <w:p w14:paraId="4BE017B7">
      <w:pPr>
        <w:pStyle w:val="43"/>
        <w:numPr>
          <w:ilvl w:val="0"/>
          <w:numId w:val="10"/>
        </w:numPr>
        <w:spacing w:before="161"/>
        <w:ind w:left="0" w:leftChars="0" w:firstLine="0" w:firstLineChars="0"/>
        <w:rPr>
          <w:sz w:val="24"/>
        </w:rPr>
      </w:pPr>
      <w:r>
        <w:rPr>
          <w:sz w:val="24"/>
        </w:rPr>
        <w:t>通用条款；</w:t>
      </w:r>
    </w:p>
    <w:p w14:paraId="3D8609E7">
      <w:pPr>
        <w:pStyle w:val="43"/>
        <w:numPr>
          <w:ilvl w:val="0"/>
          <w:numId w:val="10"/>
        </w:numPr>
        <w:spacing w:before="158" w:line="427" w:lineRule="auto"/>
        <w:ind w:left="0" w:leftChars="0" w:right="221" w:firstLine="0" w:firstLineChars="0"/>
        <w:rPr>
          <w:sz w:val="24"/>
        </w:rPr>
      </w:pPr>
      <w:r>
        <w:rPr>
          <w:sz w:val="24"/>
        </w:rPr>
        <w:t>投标文件（适用于招标工程）或监理与相关服务建议书（适用于非招标工程）。双方签订的补充协议与其他文件发生矛盾或歧义时，属于同一类内容的文件，应以最</w:t>
      </w:r>
    </w:p>
    <w:p w14:paraId="71D3E9F0">
      <w:pPr>
        <w:pStyle w:val="3"/>
        <w:spacing w:line="228" w:lineRule="exact"/>
        <w:ind w:left="0" w:leftChars="0" w:firstLine="0" w:firstLineChars="0"/>
      </w:pPr>
      <w:r>
        <w:t>新签署的为准。</w:t>
      </w:r>
    </w:p>
    <w:p w14:paraId="7612B901">
      <w:pPr>
        <w:pStyle w:val="13"/>
        <w:numPr>
          <w:ilvl w:val="0"/>
          <w:numId w:val="9"/>
        </w:numPr>
        <w:ind w:left="0" w:firstLine="0"/>
        <w:rPr>
          <w:rFonts w:hint="eastAsia" w:ascii="宋体" w:hAnsi="宋体" w:eastAsia="宋体" w:cs="宋体"/>
          <w:sz w:val="24"/>
          <w:szCs w:val="24"/>
        </w:rPr>
      </w:pPr>
      <w:r>
        <w:rPr>
          <w:rFonts w:hint="eastAsia" w:ascii="宋体" w:hAnsi="宋体" w:eastAsia="宋体" w:cs="宋体"/>
          <w:sz w:val="24"/>
          <w:szCs w:val="24"/>
        </w:rPr>
        <w:t>监理人的义务</w:t>
      </w:r>
    </w:p>
    <w:p w14:paraId="2E436E16">
      <w:pPr>
        <w:pStyle w:val="43"/>
        <w:numPr>
          <w:ilvl w:val="1"/>
          <w:numId w:val="9"/>
        </w:numPr>
        <w:spacing w:before="188"/>
        <w:ind w:left="0" w:leftChars="0" w:firstLine="0" w:firstLineChars="0"/>
        <w:rPr>
          <w:sz w:val="24"/>
        </w:rPr>
      </w:pPr>
      <w:r>
        <w:rPr>
          <w:sz w:val="24"/>
        </w:rPr>
        <w:t>监理的范围和工作内容</w:t>
      </w:r>
    </w:p>
    <w:p w14:paraId="71CF75B8">
      <w:pPr>
        <w:pStyle w:val="43"/>
        <w:numPr>
          <w:ilvl w:val="2"/>
          <w:numId w:val="9"/>
        </w:numPr>
        <w:spacing w:before="158"/>
        <w:ind w:left="0" w:leftChars="0" w:firstLine="0" w:firstLineChars="0"/>
        <w:rPr>
          <w:sz w:val="24"/>
        </w:rPr>
      </w:pPr>
      <w:r>
        <w:rPr>
          <w:sz w:val="24"/>
        </w:rPr>
        <w:t>监理范围在专用条款中约定。</w:t>
      </w:r>
    </w:p>
    <w:p w14:paraId="65879D17">
      <w:pPr>
        <w:pStyle w:val="3"/>
        <w:spacing w:before="10"/>
        <w:ind w:left="0" w:leftChars="0" w:firstLine="0" w:firstLineChars="0"/>
        <w:rPr>
          <w:sz w:val="23"/>
        </w:rPr>
      </w:pPr>
    </w:p>
    <w:p w14:paraId="1F02162B">
      <w:pPr>
        <w:pStyle w:val="43"/>
        <w:numPr>
          <w:ilvl w:val="0"/>
          <w:numId w:val="11"/>
        </w:numPr>
        <w:tabs>
          <w:tab w:val="left" w:pos="0"/>
        </w:tabs>
        <w:ind w:left="0" w:leftChars="0" w:firstLine="0" w:firstLineChars="0"/>
        <w:rPr>
          <w:sz w:val="24"/>
        </w:rPr>
      </w:pPr>
      <w:r>
        <w:rPr>
          <w:sz w:val="24"/>
        </w:rPr>
        <w:t>实行总监理工程师负责制。</w:t>
      </w:r>
    </w:p>
    <w:p w14:paraId="3F63BF3D">
      <w:pPr>
        <w:pStyle w:val="43"/>
        <w:numPr>
          <w:ilvl w:val="0"/>
          <w:numId w:val="11"/>
        </w:numPr>
        <w:tabs>
          <w:tab w:val="left" w:pos="0"/>
        </w:tabs>
        <w:spacing w:before="172" w:line="374" w:lineRule="auto"/>
        <w:ind w:left="0" w:leftChars="0" w:right="108" w:firstLine="0" w:firstLineChars="0"/>
        <w:rPr>
          <w:sz w:val="24"/>
        </w:rPr>
      </w:pPr>
      <w:r>
        <w:rPr>
          <w:sz w:val="24"/>
        </w:rPr>
        <w:t>监理人应公正、独立、自主地开展监理工作，维护委托人和承包人的合法权益。委托人授权监理人，依据有关法律、法规、政策及标准，充分行使其严格控制工程</w:t>
      </w:r>
    </w:p>
    <w:p w14:paraId="2BC15F2C">
      <w:pPr>
        <w:pStyle w:val="3"/>
        <w:spacing w:before="1" w:line="374" w:lineRule="auto"/>
        <w:ind w:left="0" w:leftChars="0" w:right="239" w:firstLine="0" w:firstLineChars="0"/>
        <w:jc w:val="both"/>
      </w:pPr>
      <w:r>
        <w:t>进度、质量、安全和投资的权力，充分行使工程合同、工程信息管理和协调处理现场有关工程问题的权力，保证工程有序顺利进行。委托人通过监理人下达指令，监督承包人履约行为，承包人所有请求事项由监理人协调并在一般情况下均通过监理人接受或提出处理意见。</w:t>
      </w:r>
    </w:p>
    <w:p w14:paraId="58158473">
      <w:pPr>
        <w:pStyle w:val="43"/>
        <w:numPr>
          <w:ilvl w:val="0"/>
          <w:numId w:val="11"/>
        </w:numPr>
        <w:tabs>
          <w:tab w:val="left" w:pos="0"/>
        </w:tabs>
        <w:spacing w:before="1"/>
        <w:ind w:left="0" w:leftChars="0" w:firstLine="0" w:firstLineChars="0"/>
        <w:rPr>
          <w:sz w:val="24"/>
        </w:rPr>
      </w:pPr>
      <w:r>
        <w:rPr>
          <w:sz w:val="24"/>
        </w:rPr>
        <w:t>建设工程监理除应符合《建设工程监理规范》（</w:t>
      </w:r>
      <w:r>
        <w:rPr>
          <w:rFonts w:ascii="Times New Roman" w:eastAsia="Times New Roman"/>
          <w:sz w:val="24"/>
        </w:rPr>
        <w:t>GB50319-2013</w:t>
      </w:r>
      <w:r>
        <w:rPr>
          <w:sz w:val="24"/>
        </w:rPr>
        <w:t>）外，还应符合</w:t>
      </w:r>
    </w:p>
    <w:p w14:paraId="118F8E0A">
      <w:pPr>
        <w:pStyle w:val="3"/>
        <w:spacing w:before="173"/>
        <w:ind w:left="0" w:leftChars="0" w:firstLine="0" w:firstLineChars="0"/>
      </w:pPr>
      <w:r>
        <w:t>国家现行的有关强制性标准、规范的规定。</w:t>
      </w:r>
    </w:p>
    <w:p w14:paraId="30B5B177">
      <w:pPr>
        <w:pStyle w:val="43"/>
        <w:numPr>
          <w:ilvl w:val="2"/>
          <w:numId w:val="9"/>
        </w:numPr>
        <w:spacing w:before="28"/>
        <w:ind w:left="0" w:leftChars="0" w:firstLine="0" w:firstLineChars="0"/>
        <w:rPr>
          <w:sz w:val="24"/>
        </w:rPr>
      </w:pPr>
      <w:r>
        <w:rPr>
          <w:sz w:val="24"/>
        </w:rPr>
        <w:t>除专用条款另有约定外，监理工作内容包括：</w:t>
      </w:r>
    </w:p>
    <w:p w14:paraId="6C0C1B1B">
      <w:pPr>
        <w:pStyle w:val="43"/>
        <w:numPr>
          <w:ilvl w:val="0"/>
          <w:numId w:val="12"/>
        </w:numPr>
        <w:spacing w:before="158" w:line="364" w:lineRule="auto"/>
        <w:ind w:left="0" w:leftChars="0" w:right="235" w:firstLine="0" w:firstLineChars="0"/>
        <w:rPr>
          <w:sz w:val="24"/>
        </w:rPr>
      </w:pPr>
      <w:r>
        <w:rPr>
          <w:sz w:val="24"/>
        </w:rPr>
        <w:t>收到工程设计文件后编制监理规划，并在第一次工地会议 7 天前报委托人。根据有关规定和监理工作需要，编制监理实施细则；</w:t>
      </w:r>
    </w:p>
    <w:p w14:paraId="71F8633D">
      <w:pPr>
        <w:pStyle w:val="43"/>
        <w:numPr>
          <w:ilvl w:val="0"/>
          <w:numId w:val="12"/>
        </w:numPr>
        <w:spacing w:line="306" w:lineRule="exact"/>
        <w:ind w:left="0" w:leftChars="0" w:firstLine="0" w:firstLineChars="0"/>
        <w:rPr>
          <w:sz w:val="24"/>
        </w:rPr>
      </w:pPr>
      <w:r>
        <w:rPr>
          <w:sz w:val="24"/>
        </w:rPr>
        <w:t>熟悉工程设计文件，并参加由委托人主持的图纸会审和设计交底会议；</w:t>
      </w:r>
    </w:p>
    <w:p w14:paraId="77B71893">
      <w:pPr>
        <w:pStyle w:val="43"/>
        <w:numPr>
          <w:ilvl w:val="0"/>
          <w:numId w:val="12"/>
        </w:numPr>
        <w:spacing w:before="161" w:line="362" w:lineRule="auto"/>
        <w:ind w:left="0" w:leftChars="0" w:right="230" w:firstLine="0" w:firstLineChars="0"/>
        <w:rPr>
          <w:sz w:val="24"/>
        </w:rPr>
      </w:pPr>
      <w:r>
        <w:rPr>
          <w:sz w:val="24"/>
        </w:rPr>
        <w:t>参加由委托人主持的第一次工地会议；主持监理例会并根据工程需要主持或参加专题会议；</w:t>
      </w:r>
    </w:p>
    <w:p w14:paraId="7B27E8C5">
      <w:pPr>
        <w:pStyle w:val="43"/>
        <w:numPr>
          <w:ilvl w:val="0"/>
          <w:numId w:val="12"/>
        </w:numPr>
        <w:spacing w:before="5"/>
        <w:ind w:left="0" w:leftChars="0" w:firstLine="0" w:firstLineChars="0"/>
        <w:rPr>
          <w:sz w:val="24"/>
        </w:rPr>
      </w:pPr>
      <w:r>
        <w:rPr>
          <w:sz w:val="24"/>
        </w:rPr>
        <w:t>审查承包人提交的施工组织设计，重点审查其中的质量安全技术措施、专项施工方案与工程建设强制性标准的符合性；</w:t>
      </w:r>
    </w:p>
    <w:p w14:paraId="5913B6BC">
      <w:pPr>
        <w:pStyle w:val="43"/>
        <w:numPr>
          <w:ilvl w:val="0"/>
          <w:numId w:val="12"/>
        </w:numPr>
        <w:spacing w:before="161"/>
        <w:ind w:left="0" w:leftChars="0" w:firstLine="0" w:firstLineChars="0"/>
        <w:rPr>
          <w:sz w:val="24"/>
        </w:rPr>
      </w:pPr>
      <w:r>
        <w:rPr>
          <w:sz w:val="24"/>
        </w:rPr>
        <w:t>检查承包人工程质量、安全生产管理制度及组织机构和人员资格；</w:t>
      </w:r>
    </w:p>
    <w:p w14:paraId="1D5B78BE">
      <w:pPr>
        <w:pStyle w:val="43"/>
        <w:numPr>
          <w:ilvl w:val="0"/>
          <w:numId w:val="12"/>
        </w:numPr>
        <w:spacing w:before="160"/>
        <w:ind w:left="0" w:leftChars="0" w:firstLine="0" w:firstLineChars="0"/>
        <w:rPr>
          <w:sz w:val="24"/>
        </w:rPr>
      </w:pPr>
      <w:r>
        <w:rPr>
          <w:sz w:val="24"/>
        </w:rPr>
        <w:t>检查承包人专职安全生产管理人员的配备情况；</w:t>
      </w:r>
    </w:p>
    <w:p w14:paraId="6C8F66B2">
      <w:pPr>
        <w:pStyle w:val="43"/>
        <w:numPr>
          <w:ilvl w:val="0"/>
          <w:numId w:val="12"/>
        </w:numPr>
        <w:spacing w:before="158"/>
        <w:ind w:left="0" w:leftChars="0" w:firstLine="0" w:firstLineChars="0"/>
        <w:rPr>
          <w:sz w:val="24"/>
        </w:rPr>
      </w:pPr>
      <w:r>
        <w:rPr>
          <w:sz w:val="24"/>
        </w:rPr>
        <w:t>审查承包人提交的施工进度计划，核查承包人对施工进度计划的调整；</w:t>
      </w:r>
    </w:p>
    <w:p w14:paraId="6FB8A12C">
      <w:pPr>
        <w:pStyle w:val="43"/>
        <w:numPr>
          <w:ilvl w:val="0"/>
          <w:numId w:val="12"/>
        </w:numPr>
        <w:spacing w:before="161"/>
        <w:ind w:left="0" w:leftChars="0" w:firstLine="0" w:firstLineChars="0"/>
        <w:rPr>
          <w:sz w:val="24"/>
        </w:rPr>
      </w:pPr>
      <w:r>
        <w:rPr>
          <w:sz w:val="24"/>
        </w:rPr>
        <w:t>检查承包人的试验室；</w:t>
      </w:r>
    </w:p>
    <w:p w14:paraId="13658171">
      <w:pPr>
        <w:pStyle w:val="43"/>
        <w:numPr>
          <w:ilvl w:val="0"/>
          <w:numId w:val="12"/>
        </w:numPr>
        <w:spacing w:before="158"/>
        <w:ind w:left="0" w:leftChars="0" w:firstLine="0" w:firstLineChars="0"/>
        <w:rPr>
          <w:sz w:val="24"/>
        </w:rPr>
      </w:pPr>
      <w:r>
        <w:rPr>
          <w:sz w:val="24"/>
        </w:rPr>
        <w:t>审核施工分包人资质条件；</w:t>
      </w:r>
    </w:p>
    <w:p w14:paraId="29CB500A">
      <w:pPr>
        <w:pStyle w:val="43"/>
        <w:numPr>
          <w:ilvl w:val="0"/>
          <w:numId w:val="12"/>
        </w:numPr>
        <w:spacing w:before="160"/>
        <w:ind w:left="0" w:leftChars="0" w:firstLine="0" w:firstLineChars="0"/>
        <w:rPr>
          <w:sz w:val="24"/>
        </w:rPr>
      </w:pPr>
      <w:r>
        <w:rPr>
          <w:sz w:val="24"/>
        </w:rPr>
        <w:t>查验承包人的施工测量放线成果；</w:t>
      </w:r>
    </w:p>
    <w:p w14:paraId="108F4714">
      <w:pPr>
        <w:pStyle w:val="43"/>
        <w:numPr>
          <w:ilvl w:val="0"/>
          <w:numId w:val="12"/>
        </w:numPr>
        <w:spacing w:before="158"/>
        <w:ind w:left="0" w:leftChars="0" w:firstLine="0" w:firstLineChars="0"/>
        <w:rPr>
          <w:sz w:val="24"/>
        </w:rPr>
      </w:pPr>
      <w:r>
        <w:rPr>
          <w:sz w:val="24"/>
        </w:rPr>
        <w:t>审查工程开工条件，对条件具备的签发开工令；</w:t>
      </w:r>
    </w:p>
    <w:p w14:paraId="39EBCA3B">
      <w:pPr>
        <w:pStyle w:val="43"/>
        <w:numPr>
          <w:ilvl w:val="0"/>
          <w:numId w:val="12"/>
        </w:numPr>
        <w:tabs>
          <w:tab w:val="left" w:pos="0"/>
        </w:tabs>
        <w:spacing w:before="161" w:line="362" w:lineRule="auto"/>
        <w:ind w:left="0" w:leftChars="0" w:right="233" w:firstLine="0" w:firstLineChars="0"/>
        <w:rPr>
          <w:sz w:val="24"/>
        </w:rPr>
      </w:pPr>
      <w:r>
        <w:rPr>
          <w:sz w:val="24"/>
        </w:rPr>
        <w:t>审查承包人报送的工程材料、构配件、设备质量证明文件的有效性和符合性， 并按规定对用于工程的材料采取平行检验或见证取样方式进行抽检；</w:t>
      </w:r>
    </w:p>
    <w:p w14:paraId="7FC50E09">
      <w:pPr>
        <w:pStyle w:val="43"/>
        <w:numPr>
          <w:ilvl w:val="0"/>
          <w:numId w:val="12"/>
        </w:numPr>
        <w:spacing w:before="5" w:line="362" w:lineRule="auto"/>
        <w:ind w:left="0" w:leftChars="0" w:right="233" w:firstLine="0" w:firstLineChars="0"/>
        <w:rPr>
          <w:sz w:val="24"/>
        </w:rPr>
      </w:pPr>
      <w:r>
        <w:rPr>
          <w:sz w:val="24"/>
        </w:rPr>
        <w:t>审核承包人提交的工程款支付申请，签发或出具工程款支付证书，并报委托人审核、批准；</w:t>
      </w:r>
    </w:p>
    <w:p w14:paraId="023278BA">
      <w:pPr>
        <w:pStyle w:val="43"/>
        <w:numPr>
          <w:ilvl w:val="0"/>
          <w:numId w:val="12"/>
        </w:numPr>
        <w:spacing w:before="5" w:line="362" w:lineRule="auto"/>
        <w:ind w:left="0" w:leftChars="0" w:right="233" w:firstLine="0" w:firstLineChars="0"/>
        <w:rPr>
          <w:sz w:val="24"/>
        </w:rPr>
      </w:pPr>
      <w:r>
        <w:rPr>
          <w:sz w:val="24"/>
        </w:rPr>
        <w:t>在巡视、旁站和检验过程中，发现工程质量、施工安全存在事故隐患的，要求承包人整改并报委托人；</w:t>
      </w:r>
    </w:p>
    <w:p w14:paraId="30EA454E">
      <w:pPr>
        <w:pStyle w:val="43"/>
        <w:numPr>
          <w:ilvl w:val="0"/>
          <w:numId w:val="12"/>
        </w:numPr>
        <w:spacing w:before="5"/>
        <w:ind w:left="0" w:leftChars="0" w:firstLine="0" w:firstLineChars="0"/>
        <w:rPr>
          <w:sz w:val="24"/>
        </w:rPr>
      </w:pPr>
      <w:r>
        <w:rPr>
          <w:sz w:val="24"/>
        </w:rPr>
        <w:t>经委托人同意，签发工程暂停令和复工令；</w:t>
      </w:r>
    </w:p>
    <w:p w14:paraId="30513020">
      <w:pPr>
        <w:pStyle w:val="43"/>
        <w:numPr>
          <w:ilvl w:val="0"/>
          <w:numId w:val="12"/>
        </w:numPr>
        <w:spacing w:before="158" w:line="364" w:lineRule="auto"/>
        <w:ind w:left="0" w:leftChars="0" w:right="233" w:firstLine="0" w:firstLineChars="0"/>
        <w:rPr>
          <w:sz w:val="24"/>
        </w:rPr>
      </w:pPr>
      <w:r>
        <w:rPr>
          <w:sz w:val="24"/>
        </w:rPr>
        <w:t>审查承包人提交的采用新材料、新工艺、新技术、新设备的论证材料及相关验收标准；</w:t>
      </w:r>
    </w:p>
    <w:p w14:paraId="326C0357">
      <w:pPr>
        <w:pStyle w:val="43"/>
        <w:numPr>
          <w:ilvl w:val="0"/>
          <w:numId w:val="12"/>
        </w:numPr>
        <w:spacing w:before="1"/>
        <w:ind w:left="0" w:leftChars="0" w:firstLine="0" w:firstLineChars="0"/>
        <w:rPr>
          <w:sz w:val="24"/>
        </w:rPr>
      </w:pPr>
      <w:r>
        <w:rPr>
          <w:sz w:val="24"/>
        </w:rPr>
        <w:t>验收隐蔽工程、分部分项工程；</w:t>
      </w:r>
    </w:p>
    <w:p w14:paraId="18521323">
      <w:pPr>
        <w:pStyle w:val="43"/>
        <w:numPr>
          <w:ilvl w:val="0"/>
          <w:numId w:val="12"/>
        </w:numPr>
        <w:spacing w:before="158" w:line="364" w:lineRule="auto"/>
        <w:ind w:left="0" w:leftChars="0" w:right="233" w:firstLine="0" w:firstLineChars="0"/>
        <w:rPr>
          <w:sz w:val="24"/>
        </w:rPr>
      </w:pPr>
      <w:r>
        <w:rPr>
          <w:sz w:val="24"/>
        </w:rPr>
        <w:t>审查承包人提交的工程变更申请，协调处理施工进度调整、费用索赔、合同争议等事项；</w:t>
      </w:r>
    </w:p>
    <w:p w14:paraId="09DFBF5C">
      <w:pPr>
        <w:pStyle w:val="43"/>
        <w:numPr>
          <w:ilvl w:val="0"/>
          <w:numId w:val="12"/>
        </w:numPr>
        <w:spacing w:line="306" w:lineRule="exact"/>
        <w:ind w:left="0" w:leftChars="0" w:firstLine="0" w:firstLineChars="0"/>
        <w:rPr>
          <w:sz w:val="24"/>
        </w:rPr>
      </w:pPr>
      <w:r>
        <w:rPr>
          <w:sz w:val="24"/>
        </w:rPr>
        <w:t>审查承包人提交的竣工验收申请，编写工程质量评估报告；</w:t>
      </w:r>
    </w:p>
    <w:p w14:paraId="7A176461">
      <w:pPr>
        <w:pStyle w:val="43"/>
        <w:numPr>
          <w:ilvl w:val="0"/>
          <w:numId w:val="12"/>
        </w:numPr>
        <w:spacing w:before="161"/>
        <w:ind w:left="0" w:leftChars="0" w:firstLine="0" w:firstLineChars="0"/>
        <w:rPr>
          <w:sz w:val="24"/>
        </w:rPr>
      </w:pPr>
      <w:r>
        <w:rPr>
          <w:sz w:val="24"/>
        </w:rPr>
        <w:t>参加工程竣工验收，签署竣工验收意见；</w:t>
      </w:r>
    </w:p>
    <w:p w14:paraId="287B9C51">
      <w:pPr>
        <w:pStyle w:val="43"/>
        <w:numPr>
          <w:ilvl w:val="0"/>
          <w:numId w:val="12"/>
        </w:numPr>
        <w:spacing w:before="158"/>
        <w:ind w:left="0" w:leftChars="0" w:firstLine="0" w:firstLineChars="0"/>
        <w:rPr>
          <w:sz w:val="24"/>
        </w:rPr>
      </w:pPr>
      <w:r>
        <w:rPr>
          <w:sz w:val="24"/>
        </w:rPr>
        <w:t>审查承包人提交的竣工结算申请并报委托人；</w:t>
      </w:r>
    </w:p>
    <w:p w14:paraId="376A78B8">
      <w:pPr>
        <w:pStyle w:val="43"/>
        <w:numPr>
          <w:ilvl w:val="0"/>
          <w:numId w:val="12"/>
        </w:numPr>
        <w:spacing w:before="160"/>
        <w:ind w:left="0" w:leftChars="0" w:firstLine="0" w:firstLineChars="0"/>
        <w:rPr>
          <w:sz w:val="24"/>
        </w:rPr>
      </w:pPr>
      <w:r>
        <w:rPr>
          <w:sz w:val="24"/>
        </w:rPr>
        <w:t>编制、整理工程监理归档文件并报委托人。</w:t>
      </w:r>
    </w:p>
    <w:p w14:paraId="111F92D5">
      <w:pPr>
        <w:tabs>
          <w:tab w:val="left" w:pos="1364"/>
        </w:tabs>
        <w:ind w:left="0" w:leftChars="0" w:firstLine="0" w:firstLineChars="0"/>
        <w:rPr>
          <w:sz w:val="24"/>
        </w:rPr>
      </w:pPr>
    </w:p>
    <w:p w14:paraId="61BB6108">
      <w:pPr>
        <w:pStyle w:val="43"/>
        <w:numPr>
          <w:ilvl w:val="1"/>
          <w:numId w:val="9"/>
        </w:numPr>
        <w:spacing w:before="160"/>
        <w:ind w:left="0" w:leftChars="0" w:right="6379" w:rightChars="0" w:firstLine="0" w:firstLineChars="0"/>
        <w:jc w:val="both"/>
        <w:rPr>
          <w:sz w:val="24"/>
        </w:rPr>
      </w:pPr>
      <w:r>
        <w:rPr>
          <w:sz w:val="24"/>
        </w:rPr>
        <w:t>监理与相关服务依据</w:t>
      </w:r>
    </w:p>
    <w:p w14:paraId="020CA65D">
      <w:pPr>
        <w:pStyle w:val="43"/>
        <w:numPr>
          <w:ilvl w:val="2"/>
          <w:numId w:val="9"/>
        </w:numPr>
        <w:tabs>
          <w:tab w:val="left" w:pos="660"/>
          <w:tab w:val="left" w:pos="2520"/>
          <w:tab w:val="left" w:pos="2730"/>
          <w:tab w:val="left" w:pos="3150"/>
        </w:tabs>
        <w:spacing w:before="82"/>
        <w:ind w:left="0" w:leftChars="0" w:right="7190" w:firstLine="0" w:firstLineChars="0"/>
        <w:jc w:val="right"/>
        <w:rPr>
          <w:sz w:val="24"/>
        </w:rPr>
      </w:pPr>
      <w:r>
        <w:rPr>
          <w:sz w:val="24"/>
        </w:rPr>
        <w:t>监理依据包括：</w:t>
      </w:r>
    </w:p>
    <w:p w14:paraId="313F8C09">
      <w:pPr>
        <w:pStyle w:val="43"/>
        <w:numPr>
          <w:ilvl w:val="3"/>
          <w:numId w:val="9"/>
        </w:numPr>
        <w:spacing w:before="160"/>
        <w:ind w:left="0" w:leftChars="0" w:firstLine="0" w:firstLineChars="0"/>
        <w:rPr>
          <w:sz w:val="24"/>
        </w:rPr>
      </w:pPr>
      <w:r>
        <w:rPr>
          <w:sz w:val="24"/>
        </w:rPr>
        <w:t>适用的法律、行政法规及部门规章；</w:t>
      </w:r>
    </w:p>
    <w:p w14:paraId="6981179B">
      <w:pPr>
        <w:pStyle w:val="43"/>
        <w:numPr>
          <w:ilvl w:val="3"/>
          <w:numId w:val="9"/>
        </w:numPr>
        <w:spacing w:before="158"/>
        <w:ind w:left="0" w:leftChars="0" w:firstLine="0" w:firstLineChars="0"/>
        <w:rPr>
          <w:sz w:val="24"/>
        </w:rPr>
      </w:pPr>
      <w:r>
        <w:rPr>
          <w:sz w:val="24"/>
        </w:rPr>
        <w:t>与工程有关的标准；</w:t>
      </w:r>
    </w:p>
    <w:p w14:paraId="7BCE0260">
      <w:pPr>
        <w:pStyle w:val="43"/>
        <w:numPr>
          <w:ilvl w:val="3"/>
          <w:numId w:val="9"/>
        </w:numPr>
        <w:spacing w:before="161"/>
        <w:ind w:left="0" w:leftChars="0" w:firstLine="0" w:firstLineChars="0"/>
        <w:rPr>
          <w:sz w:val="24"/>
        </w:rPr>
      </w:pPr>
      <w:r>
        <w:rPr>
          <w:sz w:val="24"/>
        </w:rPr>
        <w:t>工程设计及有关文件；</w:t>
      </w:r>
    </w:p>
    <w:p w14:paraId="4C9FD093">
      <w:pPr>
        <w:pStyle w:val="43"/>
        <w:numPr>
          <w:ilvl w:val="3"/>
          <w:numId w:val="9"/>
        </w:numPr>
        <w:spacing w:before="158"/>
        <w:ind w:left="0" w:leftChars="0" w:firstLine="0" w:firstLineChars="0"/>
      </w:pPr>
      <w:r>
        <w:rPr>
          <w:sz w:val="24"/>
        </w:rPr>
        <w:t>本合同及委托人与第三方签订的与实施工程有关的其他合同。</w:t>
      </w:r>
    </w:p>
    <w:p w14:paraId="26340292">
      <w:pPr>
        <w:pStyle w:val="43"/>
        <w:numPr>
          <w:ilvl w:val="0"/>
          <w:numId w:val="0"/>
        </w:numPr>
        <w:spacing w:before="158"/>
        <w:ind w:leftChars="0" w:firstLine="240" w:firstLineChars="100"/>
        <w:rPr>
          <w:sz w:val="24"/>
        </w:rPr>
      </w:pPr>
      <w:r>
        <w:rPr>
          <w:sz w:val="24"/>
        </w:rPr>
        <w:t>双方根据工程的行业和地域特点，在专用条款中具体约定监理依据。</w:t>
      </w:r>
    </w:p>
    <w:p w14:paraId="09244B6D">
      <w:pPr>
        <w:pStyle w:val="43"/>
        <w:numPr>
          <w:ilvl w:val="2"/>
          <w:numId w:val="9"/>
        </w:numPr>
        <w:spacing w:before="82"/>
        <w:ind w:left="0" w:leftChars="0" w:firstLine="0" w:firstLineChars="0"/>
        <w:rPr>
          <w:sz w:val="24"/>
        </w:rPr>
      </w:pPr>
      <w:r>
        <w:rPr>
          <w:sz w:val="24"/>
        </w:rPr>
        <w:t>相关服务依据在专用条款中约定。</w:t>
      </w:r>
    </w:p>
    <w:p w14:paraId="6982A9D6">
      <w:pPr>
        <w:pStyle w:val="3"/>
        <w:spacing w:before="8"/>
        <w:ind w:left="0" w:leftChars="0" w:firstLine="0" w:firstLineChars="0"/>
        <w:rPr>
          <w:sz w:val="18"/>
        </w:rPr>
      </w:pPr>
    </w:p>
    <w:p w14:paraId="287835F9">
      <w:pPr>
        <w:pStyle w:val="43"/>
        <w:numPr>
          <w:ilvl w:val="1"/>
          <w:numId w:val="9"/>
        </w:numPr>
        <w:spacing w:before="1"/>
        <w:ind w:left="0" w:leftChars="0" w:firstLine="0" w:firstLineChars="0"/>
        <w:jc w:val="both"/>
        <w:rPr>
          <w:sz w:val="24"/>
        </w:rPr>
      </w:pPr>
      <w:r>
        <w:rPr>
          <w:sz w:val="24"/>
        </w:rPr>
        <w:t>项目监理机构和人员</w:t>
      </w:r>
    </w:p>
    <w:p w14:paraId="12F6B6A1">
      <w:pPr>
        <w:pStyle w:val="43"/>
        <w:numPr>
          <w:ilvl w:val="2"/>
          <w:numId w:val="9"/>
        </w:numPr>
        <w:spacing w:before="81" w:line="364" w:lineRule="auto"/>
        <w:ind w:left="0" w:leftChars="0" w:right="233" w:firstLine="0" w:firstLineChars="0"/>
        <w:jc w:val="both"/>
        <w:rPr>
          <w:sz w:val="24"/>
        </w:rPr>
      </w:pPr>
      <w:r>
        <w:rPr>
          <w:sz w:val="24"/>
        </w:rPr>
        <w:t>监理人应组建满足工作需要的项目监理机构，配备必要的检测设备。项目监理机构的主要人员应具有相应的资格条件。</w:t>
      </w:r>
    </w:p>
    <w:p w14:paraId="5727B516">
      <w:pPr>
        <w:pStyle w:val="43"/>
        <w:numPr>
          <w:ilvl w:val="2"/>
          <w:numId w:val="9"/>
        </w:numPr>
        <w:spacing w:line="364" w:lineRule="auto"/>
        <w:ind w:left="0" w:leftChars="0" w:right="233" w:firstLine="0" w:firstLineChars="0"/>
        <w:jc w:val="both"/>
        <w:rPr>
          <w:sz w:val="24"/>
        </w:rPr>
      </w:pPr>
      <w:r>
        <w:rPr>
          <w:sz w:val="24"/>
        </w:rPr>
        <w:t>本合同履行过程中，总监理工程师及重要岗位监理人员应保持相对稳定，以保证监理工作正常进行。</w:t>
      </w:r>
    </w:p>
    <w:p w14:paraId="539744EC">
      <w:pPr>
        <w:pStyle w:val="43"/>
        <w:numPr>
          <w:ilvl w:val="2"/>
          <w:numId w:val="9"/>
        </w:numPr>
        <w:spacing w:line="364" w:lineRule="auto"/>
        <w:ind w:left="0" w:leftChars="0" w:right="233" w:firstLine="0" w:firstLineChars="0"/>
        <w:jc w:val="both"/>
        <w:rPr>
          <w:sz w:val="24"/>
        </w:rPr>
      </w:pPr>
      <w:r>
        <w:rPr>
          <w:sz w:val="24"/>
        </w:rPr>
        <w:t>监理人可根据工程进展和工作需要调整项目监理机构人员。监理人更换总监理工程师时，应提前 7 天向委托人书面报告，经委托人同意后方可更换；监理人更换项目监理机构其他监理人员，应以相当资格与能力的人员替换，并通知委托人。</w:t>
      </w:r>
    </w:p>
    <w:p w14:paraId="1E591831">
      <w:pPr>
        <w:pStyle w:val="43"/>
        <w:numPr>
          <w:ilvl w:val="2"/>
          <w:numId w:val="9"/>
        </w:numPr>
        <w:spacing w:line="307" w:lineRule="exact"/>
        <w:ind w:left="0" w:leftChars="0" w:firstLine="0" w:firstLineChars="0"/>
        <w:jc w:val="both"/>
        <w:rPr>
          <w:sz w:val="24"/>
        </w:rPr>
      </w:pPr>
      <w:r>
        <w:rPr>
          <w:sz w:val="24"/>
        </w:rPr>
        <w:t>监理人应及时更换有下列情形之一的监理人员：</w:t>
      </w:r>
    </w:p>
    <w:p w14:paraId="31446C86">
      <w:pPr>
        <w:pStyle w:val="43"/>
        <w:numPr>
          <w:ilvl w:val="0"/>
          <w:numId w:val="13"/>
        </w:numPr>
        <w:spacing w:before="156"/>
        <w:ind w:left="0" w:leftChars="0" w:firstLine="0" w:firstLineChars="0"/>
        <w:rPr>
          <w:sz w:val="24"/>
        </w:rPr>
      </w:pPr>
      <w:r>
        <w:rPr>
          <w:sz w:val="24"/>
        </w:rPr>
        <w:t>严重过失行为的；</w:t>
      </w:r>
    </w:p>
    <w:p w14:paraId="3CBEB4C1">
      <w:pPr>
        <w:pStyle w:val="43"/>
        <w:numPr>
          <w:ilvl w:val="0"/>
          <w:numId w:val="13"/>
        </w:numPr>
        <w:spacing w:before="160"/>
        <w:ind w:left="0" w:leftChars="0" w:firstLine="0" w:firstLineChars="0"/>
        <w:rPr>
          <w:sz w:val="24"/>
        </w:rPr>
      </w:pPr>
      <w:r>
        <w:rPr>
          <w:sz w:val="24"/>
        </w:rPr>
        <w:t>有违法行为不能履行职责的；</w:t>
      </w:r>
    </w:p>
    <w:p w14:paraId="68AE267C">
      <w:pPr>
        <w:pStyle w:val="43"/>
        <w:numPr>
          <w:ilvl w:val="0"/>
          <w:numId w:val="13"/>
        </w:numPr>
        <w:spacing w:before="158"/>
        <w:ind w:left="0" w:leftChars="0" w:firstLine="0" w:firstLineChars="0"/>
        <w:rPr>
          <w:sz w:val="24"/>
        </w:rPr>
      </w:pPr>
      <w:r>
        <w:rPr>
          <w:sz w:val="24"/>
        </w:rPr>
        <w:t>涉嫌犯罪的；</w:t>
      </w:r>
    </w:p>
    <w:p w14:paraId="56A67304">
      <w:pPr>
        <w:pStyle w:val="43"/>
        <w:numPr>
          <w:ilvl w:val="0"/>
          <w:numId w:val="13"/>
        </w:numPr>
        <w:spacing w:before="161"/>
        <w:ind w:left="0" w:leftChars="0" w:firstLine="0" w:firstLineChars="0"/>
        <w:rPr>
          <w:sz w:val="24"/>
        </w:rPr>
      </w:pPr>
      <w:r>
        <w:rPr>
          <w:sz w:val="24"/>
        </w:rPr>
        <w:t>不能胜任岗位职责的；</w:t>
      </w:r>
    </w:p>
    <w:p w14:paraId="49A2A19D">
      <w:pPr>
        <w:pStyle w:val="43"/>
        <w:numPr>
          <w:ilvl w:val="0"/>
          <w:numId w:val="13"/>
        </w:numPr>
        <w:spacing w:before="158"/>
        <w:ind w:left="0" w:leftChars="0" w:firstLine="0" w:firstLineChars="0"/>
        <w:rPr>
          <w:sz w:val="24"/>
        </w:rPr>
      </w:pPr>
      <w:r>
        <w:rPr>
          <w:sz w:val="24"/>
        </w:rPr>
        <w:t>严重违反职业道德的；</w:t>
      </w:r>
    </w:p>
    <w:p w14:paraId="63B01D03">
      <w:pPr>
        <w:pStyle w:val="43"/>
        <w:numPr>
          <w:ilvl w:val="0"/>
          <w:numId w:val="13"/>
        </w:numPr>
        <w:spacing w:before="160"/>
        <w:ind w:left="0" w:leftChars="0" w:firstLine="0" w:firstLineChars="0"/>
        <w:rPr>
          <w:sz w:val="24"/>
        </w:rPr>
      </w:pPr>
      <w:r>
        <w:rPr>
          <w:sz w:val="24"/>
        </w:rPr>
        <w:t>专用条款约定的其他情形。</w:t>
      </w:r>
    </w:p>
    <w:p w14:paraId="7A6EFF5F">
      <w:pPr>
        <w:pStyle w:val="3"/>
        <w:spacing w:before="7"/>
        <w:ind w:left="0" w:leftChars="0" w:firstLine="0" w:firstLineChars="0"/>
        <w:rPr>
          <w:sz w:val="18"/>
        </w:rPr>
      </w:pPr>
    </w:p>
    <w:p w14:paraId="3002087A">
      <w:pPr>
        <w:pStyle w:val="43"/>
        <w:numPr>
          <w:ilvl w:val="2"/>
          <w:numId w:val="9"/>
        </w:numPr>
        <w:ind w:left="0" w:leftChars="0" w:firstLine="0" w:firstLineChars="0"/>
        <w:rPr>
          <w:sz w:val="24"/>
        </w:rPr>
      </w:pPr>
      <w:r>
        <w:rPr>
          <w:sz w:val="24"/>
        </w:rPr>
        <w:t>委托人可要求监理人更换不能胜任本职工作的项目监理机构人员。</w:t>
      </w:r>
    </w:p>
    <w:p w14:paraId="3B1FAA30">
      <w:pPr>
        <w:pStyle w:val="43"/>
        <w:numPr>
          <w:ilvl w:val="1"/>
          <w:numId w:val="9"/>
        </w:numPr>
        <w:spacing w:before="161"/>
        <w:ind w:left="0" w:leftChars="0" w:firstLine="0" w:firstLineChars="0"/>
        <w:rPr>
          <w:sz w:val="24"/>
        </w:rPr>
      </w:pPr>
      <w:r>
        <w:rPr>
          <w:sz w:val="24"/>
        </w:rPr>
        <w:t>履行职责</w:t>
      </w:r>
    </w:p>
    <w:p w14:paraId="79555975">
      <w:pPr>
        <w:pStyle w:val="3"/>
        <w:spacing w:before="81" w:line="364" w:lineRule="auto"/>
        <w:ind w:left="0" w:leftChars="0" w:right="233" w:firstLine="0" w:firstLineChars="0"/>
      </w:pPr>
      <w:r>
        <w:t>监理人应遵循职业道德准则和行为规范，严格按照法律法规、工程建设有关标准及本合同履行职责。</w:t>
      </w:r>
    </w:p>
    <w:p w14:paraId="0998DF27">
      <w:pPr>
        <w:pStyle w:val="43"/>
        <w:numPr>
          <w:ilvl w:val="2"/>
          <w:numId w:val="9"/>
        </w:numPr>
        <w:spacing w:before="1" w:line="364" w:lineRule="auto"/>
        <w:ind w:left="0" w:leftChars="0" w:right="230" w:firstLine="0" w:firstLineChars="0"/>
        <w:jc w:val="both"/>
        <w:rPr>
          <w:sz w:val="24"/>
        </w:rPr>
      </w:pPr>
      <w:r>
        <w:rPr>
          <w:sz w:val="24"/>
        </w:rPr>
        <w:t>在监理与相关服务范围内，委托人和承包人提出的意见和要求，监理人应及时提出处置意见。当委托人与承包人之间发生合同争议时，监理人应协助委托人、承包人协商解决。</w:t>
      </w:r>
    </w:p>
    <w:p w14:paraId="7F2D71C8">
      <w:pPr>
        <w:pStyle w:val="43"/>
        <w:numPr>
          <w:ilvl w:val="2"/>
          <w:numId w:val="9"/>
        </w:numPr>
        <w:spacing w:line="364" w:lineRule="auto"/>
        <w:ind w:left="0" w:leftChars="0" w:right="233" w:firstLine="0" w:firstLineChars="0"/>
        <w:jc w:val="both"/>
        <w:rPr>
          <w:sz w:val="24"/>
        </w:rPr>
      </w:pPr>
      <w:r>
        <w:rPr>
          <w:sz w:val="24"/>
        </w:rPr>
        <w:t>当委托人与承包人之间的合同争议提交仲裁机构仲裁或人民法院审理时，监理人应提供必要的证明资料。</w:t>
      </w:r>
    </w:p>
    <w:p w14:paraId="282A8513">
      <w:pPr>
        <w:pStyle w:val="43"/>
        <w:numPr>
          <w:ilvl w:val="2"/>
          <w:numId w:val="9"/>
        </w:numPr>
        <w:spacing w:line="364" w:lineRule="auto"/>
        <w:ind w:left="0" w:leftChars="0" w:right="233" w:firstLine="0" w:firstLineChars="0"/>
        <w:jc w:val="both"/>
        <w:rPr>
          <w:sz w:val="24"/>
        </w:rPr>
      </w:pPr>
      <w:r>
        <w:rPr>
          <w:sz w:val="24"/>
        </w:rPr>
        <w:t>监理人应在专用条款约定的授权范围内，处理委托人与承包人所签订合同的变更事宜。如果变更超过授权范围，应以书面形式报委托人批准。</w:t>
      </w:r>
    </w:p>
    <w:p w14:paraId="0D4010E5">
      <w:pPr>
        <w:pStyle w:val="3"/>
        <w:spacing w:line="364" w:lineRule="auto"/>
        <w:ind w:left="0" w:leftChars="0" w:right="233" w:firstLine="0" w:firstLineChars="0"/>
        <w:jc w:val="both"/>
      </w:pPr>
      <w:r>
        <w:t>在紧急情况下，为了保护财产和人身安全，监理人所发出的指令未能事先报委托人批准时，应在发出指令后的 24 小时内以书面形式报委托人。</w:t>
      </w:r>
    </w:p>
    <w:p w14:paraId="4F1C37CB">
      <w:pPr>
        <w:pStyle w:val="43"/>
        <w:numPr>
          <w:ilvl w:val="2"/>
          <w:numId w:val="9"/>
        </w:numPr>
        <w:spacing w:before="73"/>
        <w:ind w:left="0" w:leftChars="0" w:firstLine="0" w:firstLineChars="0"/>
        <w:jc w:val="both"/>
        <w:rPr>
          <w:sz w:val="24"/>
        </w:rPr>
      </w:pPr>
      <w:r>
        <w:rPr>
          <w:sz w:val="24"/>
        </w:rPr>
        <w:t>除专用条款另有约定外，监理人发现承包人的人员不能胜任本职工作的，有权要求承包人予以调换。</w:t>
      </w:r>
    </w:p>
    <w:p w14:paraId="18E274D3">
      <w:pPr>
        <w:pStyle w:val="43"/>
        <w:numPr>
          <w:ilvl w:val="1"/>
          <w:numId w:val="9"/>
        </w:numPr>
        <w:spacing w:before="161"/>
        <w:ind w:left="0" w:leftChars="0" w:firstLine="0" w:firstLineChars="0"/>
        <w:rPr>
          <w:sz w:val="24"/>
        </w:rPr>
      </w:pPr>
      <w:r>
        <w:rPr>
          <w:sz w:val="24"/>
        </w:rPr>
        <w:t>提交报告</w:t>
      </w:r>
    </w:p>
    <w:p w14:paraId="28BB09C8">
      <w:pPr>
        <w:pStyle w:val="3"/>
        <w:spacing w:before="160"/>
        <w:ind w:left="0" w:leftChars="0" w:firstLine="0" w:firstLineChars="0"/>
      </w:pPr>
      <w:r>
        <w:t>监理人应按专用条款约定的种类、时间和份数向委托人提交监理与相关服务的报告。</w:t>
      </w:r>
    </w:p>
    <w:p w14:paraId="24BE02A5">
      <w:pPr>
        <w:pStyle w:val="43"/>
        <w:numPr>
          <w:ilvl w:val="1"/>
          <w:numId w:val="9"/>
        </w:numPr>
        <w:spacing w:before="161"/>
        <w:ind w:left="0" w:leftChars="0" w:firstLine="0" w:firstLineChars="0"/>
        <w:rPr>
          <w:sz w:val="24"/>
        </w:rPr>
      </w:pPr>
      <w:r>
        <w:rPr>
          <w:sz w:val="24"/>
        </w:rPr>
        <w:t>文件资料</w:t>
      </w:r>
    </w:p>
    <w:p w14:paraId="7C0474E9">
      <w:pPr>
        <w:pStyle w:val="3"/>
        <w:spacing w:before="160" w:line="364" w:lineRule="auto"/>
        <w:ind w:left="0" w:leftChars="0" w:right="233" w:firstLine="0" w:firstLineChars="0"/>
      </w:pPr>
      <w:r>
        <w:t>在本合同履行期内，监理人应在现场保留工作所用的图纸、报告及记录监理工作的相关文件。工程竣工后，应当按照档案管理规定将监理有关文件归档。</w:t>
      </w:r>
    </w:p>
    <w:p w14:paraId="47DE1A3E">
      <w:pPr>
        <w:pStyle w:val="43"/>
        <w:numPr>
          <w:ilvl w:val="1"/>
          <w:numId w:val="9"/>
        </w:numPr>
        <w:spacing w:before="2"/>
        <w:ind w:left="0" w:leftChars="0" w:firstLine="0" w:firstLineChars="0"/>
        <w:rPr>
          <w:sz w:val="24"/>
        </w:rPr>
      </w:pPr>
      <w:r>
        <w:rPr>
          <w:sz w:val="24"/>
        </w:rPr>
        <w:t>使用委托人的财产</w:t>
      </w:r>
    </w:p>
    <w:p w14:paraId="5DD66277">
      <w:pPr>
        <w:pStyle w:val="3"/>
        <w:spacing w:before="160" w:line="364" w:lineRule="auto"/>
        <w:ind w:left="0" w:leftChars="0" w:right="230" w:firstLine="0" w:firstLineChars="0"/>
        <w:jc w:val="both"/>
      </w:pPr>
      <w:r>
        <w:t>除专用条款另有约定外，委托人提供的房屋、设备属于委托人的财产，监理人应妥善使用和保管，在本合同终止时将这些房屋、设备的清单提交委托人，并按专用条款约定的时间和方式移交。</w:t>
      </w:r>
    </w:p>
    <w:p w14:paraId="6416A927">
      <w:pPr>
        <w:pStyle w:val="13"/>
        <w:numPr>
          <w:ilvl w:val="0"/>
          <w:numId w:val="9"/>
        </w:numPr>
        <w:tabs>
          <w:tab w:val="left" w:pos="647"/>
        </w:tabs>
        <w:spacing w:before="1"/>
        <w:ind w:left="646" w:hanging="424"/>
        <w:rPr>
          <w:rFonts w:hint="eastAsia" w:ascii="宋体" w:hAnsi="宋体" w:eastAsia="宋体" w:cs="宋体"/>
          <w:sz w:val="24"/>
          <w:szCs w:val="24"/>
        </w:rPr>
      </w:pPr>
      <w:r>
        <w:rPr>
          <w:rFonts w:hint="eastAsia" w:ascii="宋体" w:hAnsi="宋体" w:eastAsia="宋体" w:cs="宋体"/>
          <w:sz w:val="24"/>
          <w:szCs w:val="24"/>
        </w:rPr>
        <w:t>委托人的义务</w:t>
      </w:r>
    </w:p>
    <w:p w14:paraId="18AAC552">
      <w:pPr>
        <w:pStyle w:val="43"/>
        <w:numPr>
          <w:ilvl w:val="1"/>
          <w:numId w:val="9"/>
        </w:numPr>
        <w:ind w:left="0" w:leftChars="0" w:firstLine="0" w:firstLineChars="0"/>
        <w:rPr>
          <w:sz w:val="24"/>
        </w:rPr>
      </w:pPr>
      <w:r>
        <w:rPr>
          <w:sz w:val="24"/>
        </w:rPr>
        <w:t>告知</w:t>
      </w:r>
    </w:p>
    <w:p w14:paraId="385D8986">
      <w:pPr>
        <w:pStyle w:val="3"/>
        <w:spacing w:before="161" w:line="364" w:lineRule="auto"/>
        <w:ind w:right="233" w:firstLine="480"/>
      </w:pPr>
      <w:r>
        <w:t>委托人应在委托人与承包人签订的合同中明确监理人、总监理工程师和授予项目监理机构的权限。如有变更，应及时通知承包人。</w:t>
      </w:r>
    </w:p>
    <w:p w14:paraId="7B10C4B1">
      <w:pPr>
        <w:pStyle w:val="43"/>
        <w:numPr>
          <w:ilvl w:val="1"/>
          <w:numId w:val="9"/>
        </w:numPr>
        <w:tabs>
          <w:tab w:val="left" w:pos="0"/>
        </w:tabs>
        <w:spacing w:before="1"/>
        <w:ind w:left="0" w:leftChars="0" w:firstLine="0" w:firstLineChars="0"/>
        <w:rPr>
          <w:sz w:val="24"/>
        </w:rPr>
      </w:pPr>
      <w:r>
        <w:rPr>
          <w:sz w:val="24"/>
        </w:rPr>
        <w:t>提供资料</w:t>
      </w:r>
    </w:p>
    <w:p w14:paraId="5364825E">
      <w:pPr>
        <w:pStyle w:val="3"/>
        <w:spacing w:before="160" w:line="364" w:lineRule="auto"/>
        <w:ind w:right="233" w:firstLine="480"/>
      </w:pPr>
      <w:r>
        <w:t>委托人无偿向监理人提供工程有关的资料。在本合同履行过程中，委托人应及时向监理人提供最新的与工程有关的资料。</w:t>
      </w:r>
    </w:p>
    <w:p w14:paraId="7B6E25EA">
      <w:pPr>
        <w:pStyle w:val="43"/>
        <w:numPr>
          <w:ilvl w:val="1"/>
          <w:numId w:val="9"/>
        </w:numPr>
        <w:spacing w:before="2"/>
        <w:ind w:left="0" w:leftChars="0" w:firstLine="0" w:firstLineChars="0"/>
        <w:rPr>
          <w:sz w:val="24"/>
        </w:rPr>
      </w:pPr>
      <w:r>
        <w:rPr>
          <w:sz w:val="24"/>
        </w:rPr>
        <w:t>提供工作条件</w:t>
      </w:r>
    </w:p>
    <w:p w14:paraId="4504A866">
      <w:pPr>
        <w:pStyle w:val="3"/>
        <w:spacing w:before="81"/>
        <w:ind w:left="0" w:leftChars="0" w:firstLine="0" w:firstLineChars="0"/>
      </w:pPr>
      <w:r>
        <w:t>委托人应为监理人完成监理与相关服务提供必要的条件。</w:t>
      </w:r>
    </w:p>
    <w:p w14:paraId="5283796F">
      <w:pPr>
        <w:pStyle w:val="43"/>
        <w:numPr>
          <w:ilvl w:val="2"/>
          <w:numId w:val="9"/>
        </w:numPr>
        <w:spacing w:before="160"/>
        <w:ind w:left="0" w:leftChars="0" w:firstLine="0" w:firstLineChars="0"/>
        <w:rPr>
          <w:sz w:val="24"/>
        </w:rPr>
      </w:pPr>
      <w:r>
        <w:rPr>
          <w:sz w:val="24"/>
        </w:rPr>
        <w:t>委托人可根据需要派遣相应的人员，提供房屋、设备，供监理人无偿使用。</w:t>
      </w:r>
    </w:p>
    <w:p w14:paraId="59D2C916">
      <w:pPr>
        <w:pStyle w:val="3"/>
        <w:spacing w:before="7"/>
        <w:ind w:left="0" w:leftChars="0" w:firstLine="0" w:firstLineChars="0"/>
        <w:rPr>
          <w:sz w:val="18"/>
        </w:rPr>
      </w:pPr>
    </w:p>
    <w:p w14:paraId="5ABA1174">
      <w:pPr>
        <w:pStyle w:val="43"/>
        <w:numPr>
          <w:ilvl w:val="2"/>
          <w:numId w:val="9"/>
        </w:numPr>
        <w:spacing w:line="364" w:lineRule="auto"/>
        <w:ind w:left="0" w:leftChars="0" w:right="233" w:firstLine="0" w:firstLineChars="0"/>
        <w:rPr>
          <w:sz w:val="24"/>
        </w:rPr>
      </w:pPr>
      <w:r>
        <w:rPr>
          <w:sz w:val="24"/>
        </w:rPr>
        <w:t>委托人应负责协调工程建设中所有外部关系，为监理人履行本合同提供必要的外部条件。</w:t>
      </w:r>
    </w:p>
    <w:p w14:paraId="688CF800">
      <w:pPr>
        <w:pStyle w:val="43"/>
        <w:numPr>
          <w:ilvl w:val="1"/>
          <w:numId w:val="9"/>
        </w:numPr>
        <w:spacing w:line="230" w:lineRule="exact"/>
        <w:ind w:left="0" w:leftChars="0" w:firstLine="0" w:firstLineChars="0"/>
        <w:rPr>
          <w:sz w:val="24"/>
        </w:rPr>
      </w:pPr>
      <w:r>
        <w:rPr>
          <w:sz w:val="24"/>
        </w:rPr>
        <w:t>委托人代表</w:t>
      </w:r>
    </w:p>
    <w:p w14:paraId="2C46107D">
      <w:pPr>
        <w:pStyle w:val="3"/>
        <w:spacing w:before="161" w:line="364" w:lineRule="auto"/>
        <w:ind w:left="0" w:leftChars="0" w:right="110" w:firstLine="0" w:firstLineChars="0"/>
        <w:jc w:val="both"/>
      </w:pPr>
      <w:r>
        <w:t>委托人应授权一名熟悉工程情况的代表，负责与监理人联系。委托人应在双方签订本合同后 7 天内，将委托人代表的姓名和职责书面告知监理人。当委托人更换委托人代表时，应提前 7 天通知监理人。</w:t>
      </w:r>
    </w:p>
    <w:p w14:paraId="731372D9">
      <w:pPr>
        <w:pStyle w:val="43"/>
        <w:numPr>
          <w:ilvl w:val="1"/>
          <w:numId w:val="9"/>
        </w:numPr>
        <w:spacing w:before="160"/>
        <w:ind w:left="0" w:leftChars="0" w:firstLine="0" w:firstLineChars="0"/>
        <w:rPr>
          <w:sz w:val="24"/>
        </w:rPr>
      </w:pPr>
      <w:r>
        <w:rPr>
          <w:sz w:val="24"/>
        </w:rPr>
        <w:t>委托人意见或要求</w:t>
      </w:r>
    </w:p>
    <w:p w14:paraId="120B80D5">
      <w:pPr>
        <w:pStyle w:val="3"/>
        <w:spacing w:before="158" w:line="364" w:lineRule="auto"/>
        <w:ind w:right="233" w:firstLine="480"/>
      </w:pPr>
      <w:r>
        <w:t>在本合同约定的监理与相关服务工作范围内，委托人对承包人的任何意见或要求应通知监理人，由监理人向承包人发出相应指令。</w:t>
      </w:r>
    </w:p>
    <w:p w14:paraId="6C166A06">
      <w:pPr>
        <w:pStyle w:val="43"/>
        <w:numPr>
          <w:ilvl w:val="1"/>
          <w:numId w:val="9"/>
        </w:numPr>
        <w:spacing w:line="306" w:lineRule="exact"/>
        <w:ind w:left="0" w:leftChars="0" w:firstLine="0" w:firstLineChars="0"/>
      </w:pPr>
      <w:r>
        <w:rPr>
          <w:sz w:val="24"/>
        </w:rPr>
        <w:t>答复</w:t>
      </w:r>
    </w:p>
    <w:p w14:paraId="2D350B17">
      <w:pPr>
        <w:pStyle w:val="43"/>
        <w:numPr>
          <w:ilvl w:val="0"/>
          <w:numId w:val="0"/>
        </w:numPr>
        <w:spacing w:line="306" w:lineRule="exact"/>
        <w:ind w:leftChars="0" w:firstLine="480" w:firstLineChars="20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委托人应在专用条款约定的时间内，对监理人以书面形式提交并要求作出决定的事宜， 给予书面答复。逾期未答复的，视为委托人认可。</w:t>
      </w:r>
    </w:p>
    <w:p w14:paraId="727707A9">
      <w:pPr>
        <w:pStyle w:val="43"/>
        <w:numPr>
          <w:ilvl w:val="1"/>
          <w:numId w:val="9"/>
        </w:numPr>
        <w:spacing w:before="1"/>
        <w:ind w:left="0" w:leftChars="0" w:firstLine="0" w:firstLineChars="0"/>
        <w:rPr>
          <w:sz w:val="24"/>
        </w:rPr>
      </w:pPr>
      <w:r>
        <w:rPr>
          <w:sz w:val="24"/>
        </w:rPr>
        <w:t>支付</w:t>
      </w:r>
    </w:p>
    <w:p w14:paraId="539A019E">
      <w:pPr>
        <w:pStyle w:val="3"/>
        <w:spacing w:before="158"/>
        <w:ind w:left="0" w:firstLine="480" w:firstLineChars="200"/>
      </w:pPr>
      <w:r>
        <w:t>委托人应按本合同约定，向监理人支付酬金。</w:t>
      </w:r>
    </w:p>
    <w:p w14:paraId="52742A7A">
      <w:pPr>
        <w:pStyle w:val="13"/>
        <w:numPr>
          <w:ilvl w:val="0"/>
          <w:numId w:val="9"/>
        </w:numPr>
        <w:ind w:left="0" w:firstLine="0"/>
        <w:rPr>
          <w:rFonts w:hint="eastAsia" w:ascii="宋体" w:hAnsi="宋体" w:eastAsia="宋体" w:cs="宋体"/>
          <w:sz w:val="24"/>
          <w:szCs w:val="24"/>
        </w:rPr>
      </w:pPr>
      <w:r>
        <w:rPr>
          <w:rFonts w:hint="eastAsia" w:ascii="宋体" w:hAnsi="宋体" w:eastAsia="宋体" w:cs="宋体"/>
          <w:sz w:val="24"/>
          <w:szCs w:val="24"/>
        </w:rPr>
        <w:t>违约责任</w:t>
      </w:r>
    </w:p>
    <w:p w14:paraId="376E106E">
      <w:pPr>
        <w:pStyle w:val="43"/>
        <w:numPr>
          <w:ilvl w:val="1"/>
          <w:numId w:val="9"/>
        </w:numPr>
        <w:ind w:left="0" w:leftChars="0" w:firstLine="0" w:firstLineChars="0"/>
        <w:rPr>
          <w:sz w:val="24"/>
        </w:rPr>
      </w:pPr>
      <w:r>
        <w:rPr>
          <w:sz w:val="24"/>
        </w:rPr>
        <w:t>监理人的违约责任</w:t>
      </w:r>
    </w:p>
    <w:p w14:paraId="39F9F2CC">
      <w:pPr>
        <w:pStyle w:val="3"/>
        <w:spacing w:before="82"/>
        <w:ind w:left="703"/>
      </w:pPr>
      <w:r>
        <w:t>监理人未履行本合同义务的，应承担相应的责任。</w:t>
      </w:r>
    </w:p>
    <w:p w14:paraId="5C9CEB11">
      <w:pPr>
        <w:pStyle w:val="43"/>
        <w:numPr>
          <w:ilvl w:val="2"/>
          <w:numId w:val="9"/>
        </w:numPr>
        <w:tabs>
          <w:tab w:val="left" w:pos="0"/>
        </w:tabs>
        <w:spacing w:before="160" w:line="364" w:lineRule="auto"/>
        <w:ind w:left="0" w:right="230" w:firstLine="0" w:firstLineChars="0"/>
        <w:jc w:val="both"/>
        <w:rPr>
          <w:sz w:val="24"/>
        </w:rPr>
      </w:pPr>
      <w:r>
        <w:rPr>
          <w:sz w:val="24"/>
        </w:rPr>
        <w:t>因监理人违反本合同约定给委托人造成损失的，监理人应当赔偿委托人损失。赔偿金额的确定方法在专用条款中约定。监理人承担部分赔偿责任的，其承担赔偿金额由双方协商确定。</w:t>
      </w:r>
    </w:p>
    <w:p w14:paraId="4472FC55">
      <w:pPr>
        <w:pStyle w:val="43"/>
        <w:numPr>
          <w:ilvl w:val="2"/>
          <w:numId w:val="9"/>
        </w:numPr>
        <w:tabs>
          <w:tab w:val="left" w:pos="0"/>
        </w:tabs>
        <w:spacing w:before="77"/>
        <w:ind w:left="0" w:firstLine="0" w:firstLineChars="0"/>
        <w:jc w:val="both"/>
        <w:rPr>
          <w:sz w:val="24"/>
        </w:rPr>
      </w:pPr>
      <w:r>
        <w:rPr>
          <w:sz w:val="24"/>
        </w:rPr>
        <w:t>监理人向委托人的索赔不成立时，监理人应赔偿委托人由此发生的费用。</w:t>
      </w:r>
    </w:p>
    <w:p w14:paraId="2C2367EC">
      <w:pPr>
        <w:pStyle w:val="43"/>
        <w:numPr>
          <w:ilvl w:val="1"/>
          <w:numId w:val="9"/>
        </w:numPr>
        <w:spacing w:before="81"/>
        <w:ind w:left="0" w:leftChars="0" w:firstLine="0" w:firstLineChars="0"/>
        <w:jc w:val="both"/>
        <w:rPr>
          <w:sz w:val="24"/>
        </w:rPr>
      </w:pPr>
      <w:r>
        <w:rPr>
          <w:sz w:val="24"/>
        </w:rPr>
        <w:t>委托人的违约责任</w:t>
      </w:r>
    </w:p>
    <w:p w14:paraId="725EBA4C">
      <w:pPr>
        <w:pStyle w:val="3"/>
        <w:spacing w:before="160"/>
        <w:ind w:left="703"/>
      </w:pPr>
      <w:r>
        <w:t>委托人未履行本合同义务的，应承担相应的责任。</w:t>
      </w:r>
    </w:p>
    <w:p w14:paraId="4A648801">
      <w:pPr>
        <w:pStyle w:val="43"/>
        <w:numPr>
          <w:ilvl w:val="2"/>
          <w:numId w:val="9"/>
        </w:numPr>
        <w:tabs>
          <w:tab w:val="left" w:pos="0"/>
        </w:tabs>
        <w:spacing w:before="158"/>
        <w:ind w:left="0" w:leftChars="0" w:firstLine="0" w:firstLineChars="0"/>
        <w:jc w:val="both"/>
        <w:rPr>
          <w:sz w:val="24"/>
        </w:rPr>
      </w:pPr>
      <w:r>
        <w:rPr>
          <w:sz w:val="24"/>
        </w:rPr>
        <w:t>委托人违反本合同约定造成监理人损失的，委托人应予以赔偿。</w:t>
      </w:r>
    </w:p>
    <w:p w14:paraId="1B882245">
      <w:pPr>
        <w:pStyle w:val="43"/>
        <w:numPr>
          <w:ilvl w:val="2"/>
          <w:numId w:val="9"/>
        </w:numPr>
        <w:tabs>
          <w:tab w:val="left" w:pos="0"/>
        </w:tabs>
        <w:spacing w:before="161"/>
        <w:ind w:left="0" w:leftChars="0" w:firstLine="0" w:firstLineChars="0"/>
        <w:jc w:val="both"/>
        <w:rPr>
          <w:sz w:val="24"/>
        </w:rPr>
      </w:pPr>
      <w:r>
        <w:rPr>
          <w:sz w:val="24"/>
        </w:rPr>
        <w:t>委托人向监理人的索赔不成立时，应赔偿监理人由此引起的费用。</w:t>
      </w:r>
    </w:p>
    <w:p w14:paraId="4538982F">
      <w:pPr>
        <w:pStyle w:val="3"/>
        <w:spacing w:before="6"/>
        <w:ind w:left="0" w:leftChars="0" w:firstLine="0" w:firstLineChars="0"/>
        <w:rPr>
          <w:sz w:val="18"/>
        </w:rPr>
      </w:pPr>
    </w:p>
    <w:p w14:paraId="0412598D">
      <w:pPr>
        <w:pStyle w:val="43"/>
        <w:numPr>
          <w:ilvl w:val="2"/>
          <w:numId w:val="9"/>
        </w:numPr>
        <w:tabs>
          <w:tab w:val="left" w:pos="0"/>
        </w:tabs>
        <w:spacing w:before="1"/>
        <w:ind w:left="0" w:leftChars="0" w:firstLine="0" w:firstLineChars="0"/>
        <w:rPr>
          <w:sz w:val="24"/>
        </w:rPr>
      </w:pPr>
      <w:r>
        <w:rPr>
          <w:sz w:val="24"/>
        </w:rPr>
        <w:t>委托人未能按期支付酬金超过 28 天，应按专用条款约定支付逾期付款利息。</w:t>
      </w:r>
    </w:p>
    <w:p w14:paraId="3EAEB397">
      <w:pPr>
        <w:pStyle w:val="43"/>
        <w:numPr>
          <w:ilvl w:val="1"/>
          <w:numId w:val="9"/>
        </w:numPr>
        <w:spacing w:before="160"/>
        <w:ind w:left="0" w:leftChars="0" w:firstLine="0" w:firstLineChars="0"/>
        <w:rPr>
          <w:sz w:val="24"/>
        </w:rPr>
      </w:pPr>
      <w:r>
        <w:rPr>
          <w:sz w:val="24"/>
        </w:rPr>
        <w:t>除外责任</w:t>
      </w:r>
    </w:p>
    <w:p w14:paraId="71C488AA">
      <w:pPr>
        <w:pStyle w:val="3"/>
        <w:spacing w:before="81" w:line="364" w:lineRule="auto"/>
        <w:ind w:right="233" w:firstLine="480"/>
      </w:pPr>
      <w:r>
        <w:t>因非监理人的原因，且监理人无过错，发生工程质量事故、安全事故、工期延误等造成的损失，监理人不承担赔偿责任。</w:t>
      </w:r>
    </w:p>
    <w:p w14:paraId="19DFBA1C">
      <w:pPr>
        <w:pStyle w:val="3"/>
        <w:spacing w:line="364" w:lineRule="auto"/>
        <w:ind w:right="233" w:firstLine="480"/>
      </w:pPr>
      <w:r>
        <w:t>因不可抗力导致本合同全部或部分不能履行时，双方各自承担因此而造成的损失、损害。</w:t>
      </w:r>
    </w:p>
    <w:p w14:paraId="3B40EBA8">
      <w:pPr>
        <w:pStyle w:val="13"/>
        <w:numPr>
          <w:ilvl w:val="0"/>
          <w:numId w:val="9"/>
        </w:numPr>
        <w:tabs>
          <w:tab w:val="left" w:pos="507"/>
        </w:tabs>
        <w:spacing w:before="157"/>
        <w:rPr>
          <w:rFonts w:hint="eastAsia" w:ascii="宋体" w:hAnsi="宋体" w:eastAsia="宋体" w:cs="宋体"/>
          <w:sz w:val="24"/>
          <w:szCs w:val="24"/>
        </w:rPr>
      </w:pPr>
      <w:r>
        <w:rPr>
          <w:rFonts w:hint="eastAsia" w:ascii="宋体" w:hAnsi="宋体" w:eastAsia="宋体" w:cs="宋体"/>
          <w:sz w:val="24"/>
          <w:szCs w:val="24"/>
        </w:rPr>
        <w:t>支付</w:t>
      </w:r>
    </w:p>
    <w:p w14:paraId="00E355DC">
      <w:pPr>
        <w:pStyle w:val="43"/>
        <w:numPr>
          <w:ilvl w:val="1"/>
          <w:numId w:val="9"/>
        </w:numPr>
        <w:tabs>
          <w:tab w:val="left" w:pos="0"/>
        </w:tabs>
        <w:spacing w:before="188"/>
        <w:ind w:left="0" w:leftChars="0" w:firstLine="0" w:firstLineChars="0"/>
        <w:rPr>
          <w:sz w:val="24"/>
        </w:rPr>
      </w:pPr>
      <w:r>
        <w:rPr>
          <w:sz w:val="24"/>
        </w:rPr>
        <w:t>支付货币</w:t>
      </w:r>
    </w:p>
    <w:p w14:paraId="490BA460">
      <w:pPr>
        <w:pStyle w:val="3"/>
        <w:spacing w:before="158" w:line="364" w:lineRule="auto"/>
        <w:ind w:left="0" w:leftChars="0" w:right="70" w:firstLine="0" w:firstLineChars="0"/>
      </w:pPr>
      <w:r>
        <w:t>除专用条款另有约定外，酬金均以人民币支付。涉及外币支付的，所采用的货币种类、比例和汇率在专用条款中约定。</w:t>
      </w:r>
    </w:p>
    <w:p w14:paraId="749A87FA">
      <w:pPr>
        <w:pStyle w:val="43"/>
        <w:numPr>
          <w:ilvl w:val="1"/>
          <w:numId w:val="9"/>
        </w:numPr>
        <w:tabs>
          <w:tab w:val="left" w:pos="0"/>
        </w:tabs>
        <w:spacing w:before="1"/>
        <w:ind w:left="0" w:leftChars="0" w:firstLine="0" w:firstLineChars="0"/>
        <w:rPr>
          <w:sz w:val="24"/>
        </w:rPr>
      </w:pPr>
      <w:r>
        <w:rPr>
          <w:sz w:val="24"/>
        </w:rPr>
        <w:t>支付申请</w:t>
      </w:r>
    </w:p>
    <w:p w14:paraId="547D70C2">
      <w:pPr>
        <w:pStyle w:val="3"/>
        <w:spacing w:before="158" w:line="364" w:lineRule="auto"/>
        <w:ind w:left="0" w:leftChars="0" w:right="188" w:firstLine="0" w:firstLineChars="0"/>
      </w:pPr>
      <w:r>
        <w:t>监理人应在本合同约定的每次应付款时间的 7 天前，向委托人提交支付申请书。支付申请书应当说明当期应付款总额，并列出当期应支付的款项及其金额。</w:t>
      </w:r>
    </w:p>
    <w:p w14:paraId="4DA55EB1">
      <w:pPr>
        <w:pStyle w:val="43"/>
        <w:numPr>
          <w:ilvl w:val="1"/>
          <w:numId w:val="9"/>
        </w:numPr>
        <w:tabs>
          <w:tab w:val="left" w:pos="0"/>
        </w:tabs>
        <w:spacing w:line="306" w:lineRule="exact"/>
        <w:ind w:left="0" w:leftChars="0" w:firstLine="0" w:firstLineChars="0"/>
        <w:rPr>
          <w:sz w:val="24"/>
        </w:rPr>
      </w:pPr>
      <w:r>
        <w:rPr>
          <w:sz w:val="24"/>
        </w:rPr>
        <w:t>支付酬金</w:t>
      </w:r>
    </w:p>
    <w:p w14:paraId="4F66B1D0">
      <w:pPr>
        <w:pStyle w:val="3"/>
        <w:spacing w:before="54"/>
        <w:ind w:left="0" w:leftChars="0" w:firstLine="0" w:firstLineChars="0"/>
      </w:pPr>
      <w:r>
        <w:t>支付的酬金包括正常工作酬金、附加工作酬金、合理化建议奖励金额及费用。</w:t>
      </w:r>
    </w:p>
    <w:p w14:paraId="6C580B0C">
      <w:pPr>
        <w:pStyle w:val="43"/>
        <w:numPr>
          <w:ilvl w:val="1"/>
          <w:numId w:val="9"/>
        </w:numPr>
        <w:tabs>
          <w:tab w:val="left" w:pos="0"/>
        </w:tabs>
        <w:spacing w:before="161"/>
        <w:ind w:left="0" w:leftChars="0" w:firstLine="0" w:firstLineChars="0"/>
        <w:jc w:val="both"/>
        <w:rPr>
          <w:sz w:val="24"/>
        </w:rPr>
      </w:pPr>
      <w:r>
        <w:rPr>
          <w:sz w:val="24"/>
        </w:rPr>
        <w:t>有争议部分的付款</w:t>
      </w:r>
    </w:p>
    <w:p w14:paraId="05116B21">
      <w:pPr>
        <w:pStyle w:val="3"/>
        <w:spacing w:before="160" w:line="364" w:lineRule="auto"/>
        <w:ind w:left="0" w:leftChars="0" w:right="230" w:firstLine="0" w:firstLineChars="0"/>
        <w:jc w:val="both"/>
      </w:pPr>
      <w:r>
        <w:t>委托人对监理人提交的支付申请书有异议时，应当在收到监理人提交的支付申请书后 7 天内，以书面形式向监理人发出异议通知。无异议部分的款项应按期支付，有异议部分的款项按第 7 条约定办理。</w:t>
      </w:r>
    </w:p>
    <w:p w14:paraId="5C240A74">
      <w:pPr>
        <w:pStyle w:val="13"/>
        <w:numPr>
          <w:ilvl w:val="0"/>
          <w:numId w:val="9"/>
        </w:numPr>
        <w:tabs>
          <w:tab w:val="left" w:pos="507"/>
        </w:tabs>
        <w:spacing w:before="156"/>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合同生效、变更、暂停、解除与终止</w:t>
      </w:r>
    </w:p>
    <w:p w14:paraId="01E1F8DD">
      <w:pPr>
        <w:pStyle w:val="43"/>
        <w:numPr>
          <w:ilvl w:val="1"/>
          <w:numId w:val="9"/>
        </w:numPr>
        <w:tabs>
          <w:tab w:val="left" w:pos="0"/>
        </w:tabs>
        <w:spacing w:before="1"/>
        <w:ind w:left="0" w:leftChars="0" w:firstLine="0" w:firstLineChars="0"/>
        <w:rPr>
          <w:sz w:val="24"/>
        </w:rPr>
      </w:pPr>
      <w:r>
        <w:rPr>
          <w:sz w:val="24"/>
        </w:rPr>
        <w:t>生效</w:t>
      </w:r>
    </w:p>
    <w:p w14:paraId="5D5FC9D5">
      <w:pPr>
        <w:pStyle w:val="3"/>
        <w:spacing w:before="160" w:line="364" w:lineRule="auto"/>
        <w:ind w:left="0" w:leftChars="0" w:right="233" w:firstLine="0" w:firstLineChars="0"/>
      </w:pPr>
      <w:r>
        <w:t>除法律另有规定或者专用条款另有约定外，委托人和监理人的法定代表人或其授权代理人在协议书上签字并盖单位章后本合同生效。</w:t>
      </w:r>
    </w:p>
    <w:p w14:paraId="302845D5">
      <w:pPr>
        <w:pStyle w:val="43"/>
        <w:numPr>
          <w:ilvl w:val="1"/>
          <w:numId w:val="9"/>
        </w:numPr>
        <w:tabs>
          <w:tab w:val="left" w:pos="0"/>
        </w:tabs>
        <w:spacing w:line="230" w:lineRule="exact"/>
        <w:ind w:left="0" w:leftChars="0" w:firstLine="0" w:firstLineChars="0"/>
        <w:rPr>
          <w:sz w:val="24"/>
        </w:rPr>
      </w:pPr>
      <w:r>
        <w:rPr>
          <w:rFonts w:hint="eastAsia"/>
          <w:sz w:val="24"/>
          <w:lang w:val="en-US" w:eastAsia="zh-CN"/>
        </w:rPr>
        <w:t>变更</w:t>
      </w:r>
    </w:p>
    <w:p w14:paraId="4E009546">
      <w:pPr>
        <w:pStyle w:val="43"/>
        <w:numPr>
          <w:ilvl w:val="2"/>
          <w:numId w:val="9"/>
        </w:numPr>
        <w:spacing w:before="158"/>
        <w:ind w:left="0" w:leftChars="0" w:firstLine="0" w:firstLineChars="0"/>
        <w:jc w:val="both"/>
        <w:rPr>
          <w:sz w:val="24"/>
        </w:rPr>
      </w:pPr>
      <w:r>
        <w:rPr>
          <w:sz w:val="24"/>
        </w:rPr>
        <w:t>任何一方提出变更请求时，双方经协商一致后可进行变更。</w:t>
      </w:r>
    </w:p>
    <w:p w14:paraId="3B6862DF">
      <w:pPr>
        <w:pStyle w:val="43"/>
        <w:numPr>
          <w:ilvl w:val="2"/>
          <w:numId w:val="9"/>
        </w:numPr>
        <w:spacing w:before="161" w:line="364" w:lineRule="auto"/>
        <w:ind w:left="0" w:leftChars="0" w:right="230" w:firstLine="0" w:firstLineChars="0"/>
        <w:jc w:val="both"/>
        <w:rPr>
          <w:sz w:val="24"/>
        </w:rPr>
      </w:pPr>
      <w:r>
        <w:rPr>
          <w:sz w:val="24"/>
        </w:rPr>
        <w:t>除不可抗力外，因非监理人原因导致监理人履行合同期限延长、内容增加时，监理人应当将此情况与可能产生的影响及时通知委托人。增加的监理工作时间、工作内容应视为附加工作。附加工作酬金的确定方法在专用条款中约定。</w:t>
      </w:r>
    </w:p>
    <w:p w14:paraId="321E7804">
      <w:pPr>
        <w:pStyle w:val="43"/>
        <w:numPr>
          <w:ilvl w:val="2"/>
          <w:numId w:val="9"/>
        </w:numPr>
        <w:tabs>
          <w:tab w:val="left" w:pos="0"/>
        </w:tabs>
        <w:spacing w:line="364" w:lineRule="auto"/>
        <w:ind w:left="0" w:right="230" w:firstLine="0" w:firstLineChars="0"/>
        <w:jc w:val="both"/>
        <w:rPr>
          <w:sz w:val="24"/>
        </w:rPr>
      </w:pPr>
      <w:r>
        <w:rPr>
          <w:sz w:val="24"/>
        </w:rPr>
        <w:t>合同生效后，如果实际情况发生变化使得监理人不能完成全部或部分工作时，监理人应立即通知委托人。除不可抗力外，其善后工作以及恢复服务的准备工作应为附加工作，附加工作酬金的确定方法在专用条款中约定。监理人用于恢复服务的准备时间不应超过 28 天。</w:t>
      </w:r>
    </w:p>
    <w:p w14:paraId="45433B94">
      <w:pPr>
        <w:pStyle w:val="43"/>
        <w:numPr>
          <w:ilvl w:val="2"/>
          <w:numId w:val="9"/>
        </w:numPr>
        <w:spacing w:line="364" w:lineRule="auto"/>
        <w:ind w:left="0" w:right="115" w:firstLine="0" w:firstLineChars="0"/>
        <w:jc w:val="both"/>
        <w:rPr>
          <w:sz w:val="24"/>
        </w:rPr>
      </w:pPr>
      <w:r>
        <w:rPr>
          <w:sz w:val="24"/>
        </w:rPr>
        <w:t>合同签订后，遇有与工程相关的法律法规、标准颁布或修订的，双方应遵照执行。由此引起监理与相关服务的范围、时间、酬金变化的，双方应通过协商进行相应调整。</w:t>
      </w:r>
    </w:p>
    <w:p w14:paraId="69B4BBD9">
      <w:pPr>
        <w:pStyle w:val="43"/>
        <w:numPr>
          <w:ilvl w:val="2"/>
          <w:numId w:val="9"/>
        </w:numPr>
        <w:spacing w:line="364" w:lineRule="auto"/>
        <w:ind w:left="0" w:right="233" w:firstLine="0" w:firstLineChars="0"/>
        <w:jc w:val="both"/>
        <w:rPr>
          <w:sz w:val="24"/>
        </w:rPr>
      </w:pPr>
      <w:r>
        <w:rPr>
          <w:sz w:val="24"/>
        </w:rPr>
        <w:t>因非监理人原因造成工程概算投资额或建筑安装工程费增加时，正常工作酬金应作相应调整。调整方法在专用条款中约定。</w:t>
      </w:r>
    </w:p>
    <w:p w14:paraId="6394A1D8">
      <w:pPr>
        <w:pStyle w:val="43"/>
        <w:numPr>
          <w:ilvl w:val="2"/>
          <w:numId w:val="9"/>
        </w:numPr>
        <w:spacing w:line="362" w:lineRule="auto"/>
        <w:ind w:left="0" w:right="233" w:firstLine="0" w:firstLineChars="0"/>
        <w:jc w:val="both"/>
        <w:rPr>
          <w:sz w:val="24"/>
        </w:rPr>
      </w:pPr>
      <w:r>
        <w:rPr>
          <w:sz w:val="24"/>
        </w:rPr>
        <w:t>因工程规模、监理范围的变化导致监理人的正常工作量减少时，正常工作酬金应作相应调整。调整方法在专用条款中约定。</w:t>
      </w:r>
    </w:p>
    <w:p w14:paraId="54FDC902">
      <w:pPr>
        <w:pStyle w:val="43"/>
        <w:numPr>
          <w:ilvl w:val="1"/>
          <w:numId w:val="9"/>
        </w:numPr>
        <w:ind w:left="0" w:leftChars="0" w:firstLine="0" w:firstLineChars="0"/>
        <w:jc w:val="both"/>
        <w:rPr>
          <w:sz w:val="24"/>
        </w:rPr>
      </w:pPr>
      <w:r>
        <w:rPr>
          <w:sz w:val="24"/>
        </w:rPr>
        <w:t>暂停与解除</w:t>
      </w:r>
    </w:p>
    <w:p w14:paraId="26C65769">
      <w:pPr>
        <w:pStyle w:val="3"/>
        <w:spacing w:before="157" w:line="364" w:lineRule="auto"/>
        <w:ind w:right="233" w:firstLine="480"/>
      </w:pPr>
      <w:r>
        <w:t>除双方协商一致可以解除本合同外，当一方无正当理由未履行本合同约定的义务时， 另一方可以根据本合同约定暂停履行本合同直至解除本合同。</w:t>
      </w:r>
    </w:p>
    <w:p w14:paraId="7FE2C85C">
      <w:pPr>
        <w:pStyle w:val="43"/>
        <w:numPr>
          <w:ilvl w:val="2"/>
          <w:numId w:val="9"/>
        </w:numPr>
        <w:spacing w:line="364" w:lineRule="auto"/>
        <w:ind w:left="0" w:right="230" w:firstLine="0" w:firstLineChars="0"/>
        <w:jc w:val="both"/>
        <w:rPr>
          <w:sz w:val="24"/>
        </w:rPr>
      </w:pPr>
      <w:r>
        <w:rPr>
          <w:sz w:val="24"/>
        </w:rPr>
        <w:t>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34400F2F">
      <w:pPr>
        <w:pStyle w:val="43"/>
        <w:numPr>
          <w:ilvl w:val="2"/>
          <w:numId w:val="9"/>
        </w:numPr>
        <w:spacing w:line="362" w:lineRule="auto"/>
        <w:ind w:left="0" w:right="233" w:firstLine="0" w:firstLineChars="0"/>
        <w:jc w:val="both"/>
        <w:rPr>
          <w:sz w:val="24"/>
        </w:rPr>
      </w:pPr>
      <w:r>
        <w:rPr>
          <w:sz w:val="24"/>
          <w:szCs w:val="24"/>
        </w:rPr>
        <w:t>因解除本合同或解除监理人的部分</w:t>
      </w:r>
      <w:r>
        <w:rPr>
          <w:sz w:val="24"/>
        </w:rPr>
        <w:t>义务导致监理人遭受的损失，除依法可以免除责任的情况外，应由委托人予以补偿，补偿金额由双方协商确定。</w:t>
      </w:r>
    </w:p>
    <w:p w14:paraId="5826CFA6">
      <w:pPr>
        <w:pStyle w:val="43"/>
        <w:numPr>
          <w:ilvl w:val="2"/>
          <w:numId w:val="9"/>
        </w:numPr>
        <w:spacing w:line="362" w:lineRule="auto"/>
        <w:ind w:left="0" w:right="233" w:firstLine="0" w:firstLineChars="0"/>
        <w:jc w:val="both"/>
        <w:rPr>
          <w:sz w:val="24"/>
        </w:rPr>
      </w:pPr>
      <w:r>
        <w:rPr>
          <w:sz w:val="24"/>
        </w:rPr>
        <w:t>解除本合同的协议必须采取书面形式，协议未达成之前，本合同仍然有效。</w:t>
      </w:r>
    </w:p>
    <w:p w14:paraId="461AAFE6">
      <w:pPr>
        <w:pStyle w:val="43"/>
        <w:numPr>
          <w:ilvl w:val="2"/>
          <w:numId w:val="9"/>
        </w:numPr>
        <w:spacing w:line="362" w:lineRule="auto"/>
        <w:ind w:left="0" w:right="233" w:firstLine="0" w:firstLineChars="0"/>
        <w:jc w:val="both"/>
        <w:rPr>
          <w:sz w:val="24"/>
        </w:rPr>
      </w:pPr>
      <w:r>
        <w:rPr>
          <w:sz w:val="24"/>
        </w:rPr>
        <w:t>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2A22BD61">
      <w:pPr>
        <w:pStyle w:val="43"/>
        <w:numPr>
          <w:ilvl w:val="2"/>
          <w:numId w:val="9"/>
        </w:numPr>
        <w:spacing w:line="364" w:lineRule="auto"/>
        <w:ind w:left="0" w:right="230" w:firstLine="0" w:firstLineChars="0"/>
        <w:jc w:val="both"/>
        <w:rPr>
          <w:sz w:val="24"/>
        </w:rPr>
      </w:pPr>
      <w:r>
        <w:rPr>
          <w:sz w:val="24"/>
        </w:rPr>
        <w:t>暂停部分监理与相关服务时间超过 182 天，监理人可发出解除本合同约定的该部分义务的通知；暂停全部工作时间超过 182 天，监理人可发出解除本合同的通知，本合同自通知到达委托人时解除。委托人应将监理与相关服务的酬金支付至本合同解除日，且应承担第 4.2 款约定的责任。</w:t>
      </w:r>
    </w:p>
    <w:p w14:paraId="4DA922C1">
      <w:pPr>
        <w:pStyle w:val="43"/>
        <w:numPr>
          <w:ilvl w:val="2"/>
          <w:numId w:val="9"/>
        </w:numPr>
        <w:spacing w:line="364" w:lineRule="auto"/>
        <w:ind w:left="0" w:right="230" w:firstLine="0" w:firstLineChars="0"/>
        <w:jc w:val="both"/>
        <w:rPr>
          <w:sz w:val="24"/>
        </w:rPr>
      </w:pPr>
      <w:r>
        <w:rPr>
          <w:sz w:val="24"/>
        </w:rPr>
        <w:t>当监理人无正当理由未履行本合同约定的义务时，委托人应通知监理人限期改正。若委托人在监理人接到通知后的 7 天内未收到监理人书面形式的合理解释，则可在 7 天内发出解除本合同的通知，自通知到达监理人时本合同解除。委托人应将监理与相关服务的酬金支付至限期改正通知到达监理人之日，但监理人应承担第 4.1 款约定的责任。</w:t>
      </w:r>
    </w:p>
    <w:p w14:paraId="023729CD">
      <w:pPr>
        <w:pStyle w:val="43"/>
        <w:numPr>
          <w:ilvl w:val="2"/>
          <w:numId w:val="9"/>
        </w:numPr>
        <w:spacing w:line="364" w:lineRule="auto"/>
        <w:ind w:left="0" w:right="230" w:firstLine="0" w:firstLineChars="0"/>
        <w:jc w:val="both"/>
        <w:rPr>
          <w:sz w:val="24"/>
        </w:rPr>
      </w:pPr>
      <w:r>
        <w:rPr>
          <w:sz w:val="24"/>
        </w:rPr>
        <w:t>监理人在专用条款 5.3 中约定的支付之日起 28 天后仍未收到委托人按本合同约定应付的款项，可向委托人发出催付通知。委托人接到通知 14 天后仍未支付或未提出监理人可以接受的延期支付安排，监理人可向委托人发出暂停工作的通知并可自行暂停全部或部分工作。暂停工作后 14 天内监理人仍未获得委托人应付酬金或委托人的合理答复，监理人可向委托人发出解除本合同的通知，自通知到达委托人时本合同解除。委托人应承担第</w:t>
      </w:r>
    </w:p>
    <w:p w14:paraId="3454D9CF">
      <w:pPr>
        <w:pStyle w:val="3"/>
        <w:spacing w:line="306" w:lineRule="exact"/>
        <w:jc w:val="both"/>
      </w:pPr>
      <w:r>
        <w:t>4.2.3 款约定的责任。</w:t>
      </w:r>
    </w:p>
    <w:p w14:paraId="3457A413">
      <w:pPr>
        <w:pStyle w:val="43"/>
        <w:numPr>
          <w:ilvl w:val="2"/>
          <w:numId w:val="14"/>
        </w:numPr>
        <w:spacing w:before="156" w:line="364" w:lineRule="auto"/>
        <w:ind w:left="-3" w:leftChars="0" w:right="233" w:hanging="3" w:firstLineChars="0"/>
        <w:jc w:val="both"/>
        <w:rPr>
          <w:sz w:val="24"/>
        </w:rPr>
      </w:pPr>
      <w:r>
        <w:rPr>
          <w:sz w:val="24"/>
        </w:rPr>
        <w:t>因不可抗力致使本合同部分或全部不能履行时，一方应立即通知另一方，可暂停或解除本合同。</w:t>
      </w:r>
    </w:p>
    <w:p w14:paraId="644335BE">
      <w:pPr>
        <w:pStyle w:val="43"/>
        <w:numPr>
          <w:ilvl w:val="2"/>
          <w:numId w:val="14"/>
        </w:numPr>
        <w:spacing w:line="306" w:lineRule="exact"/>
        <w:ind w:left="-3" w:leftChars="0" w:hanging="3" w:firstLineChars="0"/>
        <w:jc w:val="both"/>
        <w:rPr>
          <w:sz w:val="24"/>
        </w:rPr>
      </w:pPr>
      <w:r>
        <w:rPr>
          <w:sz w:val="24"/>
        </w:rPr>
        <w:t>本合同解除后，本合同约定的有关结算、清理、争议解决方式的条件仍然有效。</w:t>
      </w:r>
    </w:p>
    <w:p w14:paraId="2D1AAA55">
      <w:pPr>
        <w:pStyle w:val="43"/>
        <w:numPr>
          <w:ilvl w:val="1"/>
          <w:numId w:val="9"/>
        </w:numPr>
        <w:spacing w:before="160"/>
        <w:ind w:left="0" w:leftChars="0" w:firstLine="0" w:firstLineChars="0"/>
        <w:rPr>
          <w:sz w:val="24"/>
        </w:rPr>
      </w:pPr>
      <w:r>
        <w:rPr>
          <w:sz w:val="24"/>
        </w:rPr>
        <w:t>终止</w:t>
      </w:r>
    </w:p>
    <w:p w14:paraId="4330A769">
      <w:pPr>
        <w:pStyle w:val="3"/>
        <w:spacing w:before="158"/>
        <w:ind w:left="0" w:leftChars="0" w:firstLine="0" w:firstLineChars="0"/>
      </w:pPr>
      <w:r>
        <w:t>以下条件全部满足时，本合同即告终止：</w:t>
      </w:r>
    </w:p>
    <w:p w14:paraId="6308BC25">
      <w:pPr>
        <w:pStyle w:val="43"/>
        <w:numPr>
          <w:ilvl w:val="0"/>
          <w:numId w:val="15"/>
        </w:numPr>
        <w:spacing w:before="161"/>
        <w:ind w:left="0" w:leftChars="0" w:firstLine="0" w:firstLineChars="0"/>
        <w:rPr>
          <w:sz w:val="24"/>
        </w:rPr>
      </w:pPr>
      <w:r>
        <w:rPr>
          <w:sz w:val="24"/>
        </w:rPr>
        <w:t>监理人完成本合同约定的全部工作；</w:t>
      </w:r>
    </w:p>
    <w:p w14:paraId="3DF9FB65">
      <w:pPr>
        <w:pStyle w:val="43"/>
        <w:numPr>
          <w:ilvl w:val="0"/>
          <w:numId w:val="15"/>
        </w:numPr>
        <w:spacing w:before="158"/>
        <w:ind w:left="0" w:leftChars="0" w:firstLine="0" w:firstLineChars="0"/>
        <w:rPr>
          <w:sz w:val="24"/>
        </w:rPr>
      </w:pPr>
      <w:r>
        <w:rPr>
          <w:sz w:val="24"/>
        </w:rPr>
        <w:t>委托人与监理人结清并支付全部酬金。</w:t>
      </w:r>
    </w:p>
    <w:p w14:paraId="689474A4">
      <w:pPr>
        <w:pStyle w:val="13"/>
        <w:numPr>
          <w:ilvl w:val="0"/>
          <w:numId w:val="9"/>
        </w:numPr>
        <w:tabs>
          <w:tab w:val="left" w:pos="507"/>
        </w:tabs>
      </w:pPr>
      <w:r>
        <w:rPr>
          <w:rFonts w:hint="eastAsia" w:ascii="宋体" w:hAnsi="宋体" w:eastAsia="宋体" w:cs="宋体"/>
          <w:sz w:val="24"/>
          <w:szCs w:val="24"/>
        </w:rPr>
        <w:t>争议解决</w:t>
      </w:r>
    </w:p>
    <w:p w14:paraId="396A2BDE">
      <w:pPr>
        <w:pStyle w:val="43"/>
        <w:numPr>
          <w:ilvl w:val="1"/>
          <w:numId w:val="9"/>
        </w:numPr>
        <w:spacing w:before="188"/>
        <w:ind w:left="0" w:leftChars="0" w:firstLine="0" w:firstLineChars="0"/>
        <w:rPr>
          <w:sz w:val="24"/>
        </w:rPr>
      </w:pPr>
      <w:r>
        <w:rPr>
          <w:sz w:val="24"/>
        </w:rPr>
        <w:t>协商</w:t>
      </w:r>
    </w:p>
    <w:p w14:paraId="469B89C3">
      <w:pPr>
        <w:pStyle w:val="3"/>
        <w:spacing w:before="160"/>
        <w:ind w:left="0"/>
      </w:pPr>
      <w:r>
        <w:t>双方应本着诚信原则协商解决彼此间的争议。</w:t>
      </w:r>
    </w:p>
    <w:p w14:paraId="337C0383">
      <w:pPr>
        <w:pStyle w:val="43"/>
        <w:numPr>
          <w:ilvl w:val="1"/>
          <w:numId w:val="9"/>
        </w:numPr>
        <w:spacing w:before="54"/>
        <w:ind w:left="0" w:leftChars="0" w:firstLine="0" w:firstLineChars="0"/>
        <w:rPr>
          <w:sz w:val="24"/>
        </w:rPr>
      </w:pPr>
      <w:r>
        <w:rPr>
          <w:sz w:val="24"/>
        </w:rPr>
        <w:t>调解</w:t>
      </w:r>
    </w:p>
    <w:p w14:paraId="1B011F91">
      <w:pPr>
        <w:pStyle w:val="3"/>
        <w:spacing w:before="161" w:line="364" w:lineRule="auto"/>
        <w:ind w:right="233" w:firstLine="480"/>
      </w:pPr>
      <w:r>
        <w:t>如果双方不能在 14 天内或双方商定的其他时间内解决本合同争议，可以将其提交给专用条款约定的或事后达成协议的调解人进行调解。</w:t>
      </w:r>
    </w:p>
    <w:p w14:paraId="0895CF6C">
      <w:pPr>
        <w:pStyle w:val="43"/>
        <w:numPr>
          <w:ilvl w:val="1"/>
          <w:numId w:val="9"/>
        </w:numPr>
        <w:tabs>
          <w:tab w:val="left" w:pos="0"/>
        </w:tabs>
        <w:spacing w:line="306" w:lineRule="exact"/>
        <w:ind w:left="0" w:leftChars="0" w:firstLine="0" w:firstLineChars="0"/>
        <w:rPr>
          <w:sz w:val="24"/>
        </w:rPr>
      </w:pPr>
      <w:r>
        <w:rPr>
          <w:sz w:val="24"/>
        </w:rPr>
        <w:t>仲裁或诉讼</w:t>
      </w:r>
    </w:p>
    <w:p w14:paraId="3C60B0A4">
      <w:pPr>
        <w:pStyle w:val="3"/>
        <w:spacing w:before="160" w:line="362" w:lineRule="auto"/>
        <w:ind w:right="233" w:firstLine="480"/>
      </w:pPr>
      <w:r>
        <w:t>双方均有权不经调解直接向专用条款约定的</w:t>
      </w:r>
      <w:r>
        <w:rPr>
          <w:rFonts w:hint="eastAsia"/>
          <w:lang w:val="en-US" w:eastAsia="zh-CN"/>
        </w:rPr>
        <w:t>广州市越秀区</w:t>
      </w:r>
      <w:r>
        <w:t>人民法院提起诉讼。</w:t>
      </w:r>
    </w:p>
    <w:p w14:paraId="2408C076">
      <w:pPr>
        <w:pStyle w:val="13"/>
        <w:numPr>
          <w:ilvl w:val="0"/>
          <w:numId w:val="9"/>
        </w:numPr>
        <w:tabs>
          <w:tab w:val="left" w:pos="507"/>
        </w:tabs>
        <w:spacing w:before="162"/>
        <w:rPr>
          <w:rFonts w:hint="eastAsia" w:ascii="宋体" w:hAnsi="宋体" w:eastAsia="宋体" w:cs="宋体"/>
          <w:sz w:val="24"/>
          <w:szCs w:val="24"/>
        </w:rPr>
      </w:pPr>
      <w:r>
        <w:rPr>
          <w:rFonts w:hint="eastAsia" w:ascii="宋体" w:hAnsi="宋体" w:eastAsia="宋体" w:cs="宋体"/>
          <w:sz w:val="24"/>
          <w:szCs w:val="24"/>
        </w:rPr>
        <w:t>其他</w:t>
      </w:r>
    </w:p>
    <w:p w14:paraId="1A20C595">
      <w:pPr>
        <w:pStyle w:val="43"/>
        <w:numPr>
          <w:ilvl w:val="1"/>
          <w:numId w:val="9"/>
        </w:numPr>
        <w:tabs>
          <w:tab w:val="left" w:pos="0"/>
        </w:tabs>
        <w:ind w:left="0" w:leftChars="0" w:firstLine="0" w:firstLineChars="0"/>
        <w:rPr>
          <w:sz w:val="24"/>
        </w:rPr>
      </w:pPr>
      <w:r>
        <w:rPr>
          <w:sz w:val="24"/>
        </w:rPr>
        <w:t>外出考察费用</w:t>
      </w:r>
    </w:p>
    <w:p w14:paraId="595C60A8">
      <w:pPr>
        <w:pStyle w:val="3"/>
        <w:spacing w:before="81"/>
        <w:ind w:left="0" w:leftChars="0" w:firstLine="480" w:firstLineChars="200"/>
      </w:pPr>
      <w:r>
        <w:t>经委托人同意，监理人员外出考察发生的费用由委托人审核后支付。</w:t>
      </w:r>
    </w:p>
    <w:p w14:paraId="584D075B">
      <w:pPr>
        <w:pStyle w:val="43"/>
        <w:numPr>
          <w:ilvl w:val="1"/>
          <w:numId w:val="9"/>
        </w:numPr>
        <w:tabs>
          <w:tab w:val="left" w:pos="0"/>
        </w:tabs>
        <w:spacing w:before="161"/>
        <w:ind w:left="0" w:leftChars="0" w:firstLine="0" w:firstLineChars="0"/>
        <w:rPr>
          <w:sz w:val="24"/>
        </w:rPr>
      </w:pPr>
      <w:r>
        <w:rPr>
          <w:sz w:val="24"/>
        </w:rPr>
        <w:t>检测费用</w:t>
      </w:r>
    </w:p>
    <w:p w14:paraId="48691FB9">
      <w:pPr>
        <w:pStyle w:val="3"/>
        <w:spacing w:before="158" w:line="364" w:lineRule="auto"/>
        <w:ind w:left="0" w:leftChars="0" w:right="233" w:firstLine="480" w:firstLineChars="200"/>
      </w:pPr>
      <w:r>
        <w:t>委托人要求监理人进行的材料和设备检测所发生的费用，由委托人支付，支付时间在专用条款中约定。</w:t>
      </w:r>
    </w:p>
    <w:p w14:paraId="2E965B41">
      <w:pPr>
        <w:pStyle w:val="43"/>
        <w:numPr>
          <w:ilvl w:val="1"/>
          <w:numId w:val="9"/>
        </w:numPr>
        <w:tabs>
          <w:tab w:val="left" w:pos="0"/>
        </w:tabs>
        <w:spacing w:line="306" w:lineRule="exact"/>
        <w:ind w:left="0" w:leftChars="0" w:firstLine="0" w:firstLineChars="0"/>
        <w:rPr>
          <w:sz w:val="24"/>
        </w:rPr>
      </w:pPr>
      <w:r>
        <w:rPr>
          <w:sz w:val="24"/>
        </w:rPr>
        <w:t>咨询费用</w:t>
      </w:r>
    </w:p>
    <w:p w14:paraId="2383C1C1">
      <w:pPr>
        <w:pStyle w:val="3"/>
        <w:spacing w:before="161" w:line="362" w:lineRule="auto"/>
        <w:ind w:left="0" w:leftChars="0" w:right="233" w:firstLine="480" w:firstLineChars="200"/>
      </w:pPr>
      <w:r>
        <w:t>经委托人同意，根据工程需要由监理人组织的相关咨询论证会以及聘请相关专家等发生的费用由委托人支付，支付时间在专用条款中约定。</w:t>
      </w:r>
    </w:p>
    <w:p w14:paraId="0B599B63">
      <w:pPr>
        <w:pStyle w:val="43"/>
        <w:numPr>
          <w:ilvl w:val="1"/>
          <w:numId w:val="9"/>
        </w:numPr>
        <w:tabs>
          <w:tab w:val="left" w:pos="0"/>
        </w:tabs>
        <w:spacing w:before="4"/>
        <w:ind w:left="0" w:leftChars="0" w:firstLine="0" w:firstLineChars="0"/>
        <w:rPr>
          <w:sz w:val="24"/>
        </w:rPr>
      </w:pPr>
      <w:r>
        <w:rPr>
          <w:sz w:val="24"/>
        </w:rPr>
        <w:t>奖励</w:t>
      </w:r>
    </w:p>
    <w:p w14:paraId="196EAFE8">
      <w:pPr>
        <w:pStyle w:val="3"/>
        <w:spacing w:before="159" w:line="364" w:lineRule="auto"/>
        <w:ind w:left="0" w:leftChars="0" w:right="230" w:firstLine="480" w:firstLineChars="200"/>
        <w:jc w:val="both"/>
      </w:pPr>
      <w:r>
        <w:t>监理人在服务过程中提出的合理化建议，使委托人获得经济效益的，双方在专用条款中约定奖励金额的确定方法。奖励金额在合理化建议被采纳后，与最近一期的正常工作酬金同期支付。</w:t>
      </w:r>
    </w:p>
    <w:p w14:paraId="648F682C">
      <w:pPr>
        <w:pStyle w:val="43"/>
        <w:numPr>
          <w:ilvl w:val="1"/>
          <w:numId w:val="9"/>
        </w:numPr>
        <w:tabs>
          <w:tab w:val="left" w:pos="0"/>
        </w:tabs>
        <w:spacing w:line="307" w:lineRule="exact"/>
        <w:ind w:left="0" w:leftChars="0" w:firstLine="0" w:firstLineChars="0"/>
        <w:jc w:val="both"/>
        <w:rPr>
          <w:sz w:val="24"/>
        </w:rPr>
      </w:pPr>
      <w:r>
        <w:rPr>
          <w:sz w:val="24"/>
        </w:rPr>
        <w:t>守法诚信</w:t>
      </w:r>
    </w:p>
    <w:p w14:paraId="7A1BCC34">
      <w:pPr>
        <w:pStyle w:val="3"/>
        <w:spacing w:before="160"/>
        <w:ind w:left="0" w:leftChars="0" w:firstLine="480" w:firstLineChars="200"/>
      </w:pPr>
      <w:r>
        <w:t>监理人及其工作人员不得从</w:t>
      </w:r>
      <w:r>
        <w:rPr>
          <w:rFonts w:hint="eastAsia"/>
          <w:lang w:val="en-US" w:eastAsia="zh-CN"/>
        </w:rPr>
        <w:t>事</w:t>
      </w:r>
      <w:r>
        <w:t>与实施工程有关的第三方处获得任何经济利益。</w:t>
      </w:r>
    </w:p>
    <w:p w14:paraId="0E9E118D">
      <w:pPr>
        <w:pStyle w:val="43"/>
        <w:numPr>
          <w:ilvl w:val="1"/>
          <w:numId w:val="9"/>
        </w:numPr>
        <w:tabs>
          <w:tab w:val="left" w:pos="0"/>
        </w:tabs>
        <w:spacing w:before="158"/>
        <w:ind w:left="0" w:leftChars="0" w:firstLine="0" w:firstLineChars="0"/>
        <w:rPr>
          <w:sz w:val="24"/>
        </w:rPr>
      </w:pPr>
      <w:r>
        <w:rPr>
          <w:sz w:val="24"/>
        </w:rPr>
        <w:t>保密</w:t>
      </w:r>
    </w:p>
    <w:p w14:paraId="6F64A74D">
      <w:pPr>
        <w:pStyle w:val="3"/>
        <w:spacing w:before="161" w:line="362" w:lineRule="auto"/>
        <w:ind w:left="0" w:leftChars="0" w:right="233" w:firstLine="480" w:firstLineChars="200"/>
      </w:pPr>
      <w:r>
        <w:t>双方不得泄露对方申明的保密资料，亦不得泄露与实施工程有关的第三方所提供的保密资料，保密事项在专用条款中约定。</w:t>
      </w:r>
    </w:p>
    <w:p w14:paraId="31D17C41">
      <w:pPr>
        <w:pStyle w:val="43"/>
        <w:numPr>
          <w:ilvl w:val="1"/>
          <w:numId w:val="9"/>
        </w:numPr>
        <w:tabs>
          <w:tab w:val="left" w:pos="0"/>
        </w:tabs>
        <w:spacing w:before="5"/>
        <w:ind w:left="0" w:leftChars="0" w:firstLine="0" w:firstLineChars="0"/>
        <w:rPr>
          <w:sz w:val="24"/>
        </w:rPr>
      </w:pPr>
      <w:r>
        <w:rPr>
          <w:sz w:val="24"/>
        </w:rPr>
        <w:t>通知</w:t>
      </w:r>
    </w:p>
    <w:p w14:paraId="794567EB">
      <w:pPr>
        <w:pStyle w:val="3"/>
        <w:spacing w:before="158"/>
        <w:ind w:left="0" w:leftChars="0" w:firstLine="480" w:firstLineChars="200"/>
      </w:pPr>
      <w:r>
        <w:t>本合同涉及的通知均应当采用书面形式，并在送达对方时生效，收件人应书面签收。</w:t>
      </w:r>
    </w:p>
    <w:p w14:paraId="0CDF7E87">
      <w:pPr>
        <w:pStyle w:val="43"/>
        <w:numPr>
          <w:ilvl w:val="1"/>
          <w:numId w:val="9"/>
        </w:numPr>
        <w:tabs>
          <w:tab w:val="left" w:pos="0"/>
        </w:tabs>
        <w:spacing w:before="160"/>
        <w:ind w:left="0" w:leftChars="0" w:firstLine="0" w:firstLineChars="0"/>
        <w:rPr>
          <w:sz w:val="24"/>
        </w:rPr>
      </w:pPr>
      <w:r>
        <w:rPr>
          <w:sz w:val="24"/>
        </w:rPr>
        <w:t>著作权</w:t>
      </w:r>
    </w:p>
    <w:p w14:paraId="5BFE0220">
      <w:pPr>
        <w:pStyle w:val="3"/>
        <w:spacing w:before="158"/>
        <w:ind w:left="0" w:firstLine="480" w:firstLineChars="200"/>
      </w:pPr>
      <w:r>
        <w:t>监理人对其编制的文件拥有著作权。</w:t>
      </w:r>
    </w:p>
    <w:p w14:paraId="3488235A">
      <w:pPr>
        <w:pStyle w:val="3"/>
        <w:spacing w:before="161" w:line="362" w:lineRule="auto"/>
        <w:ind w:right="70" w:firstLine="480" w:firstLineChars="200"/>
      </w:pPr>
      <w:r>
        <w:t>监理人可单独或与他人联合出版有关监理与相关服务的资料。除专用条款另有约定外， 如果监理人在本合同履行期间及本合同终止后两年内出版涉及本合同工程的有关监理与相</w:t>
      </w:r>
    </w:p>
    <w:p w14:paraId="4C2E3ED4">
      <w:pPr>
        <w:pStyle w:val="3"/>
        <w:spacing w:before="54"/>
      </w:pPr>
      <w:r>
        <w:t>关服务的资料，应当征得委托人的同意。</w:t>
      </w:r>
    </w:p>
    <w:p w14:paraId="2967AE30">
      <w:pPr>
        <w:sectPr>
          <w:pgSz w:w="11910" w:h="16840"/>
          <w:pgMar w:top="1134" w:right="1037" w:bottom="1037" w:left="1134" w:header="0" w:footer="917" w:gutter="0"/>
          <w:pgNumType w:fmt="decimal"/>
          <w:cols w:space="720" w:num="1"/>
        </w:sectPr>
      </w:pPr>
    </w:p>
    <w:p w14:paraId="6DD7E73A">
      <w:pPr>
        <w:pStyle w:val="3"/>
        <w:spacing w:before="7"/>
        <w:ind w:left="0"/>
        <w:rPr>
          <w:sz w:val="9"/>
        </w:rPr>
      </w:pPr>
    </w:p>
    <w:p w14:paraId="2494CCEE">
      <w:pPr>
        <w:tabs>
          <w:tab w:val="left" w:pos="2207"/>
        </w:tabs>
        <w:spacing w:before="37"/>
        <w:ind w:right="15"/>
        <w:jc w:val="center"/>
        <w:rPr>
          <w:b/>
          <w:sz w:val="44"/>
        </w:rPr>
      </w:pPr>
      <w:bookmarkStart w:id="135" w:name="_TOC_250001"/>
      <w:bookmarkEnd w:id="135"/>
      <w:r>
        <w:rPr>
          <w:b/>
          <w:sz w:val="44"/>
        </w:rPr>
        <w:t>第三部分</w:t>
      </w:r>
      <w:r>
        <w:rPr>
          <w:b/>
          <w:sz w:val="44"/>
        </w:rPr>
        <w:tab/>
      </w:r>
      <w:r>
        <w:rPr>
          <w:b/>
          <w:sz w:val="44"/>
        </w:rPr>
        <w:t>专用条款</w:t>
      </w:r>
    </w:p>
    <w:p w14:paraId="42D6B95B">
      <w:pPr>
        <w:pStyle w:val="3"/>
        <w:spacing w:before="6"/>
        <w:ind w:left="0"/>
        <w:rPr>
          <w:b/>
          <w:sz w:val="39"/>
        </w:rPr>
      </w:pPr>
    </w:p>
    <w:p w14:paraId="39DB1675">
      <w:pPr>
        <w:pStyle w:val="3"/>
        <w:spacing w:line="364" w:lineRule="auto"/>
        <w:ind w:right="230" w:firstLine="360"/>
        <w:jc w:val="both"/>
      </w:pPr>
      <w:r>
        <w:t>（本部分条款的编号与通用条款的编号相对应，是根据本合同工程的实际情况对通用条款中相对应条款进行的修改、补充或否定，其适用顺序优先于通用条款。本部分条款未阐明的内容，则按本合同其他部分的有关约定执行）</w:t>
      </w:r>
    </w:p>
    <w:p w14:paraId="7AAAF636">
      <w:pPr>
        <w:pStyle w:val="13"/>
        <w:numPr>
          <w:ilvl w:val="0"/>
          <w:numId w:val="16"/>
        </w:numPr>
        <w:tabs>
          <w:tab w:val="left" w:pos="1209"/>
        </w:tabs>
        <w:spacing w:line="357" w:lineRule="exact"/>
        <w:ind w:hanging="425"/>
      </w:pPr>
      <w:r>
        <w:rPr>
          <w:rFonts w:hint="eastAsia" w:ascii="宋体" w:hAnsi="宋体" w:eastAsia="宋体" w:cs="宋体"/>
          <w:sz w:val="24"/>
          <w:szCs w:val="24"/>
        </w:rPr>
        <w:t>定义与解释</w:t>
      </w:r>
    </w:p>
    <w:p w14:paraId="1647DF46">
      <w:pPr>
        <w:pStyle w:val="14"/>
        <w:numPr>
          <w:ilvl w:val="1"/>
          <w:numId w:val="16"/>
        </w:numPr>
        <w:tabs>
          <w:tab w:val="left" w:pos="1131"/>
        </w:tabs>
        <w:spacing w:before="188"/>
        <w:ind w:hanging="426"/>
      </w:pPr>
      <w:r>
        <w:t>定义</w:t>
      </w:r>
    </w:p>
    <w:p w14:paraId="4CC80C4F">
      <w:pPr>
        <w:pStyle w:val="3"/>
        <w:spacing w:before="6"/>
        <w:ind w:left="0"/>
        <w:rPr>
          <w:b/>
          <w:sz w:val="18"/>
        </w:rPr>
      </w:pPr>
    </w:p>
    <w:p w14:paraId="78F135AB">
      <w:pPr>
        <w:pStyle w:val="3"/>
        <w:spacing w:line="364" w:lineRule="auto"/>
        <w:ind w:right="233" w:firstLine="480"/>
        <w:jc w:val="both"/>
      </w:pPr>
      <w:r>
        <w:rPr>
          <w:rFonts w:hint="eastAsia" w:ascii="宋体" w:hAnsi="宋体" w:cs="宋体"/>
        </w:rPr>
        <w:t>1.1.11 总</w:t>
      </w:r>
      <w:r>
        <w:t>监理工程师代表：指由总监理工程师授权，代表总监理工程师行使其部分职责和权力，具有工程类注册执业资格或具有中级及以上专业技术职称、3 年及以上工程监理实践经验的监理人员。</w:t>
      </w:r>
    </w:p>
    <w:p w14:paraId="5A0667E4">
      <w:pPr>
        <w:pStyle w:val="43"/>
        <w:numPr>
          <w:ilvl w:val="2"/>
          <w:numId w:val="17"/>
        </w:numPr>
        <w:spacing w:before="2" w:line="364" w:lineRule="auto"/>
        <w:ind w:left="0" w:leftChars="0" w:right="230" w:firstLine="0" w:firstLineChars="0"/>
        <w:jc w:val="both"/>
        <w:rPr>
          <w:sz w:val="24"/>
        </w:rPr>
      </w:pPr>
      <w:r>
        <w:rPr>
          <w:sz w:val="24"/>
        </w:rPr>
        <w:t>专业监理工程师：指由总监理工程师授权，负责实施某一专业或某一岗位的监理工作，有相应监理文件签发权，具有工程类注册执业资格或具有中级及以上专业技术职称、2 年及以上工程实践经验的监理人员。</w:t>
      </w:r>
    </w:p>
    <w:p w14:paraId="4966C72C">
      <w:pPr>
        <w:pStyle w:val="43"/>
        <w:numPr>
          <w:ilvl w:val="2"/>
          <w:numId w:val="17"/>
        </w:numPr>
        <w:spacing w:line="230" w:lineRule="exact"/>
        <w:ind w:left="-2" w:leftChars="-10" w:hanging="19" w:hangingChars="8"/>
        <w:rPr>
          <w:sz w:val="24"/>
        </w:rPr>
      </w:pPr>
      <w:r>
        <w:rPr>
          <w:sz w:val="24"/>
        </w:rPr>
        <w:t>监理员：指从事具体监理工作，具有中专及以上学历并经过监理业务培训的</w:t>
      </w:r>
    </w:p>
    <w:p w14:paraId="7B9E6943">
      <w:pPr>
        <w:pStyle w:val="3"/>
        <w:spacing w:before="161"/>
      </w:pPr>
      <w:r>
        <w:t>监理人员。</w:t>
      </w:r>
    </w:p>
    <w:p w14:paraId="18E806B9">
      <w:pPr>
        <w:pStyle w:val="3"/>
        <w:spacing w:before="7"/>
        <w:ind w:left="0"/>
        <w:rPr>
          <w:sz w:val="23"/>
        </w:rPr>
      </w:pPr>
    </w:p>
    <w:p w14:paraId="613A0A60">
      <w:pPr>
        <w:pStyle w:val="43"/>
        <w:numPr>
          <w:ilvl w:val="2"/>
          <w:numId w:val="18"/>
        </w:numPr>
        <w:spacing w:line="374" w:lineRule="auto"/>
        <w:ind w:left="23" w:right="228" w:hanging="23" w:hangingChars="10"/>
        <w:rPr>
          <w:sz w:val="24"/>
        </w:rPr>
      </w:pPr>
      <w:r>
        <w:rPr>
          <w:sz w:val="23"/>
        </w:rPr>
        <w:t>生产安全事故：</w:t>
      </w:r>
      <w:r>
        <w:rPr>
          <w:sz w:val="24"/>
        </w:rPr>
        <w:t>指在工程建设过程中由于责任过失造成工程倒塌或报废、机械设备毁坏和安全设施失当等原因造成人身伤亡或者重大经济损失的事故。分为：</w:t>
      </w:r>
    </w:p>
    <w:p w14:paraId="5BC3701D">
      <w:pPr>
        <w:pStyle w:val="43"/>
        <w:numPr>
          <w:ilvl w:val="3"/>
          <w:numId w:val="18"/>
        </w:numPr>
        <w:spacing w:before="1" w:line="374" w:lineRule="auto"/>
        <w:ind w:left="-3" w:leftChars="0" w:right="240" w:hanging="3" w:firstLineChars="0"/>
        <w:rPr>
          <w:sz w:val="24"/>
        </w:rPr>
      </w:pPr>
      <w:r>
        <w:rPr>
          <w:sz w:val="24"/>
        </w:rPr>
        <w:t>特别重大事故，是指造成 30 人以上死亡，或者 100 人以上重伤（包括急性工业中毒，下同），或者 1 亿元以上直接经济损失的事故；</w:t>
      </w:r>
    </w:p>
    <w:p w14:paraId="6066FBFB">
      <w:pPr>
        <w:pStyle w:val="43"/>
        <w:numPr>
          <w:ilvl w:val="3"/>
          <w:numId w:val="18"/>
        </w:numPr>
        <w:spacing w:line="374" w:lineRule="auto"/>
        <w:ind w:left="-3" w:leftChars="0" w:right="233" w:hanging="3" w:firstLineChars="0"/>
        <w:rPr>
          <w:sz w:val="24"/>
        </w:rPr>
      </w:pPr>
      <w:r>
        <w:rPr>
          <w:sz w:val="24"/>
        </w:rPr>
        <w:t>重大事故，是指造成 10 人以上 30 人以下死亡，或者 50 人以上 100 人以下重伤，或者 5000 万元以上 1 亿元以下直接经济损失的事故；</w:t>
      </w:r>
    </w:p>
    <w:p w14:paraId="72C7CFD0">
      <w:pPr>
        <w:pStyle w:val="43"/>
        <w:numPr>
          <w:ilvl w:val="3"/>
          <w:numId w:val="18"/>
        </w:numPr>
        <w:spacing w:before="1" w:line="374" w:lineRule="auto"/>
        <w:ind w:left="-3" w:leftChars="0" w:right="233" w:hanging="3" w:firstLineChars="0"/>
        <w:rPr>
          <w:sz w:val="24"/>
        </w:rPr>
      </w:pPr>
      <w:r>
        <w:rPr>
          <w:sz w:val="24"/>
        </w:rPr>
        <w:t>较大事故，是指造成 3 人以上 10 人以下死亡，或者 10 人以上 50 人以下重伤，或者 1000 万元以上 5000 万元以下直接经济损失的事故；</w:t>
      </w:r>
    </w:p>
    <w:p w14:paraId="3F1A9DBA">
      <w:pPr>
        <w:pStyle w:val="43"/>
        <w:numPr>
          <w:ilvl w:val="3"/>
          <w:numId w:val="18"/>
        </w:numPr>
        <w:ind w:left="-3" w:leftChars="0" w:hanging="3" w:firstLineChars="0"/>
        <w:rPr>
          <w:sz w:val="24"/>
        </w:rPr>
      </w:pPr>
      <w:r>
        <w:rPr>
          <w:sz w:val="24"/>
        </w:rPr>
        <w:t>一般事故，是指造成 3 人以下死亡，或者 10 人以下重伤，或者 1000 万元</w:t>
      </w:r>
    </w:p>
    <w:p w14:paraId="5A64F189">
      <w:pPr>
        <w:pStyle w:val="3"/>
        <w:spacing w:before="173"/>
        <w:ind w:left="-3" w:leftChars="0" w:hanging="3" w:firstLineChars="0"/>
      </w:pPr>
      <w:r>
        <w:t>以下直接经济损失的事故。</w:t>
      </w:r>
    </w:p>
    <w:p w14:paraId="4D54E5A4">
      <w:pPr>
        <w:pStyle w:val="3"/>
        <w:spacing w:before="28"/>
        <w:ind w:left="0" w:firstLine="480" w:firstLineChars="200"/>
      </w:pPr>
      <w:r>
        <w:t>本项所称的</w:t>
      </w:r>
      <w:r>
        <w:rPr>
          <w:rFonts w:hint="eastAsia"/>
          <w:lang w:eastAsia="zh-CN"/>
        </w:rPr>
        <w:t>“</w:t>
      </w:r>
      <w:r>
        <w:t>以上</w:t>
      </w:r>
      <w:r>
        <w:rPr>
          <w:rFonts w:hint="eastAsia"/>
          <w:lang w:eastAsia="zh-CN"/>
        </w:rPr>
        <w:t>”</w:t>
      </w:r>
      <w:r>
        <w:t>包括本数，所称的</w:t>
      </w:r>
      <w:r>
        <w:rPr>
          <w:rFonts w:hint="eastAsia"/>
          <w:lang w:eastAsia="zh-CN"/>
        </w:rPr>
        <w:t>“</w:t>
      </w:r>
      <w:r>
        <w:t>以下</w:t>
      </w:r>
      <w:r>
        <w:rPr>
          <w:rFonts w:hint="eastAsia"/>
          <w:lang w:eastAsia="zh-CN"/>
        </w:rPr>
        <w:t>”</w:t>
      </w:r>
      <w:r>
        <w:t>不包括本数。</w:t>
      </w:r>
    </w:p>
    <w:p w14:paraId="67A0D179">
      <w:pPr>
        <w:pStyle w:val="14"/>
        <w:numPr>
          <w:ilvl w:val="1"/>
          <w:numId w:val="16"/>
        </w:numPr>
        <w:tabs>
          <w:tab w:val="left" w:pos="1131"/>
        </w:tabs>
        <w:spacing w:before="158"/>
        <w:ind w:hanging="426"/>
      </w:pPr>
      <w:r>
        <w:t>解释</w:t>
      </w:r>
    </w:p>
    <w:p w14:paraId="542266FE">
      <w:pPr>
        <w:pStyle w:val="3"/>
        <w:spacing w:before="54" w:line="364" w:lineRule="auto"/>
        <w:ind w:right="233" w:firstLine="463"/>
      </w:pPr>
      <w:r>
        <w:t>1.2.2 下列文件应被认为是组成本合同的一部分，并互为补充和解释，如各文件存在冲突之处，以如下排列次序在前者优先适用：</w:t>
      </w:r>
    </w:p>
    <w:p w14:paraId="4A4186DF">
      <w:pPr>
        <w:pStyle w:val="43"/>
        <w:numPr>
          <w:ilvl w:val="0"/>
          <w:numId w:val="19"/>
        </w:numPr>
        <w:tabs>
          <w:tab w:val="left" w:pos="0"/>
        </w:tabs>
        <w:spacing w:before="1"/>
        <w:ind w:left="0" w:leftChars="0" w:firstLine="0" w:firstLineChars="0"/>
        <w:rPr>
          <w:sz w:val="24"/>
        </w:rPr>
      </w:pPr>
      <w:r>
        <w:rPr>
          <w:sz w:val="24"/>
        </w:rPr>
        <w:t>相关政府主管部门关于</w:t>
      </w:r>
      <w:r>
        <w:rPr>
          <w:rFonts w:hint="eastAsia"/>
          <w:sz w:val="24"/>
        </w:rPr>
        <w:t>工程建设监理</w:t>
      </w:r>
      <w:r>
        <w:rPr>
          <w:sz w:val="24"/>
        </w:rPr>
        <w:t>的有关文件；</w:t>
      </w:r>
    </w:p>
    <w:p w14:paraId="15D4B5DF">
      <w:pPr>
        <w:pStyle w:val="43"/>
        <w:numPr>
          <w:ilvl w:val="0"/>
          <w:numId w:val="19"/>
        </w:numPr>
        <w:tabs>
          <w:tab w:val="left" w:pos="0"/>
        </w:tabs>
        <w:spacing w:before="158"/>
        <w:ind w:left="0" w:leftChars="0" w:firstLine="0" w:firstLineChars="0"/>
        <w:rPr>
          <w:sz w:val="24"/>
        </w:rPr>
      </w:pPr>
      <w:r>
        <w:rPr>
          <w:sz w:val="24"/>
        </w:rPr>
        <w:t>本合同履行期间委托人与监理人双方签订的补充合同（协议）或修正文件；</w:t>
      </w:r>
    </w:p>
    <w:p w14:paraId="5DE75A62">
      <w:pPr>
        <w:pStyle w:val="43"/>
        <w:numPr>
          <w:ilvl w:val="0"/>
          <w:numId w:val="19"/>
        </w:numPr>
        <w:tabs>
          <w:tab w:val="left" w:pos="0"/>
        </w:tabs>
        <w:spacing w:before="161"/>
        <w:ind w:left="0" w:leftChars="0" w:firstLine="0" w:firstLineChars="0"/>
        <w:rPr>
          <w:sz w:val="24"/>
        </w:rPr>
      </w:pPr>
      <w:r>
        <w:rPr>
          <w:sz w:val="24"/>
        </w:rPr>
        <w:t>委托监理协议书；</w:t>
      </w:r>
    </w:p>
    <w:p w14:paraId="54E4639B">
      <w:pPr>
        <w:pStyle w:val="43"/>
        <w:numPr>
          <w:ilvl w:val="0"/>
          <w:numId w:val="19"/>
        </w:numPr>
        <w:tabs>
          <w:tab w:val="left" w:pos="0"/>
        </w:tabs>
        <w:spacing w:before="158"/>
        <w:ind w:left="0" w:leftChars="0" w:firstLine="0" w:firstLineChars="0"/>
        <w:rPr>
          <w:sz w:val="24"/>
        </w:rPr>
      </w:pPr>
      <w:r>
        <w:rPr>
          <w:sz w:val="24"/>
        </w:rPr>
        <w:t>中标通知书；</w:t>
      </w:r>
    </w:p>
    <w:p w14:paraId="1679F4EC">
      <w:pPr>
        <w:pStyle w:val="43"/>
        <w:numPr>
          <w:ilvl w:val="0"/>
          <w:numId w:val="19"/>
        </w:numPr>
        <w:tabs>
          <w:tab w:val="left" w:pos="0"/>
        </w:tabs>
        <w:spacing w:before="161"/>
        <w:ind w:left="0" w:leftChars="0" w:firstLine="0" w:firstLineChars="0"/>
        <w:rPr>
          <w:sz w:val="24"/>
        </w:rPr>
      </w:pPr>
      <w:r>
        <w:rPr>
          <w:sz w:val="24"/>
        </w:rPr>
        <w:t>专用条款；</w:t>
      </w:r>
    </w:p>
    <w:p w14:paraId="4FD51CB8">
      <w:pPr>
        <w:pStyle w:val="43"/>
        <w:numPr>
          <w:ilvl w:val="0"/>
          <w:numId w:val="19"/>
        </w:numPr>
        <w:tabs>
          <w:tab w:val="left" w:pos="0"/>
        </w:tabs>
        <w:spacing w:before="158"/>
        <w:ind w:left="0" w:leftChars="0" w:firstLine="0" w:firstLineChars="0"/>
        <w:rPr>
          <w:sz w:val="24"/>
        </w:rPr>
      </w:pPr>
      <w:r>
        <w:rPr>
          <w:sz w:val="24"/>
        </w:rPr>
        <w:t>委托人制定的本合同工程管理的各项制度、规定；</w:t>
      </w:r>
    </w:p>
    <w:p w14:paraId="18B785DB">
      <w:pPr>
        <w:pStyle w:val="43"/>
        <w:numPr>
          <w:ilvl w:val="0"/>
          <w:numId w:val="19"/>
        </w:numPr>
        <w:tabs>
          <w:tab w:val="left" w:pos="0"/>
        </w:tabs>
        <w:spacing w:before="160"/>
        <w:ind w:left="0" w:leftChars="0" w:firstLine="0" w:firstLineChars="0"/>
        <w:rPr>
          <w:sz w:val="24"/>
        </w:rPr>
      </w:pPr>
      <w:r>
        <w:rPr>
          <w:sz w:val="24"/>
        </w:rPr>
        <w:t>本合同附件[属本条第（1）、（6）项内容的除外]；</w:t>
      </w:r>
    </w:p>
    <w:p w14:paraId="329AF948">
      <w:pPr>
        <w:pStyle w:val="43"/>
        <w:numPr>
          <w:ilvl w:val="0"/>
          <w:numId w:val="19"/>
        </w:numPr>
        <w:tabs>
          <w:tab w:val="left" w:pos="0"/>
        </w:tabs>
        <w:spacing w:before="158"/>
        <w:ind w:left="0" w:leftChars="0" w:firstLine="0" w:firstLineChars="0"/>
        <w:rPr>
          <w:sz w:val="24"/>
        </w:rPr>
      </w:pPr>
      <w:r>
        <w:rPr>
          <w:sz w:val="24"/>
        </w:rPr>
        <w:t>通用条款；</w:t>
      </w:r>
    </w:p>
    <w:p w14:paraId="4FE04B10">
      <w:pPr>
        <w:pStyle w:val="43"/>
        <w:numPr>
          <w:ilvl w:val="0"/>
          <w:numId w:val="19"/>
        </w:numPr>
        <w:tabs>
          <w:tab w:val="left" w:pos="0"/>
        </w:tabs>
        <w:spacing w:before="161" w:line="362" w:lineRule="auto"/>
        <w:ind w:left="0" w:leftChars="0" w:right="230" w:firstLine="0" w:firstLineChars="0"/>
        <w:rPr>
          <w:sz w:val="24"/>
        </w:rPr>
      </w:pPr>
      <w:r>
        <w:rPr>
          <w:sz w:val="24"/>
        </w:rPr>
        <w:t>本合同工程监理招标文件[含招标文件补充文件、澄清文件、答疑文件等，属本条第（7）项内容的除外]；</w:t>
      </w:r>
    </w:p>
    <w:p w14:paraId="406C867E">
      <w:pPr>
        <w:pStyle w:val="43"/>
        <w:numPr>
          <w:ilvl w:val="0"/>
          <w:numId w:val="19"/>
        </w:numPr>
        <w:spacing w:before="5" w:line="362" w:lineRule="auto"/>
        <w:ind w:left="0" w:leftChars="0" w:right="221" w:firstLine="0" w:firstLineChars="0"/>
        <w:rPr>
          <w:sz w:val="24"/>
        </w:rPr>
      </w:pPr>
      <w:r>
        <w:rPr>
          <w:sz w:val="24"/>
        </w:rPr>
        <w:t>监理人据以中标的本合同工程监理投标文件[含投标文件澄清等，属本条第（7） 项内容的除外]；</w:t>
      </w:r>
    </w:p>
    <w:p w14:paraId="6FE4EBA9">
      <w:pPr>
        <w:pStyle w:val="43"/>
        <w:numPr>
          <w:ilvl w:val="0"/>
          <w:numId w:val="19"/>
        </w:numPr>
        <w:spacing w:before="5"/>
        <w:ind w:left="0" w:leftChars="0" w:firstLine="0" w:firstLineChars="0"/>
        <w:rPr>
          <w:sz w:val="24"/>
        </w:rPr>
      </w:pPr>
      <w:r>
        <w:rPr>
          <w:sz w:val="24"/>
        </w:rPr>
        <w:t>组成本合同的其他文件。</w:t>
      </w:r>
    </w:p>
    <w:p w14:paraId="32AD50C1">
      <w:pPr>
        <w:pStyle w:val="3"/>
        <w:spacing w:before="158" w:line="364" w:lineRule="auto"/>
        <w:ind w:right="110" w:firstLine="480"/>
      </w:pPr>
      <w:r>
        <w:t>通过上述顺序解释仍无法明确的事项，由委托人与监理人协商解决；如协商不成，由委托人按照公平合理和有利于本合同工程建设的原则作出决定，如监理人对此决定不服的， 应在接到委托人决定之日起三日内提出书面异议。如期满不提出书面异议的，视为同意委托人的决定。委托人收到监理人的书面异议后应作出进一步的决定。如监理人仍有异议的， 可按专用条款第 7 条的约定处理，但在有关部门没有作出正式裁决之前，监理人必须无条件先行执行委托人的决定。</w:t>
      </w:r>
    </w:p>
    <w:p w14:paraId="177BD2A4">
      <w:pPr>
        <w:pStyle w:val="3"/>
        <w:ind w:left="0"/>
      </w:pPr>
    </w:p>
    <w:p w14:paraId="568BF396">
      <w:pPr>
        <w:pStyle w:val="13"/>
        <w:numPr>
          <w:ilvl w:val="0"/>
          <w:numId w:val="16"/>
        </w:numPr>
        <w:tabs>
          <w:tab w:val="left" w:pos="507"/>
        </w:tabs>
        <w:spacing w:before="157"/>
        <w:ind w:left="506" w:hanging="284"/>
      </w:pPr>
      <w:r>
        <w:rPr>
          <w:rFonts w:hint="eastAsia" w:ascii="宋体" w:hAnsi="宋体" w:eastAsia="宋体" w:cs="宋体"/>
          <w:sz w:val="28"/>
          <w:szCs w:val="28"/>
        </w:rPr>
        <w:t>监理人的义务</w:t>
      </w:r>
    </w:p>
    <w:p w14:paraId="59FB78D4">
      <w:pPr>
        <w:pStyle w:val="14"/>
        <w:numPr>
          <w:ilvl w:val="1"/>
          <w:numId w:val="16"/>
        </w:numPr>
        <w:spacing w:before="188"/>
        <w:ind w:left="0" w:leftChars="0" w:firstLine="0" w:firstLineChars="0"/>
      </w:pPr>
      <w:r>
        <w:t>监理的范围和工作内容</w:t>
      </w:r>
    </w:p>
    <w:p w14:paraId="51FE3EE2">
      <w:pPr>
        <w:pStyle w:val="3"/>
        <w:spacing w:before="7"/>
        <w:ind w:left="0"/>
        <w:rPr>
          <w:b/>
          <w:sz w:val="23"/>
        </w:rPr>
      </w:pPr>
    </w:p>
    <w:p w14:paraId="4AEDB8CE">
      <w:pPr>
        <w:pStyle w:val="14"/>
        <w:numPr>
          <w:ilvl w:val="2"/>
          <w:numId w:val="20"/>
        </w:numPr>
        <w:ind w:left="0" w:leftChars="0" w:firstLine="24" w:firstLineChars="0"/>
        <w:rPr>
          <w:rFonts w:ascii="Times New Roman" w:eastAsia="Times New Roman"/>
        </w:rPr>
      </w:pPr>
      <w:r>
        <w:t>施工准备阶段的监理工作</w:t>
      </w:r>
    </w:p>
    <w:p w14:paraId="2901FEBB">
      <w:pPr>
        <w:pStyle w:val="3"/>
        <w:spacing w:before="173"/>
        <w:ind w:left="720"/>
      </w:pPr>
      <w:r>
        <w:t>施工准备阶段的监理工作包括但不限于以下内容：</w:t>
      </w:r>
    </w:p>
    <w:p w14:paraId="51D6F38C">
      <w:pPr>
        <w:pStyle w:val="43"/>
        <w:numPr>
          <w:ilvl w:val="0"/>
          <w:numId w:val="21"/>
        </w:numPr>
        <w:spacing w:before="172" w:line="374" w:lineRule="auto"/>
        <w:ind w:left="0" w:leftChars="0" w:right="227" w:firstLine="0" w:firstLineChars="0"/>
        <w:rPr>
          <w:sz w:val="24"/>
        </w:rPr>
      </w:pPr>
      <w:r>
        <w:rPr>
          <w:sz w:val="24"/>
        </w:rPr>
        <w:t>在设计交底前，总监理工程师应组织监理人员熟悉设计文件，并对图纸中存在的问题通过委托人向设计单位提出书面意见和建议。</w:t>
      </w:r>
    </w:p>
    <w:p w14:paraId="2864C1F7">
      <w:pPr>
        <w:pStyle w:val="43"/>
        <w:numPr>
          <w:ilvl w:val="0"/>
          <w:numId w:val="21"/>
        </w:numPr>
        <w:spacing w:before="172" w:line="374" w:lineRule="auto"/>
        <w:ind w:left="0" w:leftChars="0" w:right="227" w:firstLine="0" w:firstLineChars="0"/>
        <w:rPr>
          <w:sz w:val="24"/>
        </w:rPr>
      </w:pPr>
      <w:r>
        <w:rPr>
          <w:sz w:val="24"/>
        </w:rPr>
        <w:t>项目监理人员应参加由委托人组织的设计技术交底会，总监理工程师应组织人员编写设计技术交底会议纪要并提交给委托人。</w:t>
      </w:r>
    </w:p>
    <w:p w14:paraId="46207A9F">
      <w:pPr>
        <w:pStyle w:val="43"/>
        <w:numPr>
          <w:ilvl w:val="0"/>
          <w:numId w:val="21"/>
        </w:numPr>
        <w:spacing w:before="172" w:line="374" w:lineRule="auto"/>
        <w:ind w:left="0" w:leftChars="0" w:right="227" w:firstLine="0" w:firstLineChars="0"/>
        <w:rPr>
          <w:sz w:val="24"/>
        </w:rPr>
      </w:pPr>
      <w:r>
        <w:rPr>
          <w:sz w:val="24"/>
        </w:rPr>
        <w:t>图纸会审由委托人组织，总监理工程师应组织人员做好图纸会审记录并提交给委托人。</w:t>
      </w:r>
    </w:p>
    <w:p w14:paraId="145EF5D6">
      <w:pPr>
        <w:pStyle w:val="43"/>
        <w:numPr>
          <w:ilvl w:val="0"/>
          <w:numId w:val="21"/>
        </w:numPr>
        <w:spacing w:before="172" w:line="374" w:lineRule="auto"/>
        <w:ind w:left="0" w:leftChars="0" w:right="227" w:firstLine="0" w:firstLineChars="0"/>
        <w:rPr>
          <w:sz w:val="24"/>
        </w:rPr>
      </w:pPr>
      <w:r>
        <w:rPr>
          <w:sz w:val="24"/>
        </w:rPr>
        <w:t>工程项目开工前，总监理工程师应组织专业监理工程师审查承包人报送的施工组织设计（方案）报审表，提出审查意见，并经总监理工程师审核、签认后报委托人。</w:t>
      </w:r>
    </w:p>
    <w:p w14:paraId="4A416AA1">
      <w:pPr>
        <w:pStyle w:val="43"/>
        <w:numPr>
          <w:ilvl w:val="0"/>
          <w:numId w:val="21"/>
        </w:numPr>
        <w:spacing w:before="172" w:line="374" w:lineRule="auto"/>
        <w:ind w:left="0" w:leftChars="0" w:right="227" w:firstLine="0" w:firstLineChars="0"/>
        <w:rPr>
          <w:sz w:val="24"/>
        </w:rPr>
      </w:pPr>
      <w:r>
        <w:rPr>
          <w:sz w:val="24"/>
        </w:rPr>
        <w:t>工程项目开工前，总监理工程师应审查承包人现场项目管理机构的质量管理体系、环境管理体系和安全管理体系，在确能保证工程项目施工质量时予以确认。对质量管理体系、环境管理体系和安全管理体系应审核以下内容：</w:t>
      </w:r>
    </w:p>
    <w:p w14:paraId="64BAD14F">
      <w:pPr>
        <w:pStyle w:val="43"/>
        <w:numPr>
          <w:ilvl w:val="1"/>
          <w:numId w:val="21"/>
        </w:numPr>
        <w:tabs>
          <w:tab w:val="left" w:pos="0"/>
        </w:tabs>
        <w:spacing w:before="1"/>
        <w:ind w:left="12" w:leftChars="0" w:hanging="12" w:hangingChars="5"/>
        <w:rPr>
          <w:sz w:val="24"/>
        </w:rPr>
      </w:pPr>
      <w:r>
        <w:rPr>
          <w:sz w:val="24"/>
        </w:rPr>
        <w:t>质量管理体系、环境管理体系和安全管理体系的组织及职责；</w:t>
      </w:r>
    </w:p>
    <w:p w14:paraId="27ECA8DB">
      <w:pPr>
        <w:pStyle w:val="43"/>
        <w:numPr>
          <w:ilvl w:val="1"/>
          <w:numId w:val="21"/>
        </w:numPr>
        <w:tabs>
          <w:tab w:val="left" w:pos="0"/>
        </w:tabs>
        <w:spacing w:before="173"/>
        <w:ind w:left="12" w:leftChars="0" w:hanging="12" w:hangingChars="5"/>
        <w:rPr>
          <w:sz w:val="24"/>
        </w:rPr>
      </w:pPr>
      <w:r>
        <w:rPr>
          <w:sz w:val="24"/>
        </w:rPr>
        <w:t>质量管理体系、环境管理体系和安全管理体系各过程的识别与管理；</w:t>
      </w:r>
    </w:p>
    <w:p w14:paraId="4BA2ECA7">
      <w:pPr>
        <w:pStyle w:val="43"/>
        <w:numPr>
          <w:ilvl w:val="1"/>
          <w:numId w:val="21"/>
        </w:numPr>
        <w:tabs>
          <w:tab w:val="left" w:pos="0"/>
        </w:tabs>
        <w:spacing w:before="172"/>
        <w:ind w:left="12" w:leftChars="0" w:hanging="12" w:hangingChars="5"/>
        <w:rPr>
          <w:sz w:val="24"/>
        </w:rPr>
      </w:pPr>
      <w:r>
        <w:rPr>
          <w:sz w:val="24"/>
        </w:rPr>
        <w:t>质量管理体系、环境管理体系和安全管理体系的持续改进措施。</w:t>
      </w:r>
    </w:p>
    <w:p w14:paraId="0A378F7C">
      <w:pPr>
        <w:pStyle w:val="43"/>
        <w:numPr>
          <w:ilvl w:val="0"/>
          <w:numId w:val="21"/>
        </w:numPr>
        <w:spacing w:before="172" w:line="374" w:lineRule="auto"/>
        <w:ind w:left="0" w:leftChars="0" w:right="227" w:firstLine="0" w:firstLineChars="0"/>
        <w:rPr>
          <w:sz w:val="24"/>
        </w:rPr>
      </w:pPr>
      <w:r>
        <w:rPr>
          <w:sz w:val="24"/>
        </w:rPr>
        <w:t>分包工程开工前，专业监理工程师应审查承包人报送的分包单位资格报审表和分包单位有关资质资料，符合有关规定后，由总监理工程师予以签认。对分包单位资格应审核以下内容：</w:t>
      </w:r>
    </w:p>
    <w:p w14:paraId="4084B73A">
      <w:pPr>
        <w:pStyle w:val="43"/>
        <w:numPr>
          <w:ilvl w:val="1"/>
          <w:numId w:val="21"/>
        </w:numPr>
        <w:tabs>
          <w:tab w:val="left" w:pos="0"/>
        </w:tabs>
        <w:spacing w:before="173"/>
        <w:ind w:left="12" w:leftChars="0" w:hanging="12" w:hangingChars="5"/>
        <w:rPr>
          <w:sz w:val="24"/>
        </w:rPr>
      </w:pPr>
      <w:r>
        <w:rPr>
          <w:sz w:val="24"/>
        </w:rPr>
        <w:t>分包单位的营业执照、企业资质等级证书、特殊行业施工许可证、国外（境外） 企业在国内承包工程许可证；</w:t>
      </w:r>
    </w:p>
    <w:p w14:paraId="78C6F53E">
      <w:pPr>
        <w:pStyle w:val="43"/>
        <w:numPr>
          <w:ilvl w:val="1"/>
          <w:numId w:val="21"/>
        </w:numPr>
        <w:tabs>
          <w:tab w:val="left" w:pos="0"/>
        </w:tabs>
        <w:spacing w:before="173"/>
        <w:ind w:left="12" w:leftChars="0" w:hanging="12" w:hangingChars="5"/>
        <w:rPr>
          <w:sz w:val="24"/>
        </w:rPr>
      </w:pPr>
      <w:r>
        <w:rPr>
          <w:sz w:val="24"/>
        </w:rPr>
        <w:t>分包单位的业绩，尤其是类似工程施工的经验；</w:t>
      </w:r>
    </w:p>
    <w:p w14:paraId="08C6A65A">
      <w:pPr>
        <w:pStyle w:val="43"/>
        <w:numPr>
          <w:ilvl w:val="1"/>
          <w:numId w:val="21"/>
        </w:numPr>
        <w:tabs>
          <w:tab w:val="left" w:pos="0"/>
        </w:tabs>
        <w:spacing w:before="173"/>
        <w:ind w:left="12" w:leftChars="0" w:hanging="12" w:hangingChars="5"/>
        <w:rPr>
          <w:sz w:val="24"/>
        </w:rPr>
      </w:pPr>
      <w:r>
        <w:rPr>
          <w:sz w:val="24"/>
        </w:rPr>
        <w:t>拟分包工程的内容和范围；</w:t>
      </w:r>
    </w:p>
    <w:p w14:paraId="0880FEE2">
      <w:pPr>
        <w:pStyle w:val="43"/>
        <w:numPr>
          <w:ilvl w:val="1"/>
          <w:numId w:val="21"/>
        </w:numPr>
        <w:tabs>
          <w:tab w:val="left" w:pos="0"/>
        </w:tabs>
        <w:spacing w:before="173"/>
        <w:ind w:left="12" w:leftChars="0" w:hanging="12" w:hangingChars="5"/>
        <w:rPr>
          <w:sz w:val="24"/>
        </w:rPr>
      </w:pPr>
      <w:r>
        <w:rPr>
          <w:sz w:val="24"/>
        </w:rPr>
        <w:t>专职管理人员和特种作业人员的资格证、上岗证。</w:t>
      </w:r>
    </w:p>
    <w:p w14:paraId="7211B849">
      <w:pPr>
        <w:pStyle w:val="43"/>
        <w:numPr>
          <w:ilvl w:val="0"/>
          <w:numId w:val="21"/>
        </w:numPr>
        <w:tabs>
          <w:tab w:val="left" w:pos="0"/>
        </w:tabs>
        <w:spacing w:before="173" w:line="374" w:lineRule="auto"/>
        <w:ind w:left="0" w:leftChars="0" w:right="227" w:firstLine="0" w:firstLineChars="0"/>
        <w:rPr>
          <w:sz w:val="24"/>
        </w:rPr>
      </w:pPr>
      <w:r>
        <w:rPr>
          <w:sz w:val="24"/>
        </w:rPr>
        <w:t>专业监理工程师应按以下要求对承包人报送的测量放线控制方案成果及保护措施进行检查，符合要求时，专业监理工程师对承包人报送的施工测量资料予以签认：</w:t>
      </w:r>
    </w:p>
    <w:p w14:paraId="4B186FA3">
      <w:pPr>
        <w:pStyle w:val="43"/>
        <w:numPr>
          <w:ilvl w:val="1"/>
          <w:numId w:val="21"/>
        </w:numPr>
        <w:tabs>
          <w:tab w:val="left" w:pos="0"/>
        </w:tabs>
        <w:spacing w:before="173"/>
        <w:ind w:left="12" w:leftChars="0" w:hanging="12" w:hangingChars="5"/>
        <w:rPr>
          <w:sz w:val="24"/>
        </w:rPr>
      </w:pPr>
      <w:r>
        <w:rPr>
          <w:sz w:val="24"/>
        </w:rPr>
        <w:t>检查承包人专职测量人员的岗位证书及测量设备检定证书；</w:t>
      </w:r>
    </w:p>
    <w:p w14:paraId="70D0F384">
      <w:pPr>
        <w:pStyle w:val="43"/>
        <w:numPr>
          <w:ilvl w:val="1"/>
          <w:numId w:val="21"/>
        </w:numPr>
        <w:tabs>
          <w:tab w:val="left" w:pos="0"/>
        </w:tabs>
        <w:spacing w:before="173"/>
        <w:ind w:left="12" w:leftChars="0" w:hanging="12" w:hangingChars="5"/>
        <w:rPr>
          <w:sz w:val="24"/>
        </w:rPr>
      </w:pPr>
      <w:r>
        <w:rPr>
          <w:sz w:val="24"/>
        </w:rPr>
        <w:t>审核承包人提交的控制测量方案；</w:t>
      </w:r>
    </w:p>
    <w:p w14:paraId="0EBE9922">
      <w:pPr>
        <w:pStyle w:val="43"/>
        <w:numPr>
          <w:ilvl w:val="1"/>
          <w:numId w:val="21"/>
        </w:numPr>
        <w:tabs>
          <w:tab w:val="left" w:pos="0"/>
        </w:tabs>
        <w:spacing w:before="173"/>
        <w:ind w:left="12" w:leftChars="0" w:hanging="12" w:hangingChars="5"/>
        <w:rPr>
          <w:sz w:val="24"/>
        </w:rPr>
      </w:pPr>
      <w:r>
        <w:rPr>
          <w:sz w:val="24"/>
        </w:rPr>
        <w:t>复核控制桩的校核成果、控制桩的保护措施以及平面控制网、高程控制网和临时水准点的测量成果。</w:t>
      </w:r>
    </w:p>
    <w:p w14:paraId="7E771752">
      <w:pPr>
        <w:pStyle w:val="43"/>
        <w:numPr>
          <w:ilvl w:val="0"/>
          <w:numId w:val="21"/>
        </w:numPr>
        <w:spacing w:before="1" w:line="374" w:lineRule="auto"/>
        <w:ind w:left="0" w:leftChars="0" w:right="227" w:firstLine="0" w:firstLineChars="0"/>
        <w:rPr>
          <w:sz w:val="24"/>
        </w:rPr>
      </w:pPr>
      <w:r>
        <w:rPr>
          <w:sz w:val="24"/>
        </w:rPr>
        <w:t>专业监理工程师应审查承包人报送的工程开工报审表及相关资料，具备以下开工条件时，由总监理工程师签发，并报委托人：</w:t>
      </w:r>
    </w:p>
    <w:p w14:paraId="1C398483">
      <w:pPr>
        <w:pStyle w:val="43"/>
        <w:numPr>
          <w:ilvl w:val="1"/>
          <w:numId w:val="21"/>
        </w:numPr>
        <w:tabs>
          <w:tab w:val="left" w:pos="0"/>
        </w:tabs>
        <w:spacing w:before="173"/>
        <w:ind w:left="12" w:leftChars="0" w:hanging="12" w:hangingChars="5"/>
        <w:rPr>
          <w:sz w:val="24"/>
        </w:rPr>
      </w:pPr>
      <w:r>
        <w:rPr>
          <w:sz w:val="24"/>
        </w:rPr>
        <w:t>施工许可证已获政府主管部门批准</w:t>
      </w:r>
      <w:r>
        <w:rPr>
          <w:rFonts w:hint="eastAsia"/>
          <w:sz w:val="24"/>
        </w:rPr>
        <w:t>（如需）</w:t>
      </w:r>
      <w:r>
        <w:rPr>
          <w:sz w:val="24"/>
        </w:rPr>
        <w:t>；</w:t>
      </w:r>
    </w:p>
    <w:p w14:paraId="486D2FD7">
      <w:pPr>
        <w:pStyle w:val="43"/>
        <w:numPr>
          <w:ilvl w:val="1"/>
          <w:numId w:val="21"/>
        </w:numPr>
        <w:tabs>
          <w:tab w:val="left" w:pos="0"/>
        </w:tabs>
        <w:spacing w:before="173"/>
        <w:ind w:left="12" w:leftChars="0" w:hanging="12" w:hangingChars="5"/>
        <w:rPr>
          <w:sz w:val="24"/>
        </w:rPr>
      </w:pPr>
      <w:r>
        <w:rPr>
          <w:sz w:val="24"/>
        </w:rPr>
        <w:t>征地拆迁工作能满足工程进度的需要</w:t>
      </w:r>
      <w:r>
        <w:rPr>
          <w:rFonts w:hint="eastAsia"/>
          <w:sz w:val="24"/>
        </w:rPr>
        <w:t>（如需）</w:t>
      </w:r>
      <w:r>
        <w:rPr>
          <w:sz w:val="24"/>
        </w:rPr>
        <w:t>；</w:t>
      </w:r>
    </w:p>
    <w:p w14:paraId="3E3EBDA1">
      <w:pPr>
        <w:pStyle w:val="43"/>
        <w:numPr>
          <w:ilvl w:val="1"/>
          <w:numId w:val="21"/>
        </w:numPr>
        <w:tabs>
          <w:tab w:val="left" w:pos="0"/>
        </w:tabs>
        <w:spacing w:before="173"/>
        <w:ind w:left="12" w:leftChars="0" w:hanging="12" w:hangingChars="5"/>
        <w:rPr>
          <w:sz w:val="24"/>
        </w:rPr>
      </w:pPr>
      <w:r>
        <w:rPr>
          <w:sz w:val="24"/>
        </w:rPr>
        <w:t>施工组织设计已获总监理工程师批准；</w:t>
      </w:r>
    </w:p>
    <w:p w14:paraId="18B657C1">
      <w:pPr>
        <w:pStyle w:val="43"/>
        <w:numPr>
          <w:ilvl w:val="1"/>
          <w:numId w:val="21"/>
        </w:numPr>
        <w:tabs>
          <w:tab w:val="left" w:pos="0"/>
        </w:tabs>
        <w:spacing w:before="173"/>
        <w:ind w:left="12" w:leftChars="0" w:hanging="12" w:hangingChars="5"/>
        <w:rPr>
          <w:sz w:val="24"/>
        </w:rPr>
      </w:pPr>
      <w:r>
        <w:rPr>
          <w:sz w:val="24"/>
        </w:rPr>
        <w:t>承包人现场管理人员已到位，机具、施工人员已进场，主要工程材料已落实；</w:t>
      </w:r>
    </w:p>
    <w:p w14:paraId="1197E7F2">
      <w:pPr>
        <w:pStyle w:val="43"/>
        <w:numPr>
          <w:ilvl w:val="1"/>
          <w:numId w:val="21"/>
        </w:numPr>
        <w:tabs>
          <w:tab w:val="left" w:pos="0"/>
        </w:tabs>
        <w:spacing w:before="173"/>
        <w:ind w:left="12" w:leftChars="0" w:hanging="12" w:hangingChars="5"/>
        <w:rPr>
          <w:sz w:val="24"/>
        </w:rPr>
        <w:sectPr>
          <w:pgSz w:w="11910" w:h="16840"/>
          <w:pgMar w:top="1134" w:right="1037" w:bottom="1037" w:left="1134" w:header="0" w:footer="917" w:gutter="0"/>
          <w:pgNumType w:fmt="decimal"/>
          <w:cols w:space="720" w:num="1"/>
        </w:sectPr>
      </w:pPr>
    </w:p>
    <w:p w14:paraId="6E751822">
      <w:pPr>
        <w:pStyle w:val="43"/>
        <w:numPr>
          <w:ilvl w:val="1"/>
          <w:numId w:val="21"/>
        </w:numPr>
        <w:tabs>
          <w:tab w:val="left" w:pos="0"/>
        </w:tabs>
        <w:spacing w:before="173"/>
        <w:ind w:left="12" w:leftChars="0" w:hanging="12" w:hangingChars="5"/>
        <w:rPr>
          <w:sz w:val="24"/>
        </w:rPr>
      </w:pPr>
      <w:r>
        <w:rPr>
          <w:sz w:val="24"/>
        </w:rPr>
        <w:t>进场道路及水、电、通讯等已满足开工要求；</w:t>
      </w:r>
    </w:p>
    <w:p w14:paraId="196C767E">
      <w:pPr>
        <w:pStyle w:val="43"/>
        <w:numPr>
          <w:ilvl w:val="1"/>
          <w:numId w:val="21"/>
        </w:numPr>
        <w:tabs>
          <w:tab w:val="left" w:pos="0"/>
        </w:tabs>
        <w:spacing w:before="173"/>
        <w:ind w:left="12" w:leftChars="0" w:hanging="12" w:hangingChars="5"/>
        <w:rPr>
          <w:sz w:val="24"/>
        </w:rPr>
      </w:pPr>
      <w:r>
        <w:rPr>
          <w:sz w:val="24"/>
        </w:rPr>
        <w:t>施工测量、技术交底、作业指导书等各项技术准备工作已经完成。</w:t>
      </w:r>
    </w:p>
    <w:p w14:paraId="61BCA6A8">
      <w:pPr>
        <w:pStyle w:val="43"/>
        <w:numPr>
          <w:ilvl w:val="0"/>
          <w:numId w:val="21"/>
        </w:numPr>
        <w:spacing w:before="172" w:line="374" w:lineRule="auto"/>
        <w:ind w:left="0" w:leftChars="0" w:right="227" w:firstLine="0" w:firstLineChars="0"/>
        <w:rPr>
          <w:sz w:val="24"/>
        </w:rPr>
      </w:pPr>
      <w:r>
        <w:rPr>
          <w:sz w:val="24"/>
        </w:rPr>
        <w:t>工程项目开工前，监理人员应参加由委托人主持召开的第一次工地会议。工地会议应包括以下主要内容：</w:t>
      </w:r>
    </w:p>
    <w:p w14:paraId="29DFBA5C">
      <w:pPr>
        <w:pStyle w:val="43"/>
        <w:numPr>
          <w:ilvl w:val="1"/>
          <w:numId w:val="21"/>
        </w:numPr>
        <w:tabs>
          <w:tab w:val="left" w:pos="0"/>
        </w:tabs>
        <w:spacing w:before="173"/>
        <w:ind w:left="12" w:leftChars="0" w:hanging="12" w:hangingChars="5"/>
        <w:rPr>
          <w:sz w:val="24"/>
        </w:rPr>
      </w:pPr>
      <w:r>
        <w:rPr>
          <w:sz w:val="24"/>
        </w:rPr>
        <w:t>委托人、承包人和监理人分别介绍各自派驻现场的组织机构、人员及其分工；</w:t>
      </w:r>
    </w:p>
    <w:p w14:paraId="650AEF7D">
      <w:pPr>
        <w:pStyle w:val="43"/>
        <w:numPr>
          <w:ilvl w:val="1"/>
          <w:numId w:val="21"/>
        </w:numPr>
        <w:tabs>
          <w:tab w:val="left" w:pos="0"/>
        </w:tabs>
        <w:spacing w:before="173"/>
        <w:ind w:left="12" w:leftChars="0" w:hanging="12" w:hangingChars="5"/>
        <w:rPr>
          <w:sz w:val="24"/>
        </w:rPr>
      </w:pPr>
      <w:r>
        <w:rPr>
          <w:sz w:val="24"/>
        </w:rPr>
        <w:t>委托人根据委托监理合同宣布对总监理工程师的授权；</w:t>
      </w:r>
    </w:p>
    <w:p w14:paraId="0EBDBC28">
      <w:pPr>
        <w:pStyle w:val="43"/>
        <w:numPr>
          <w:ilvl w:val="1"/>
          <w:numId w:val="21"/>
        </w:numPr>
        <w:tabs>
          <w:tab w:val="left" w:pos="0"/>
        </w:tabs>
        <w:spacing w:before="173"/>
        <w:ind w:left="12" w:leftChars="0" w:hanging="12" w:hangingChars="5"/>
        <w:rPr>
          <w:sz w:val="24"/>
        </w:rPr>
      </w:pPr>
      <w:r>
        <w:rPr>
          <w:sz w:val="24"/>
        </w:rPr>
        <w:t>委托人介绍工程开工准备情况；</w:t>
      </w:r>
    </w:p>
    <w:p w14:paraId="2B31EA70">
      <w:pPr>
        <w:pStyle w:val="43"/>
        <w:numPr>
          <w:ilvl w:val="1"/>
          <w:numId w:val="21"/>
        </w:numPr>
        <w:tabs>
          <w:tab w:val="left" w:pos="0"/>
        </w:tabs>
        <w:spacing w:before="173"/>
        <w:ind w:left="12" w:leftChars="0" w:hanging="12" w:hangingChars="5"/>
        <w:rPr>
          <w:sz w:val="24"/>
        </w:rPr>
      </w:pPr>
      <w:r>
        <w:rPr>
          <w:sz w:val="24"/>
        </w:rPr>
        <w:t>承包人介绍施工准备情况；</w:t>
      </w:r>
    </w:p>
    <w:p w14:paraId="74CF575B">
      <w:pPr>
        <w:pStyle w:val="43"/>
        <w:numPr>
          <w:ilvl w:val="1"/>
          <w:numId w:val="21"/>
        </w:numPr>
        <w:tabs>
          <w:tab w:val="left" w:pos="0"/>
        </w:tabs>
        <w:spacing w:before="173"/>
        <w:ind w:left="12" w:leftChars="0" w:hanging="12" w:hangingChars="5"/>
        <w:rPr>
          <w:sz w:val="24"/>
        </w:rPr>
      </w:pPr>
      <w:r>
        <w:rPr>
          <w:sz w:val="24"/>
        </w:rPr>
        <w:t>委托人和总监理工程师对施工准备情况提出意见和要求；</w:t>
      </w:r>
    </w:p>
    <w:p w14:paraId="7D2E4660">
      <w:pPr>
        <w:pStyle w:val="43"/>
        <w:numPr>
          <w:ilvl w:val="1"/>
          <w:numId w:val="21"/>
        </w:numPr>
        <w:tabs>
          <w:tab w:val="left" w:pos="0"/>
        </w:tabs>
        <w:spacing w:before="173"/>
        <w:ind w:left="12" w:leftChars="0" w:hanging="12" w:hangingChars="5"/>
        <w:rPr>
          <w:sz w:val="24"/>
        </w:rPr>
      </w:pPr>
      <w:r>
        <w:rPr>
          <w:sz w:val="24"/>
        </w:rPr>
        <w:t>总监理工程师介绍监理规划的主要内容；</w:t>
      </w:r>
    </w:p>
    <w:p w14:paraId="3FCA2EE0">
      <w:pPr>
        <w:pStyle w:val="43"/>
        <w:numPr>
          <w:ilvl w:val="1"/>
          <w:numId w:val="21"/>
        </w:numPr>
        <w:tabs>
          <w:tab w:val="left" w:pos="0"/>
        </w:tabs>
        <w:spacing w:before="173"/>
        <w:ind w:left="12" w:leftChars="0" w:hanging="12" w:hangingChars="5"/>
        <w:rPr>
          <w:sz w:val="24"/>
        </w:rPr>
      </w:pPr>
      <w:r>
        <w:rPr>
          <w:sz w:val="24"/>
        </w:rPr>
        <w:t>研究确定各方在施工过程中参加工地例会的主要人员，召开工地例会周期、地点及主要议题。</w:t>
      </w:r>
    </w:p>
    <w:p w14:paraId="7AF80CC1">
      <w:pPr>
        <w:pStyle w:val="43"/>
        <w:numPr>
          <w:ilvl w:val="0"/>
          <w:numId w:val="0"/>
        </w:numPr>
        <w:tabs>
          <w:tab w:val="left" w:pos="0"/>
        </w:tabs>
        <w:spacing w:before="173"/>
        <w:ind w:leftChars="-5" w:firstLine="480" w:firstLineChars="200"/>
      </w:pPr>
      <w:r>
        <w:rPr>
          <w:sz w:val="24"/>
        </w:rPr>
        <w:t>第一次工地会议纪要应由项目监理机构负责起草，并经与会各方代表会签。</w:t>
      </w:r>
    </w:p>
    <w:p w14:paraId="45DB1A27">
      <w:pPr>
        <w:pStyle w:val="43"/>
        <w:numPr>
          <w:ilvl w:val="0"/>
          <w:numId w:val="21"/>
        </w:numPr>
        <w:spacing w:before="173"/>
        <w:ind w:left="0" w:leftChars="0" w:firstLine="14" w:firstLineChars="6"/>
        <w:rPr>
          <w:sz w:val="24"/>
        </w:rPr>
      </w:pPr>
      <w:r>
        <w:rPr>
          <w:sz w:val="24"/>
        </w:rPr>
        <w:t>制定监理规划</w:t>
      </w:r>
    </w:p>
    <w:p w14:paraId="70BC4F4D">
      <w:pPr>
        <w:pStyle w:val="43"/>
        <w:numPr>
          <w:ilvl w:val="0"/>
          <w:numId w:val="22"/>
        </w:numPr>
        <w:spacing w:before="172" w:line="374" w:lineRule="auto"/>
        <w:ind w:left="0" w:leftChars="0" w:right="239" w:firstLine="0" w:firstLineChars="0"/>
        <w:rPr>
          <w:sz w:val="24"/>
        </w:rPr>
      </w:pPr>
      <w:r>
        <w:rPr>
          <w:sz w:val="24"/>
        </w:rPr>
        <w:t>监理规划的编制应针对项目的实际情况，明确项目监理机构的工作目标，确定具体的监理工作制度、程序、方法和措施，并应具有可操作性。</w:t>
      </w:r>
    </w:p>
    <w:p w14:paraId="4DC07E76">
      <w:pPr>
        <w:pStyle w:val="43"/>
        <w:numPr>
          <w:ilvl w:val="0"/>
          <w:numId w:val="22"/>
        </w:numPr>
        <w:spacing w:before="172" w:line="374" w:lineRule="auto"/>
        <w:ind w:left="0" w:leftChars="0" w:right="239" w:firstLine="0" w:firstLineChars="0"/>
        <w:rPr>
          <w:sz w:val="24"/>
        </w:rPr>
      </w:pPr>
      <w:r>
        <w:rPr>
          <w:sz w:val="24"/>
        </w:rPr>
        <w:t>监理规划编制的程序与依据应符合下列规定：</w:t>
      </w:r>
    </w:p>
    <w:p w14:paraId="65FE0D5F">
      <w:pPr>
        <w:pStyle w:val="3"/>
        <w:spacing w:before="132" w:line="348" w:lineRule="auto"/>
        <w:ind w:left="0" w:leftChars="0" w:right="228" w:firstLine="0" w:firstLineChars="0"/>
      </w:pPr>
      <w:r>
        <w:rPr>
          <w:sz w:val="24"/>
          <w:szCs w:val="24"/>
        </w:rPr>
        <w:t>① 监理</w:t>
      </w:r>
      <w:r>
        <w:t>规划应在签订委托监理合同及收到设计文件后开始编制，完成后必须经监理人技术负责人审核批准，并应在召开第一次工地会议前报送委托人；</w:t>
      </w:r>
    </w:p>
    <w:p w14:paraId="6C2D9779">
      <w:pPr>
        <w:pStyle w:val="3"/>
        <w:spacing w:before="132" w:line="348" w:lineRule="auto"/>
        <w:ind w:left="0" w:leftChars="0" w:right="228" w:firstLine="0" w:firstLineChars="0"/>
      </w:pPr>
      <w:r>
        <w:t>② 监理规划应由总监理工程师主持、专业监理工程师参加编制；</w:t>
      </w:r>
    </w:p>
    <w:p w14:paraId="59BBDB7C">
      <w:pPr>
        <w:pStyle w:val="3"/>
        <w:spacing w:before="132" w:line="348" w:lineRule="auto"/>
        <w:ind w:left="0" w:leftChars="0" w:right="228" w:firstLine="0" w:firstLineChars="0"/>
      </w:pPr>
      <w:r>
        <w:t>③ 编制监理规划应依据为以下各项：</w:t>
      </w:r>
    </w:p>
    <w:p w14:paraId="48966643">
      <w:pPr>
        <w:pStyle w:val="43"/>
        <w:numPr>
          <w:ilvl w:val="0"/>
          <w:numId w:val="23"/>
        </w:numPr>
        <w:spacing w:before="161"/>
        <w:ind w:left="-1" w:leftChars="0" w:firstLine="0" w:firstLineChars="0"/>
        <w:rPr>
          <w:sz w:val="24"/>
        </w:rPr>
      </w:pPr>
      <w:r>
        <w:rPr>
          <w:sz w:val="24"/>
        </w:rPr>
        <w:t>建设工程的相关法律、法规及项目审批文件；</w:t>
      </w:r>
    </w:p>
    <w:p w14:paraId="0000282D">
      <w:pPr>
        <w:pStyle w:val="43"/>
        <w:numPr>
          <w:ilvl w:val="0"/>
          <w:numId w:val="23"/>
        </w:numPr>
        <w:spacing w:before="161"/>
        <w:ind w:left="-1" w:leftChars="0" w:firstLine="0" w:firstLineChars="0"/>
        <w:rPr>
          <w:sz w:val="24"/>
        </w:rPr>
      </w:pPr>
      <w:r>
        <w:rPr>
          <w:sz w:val="24"/>
        </w:rPr>
        <w:t>与建设工程项目有关的标准、设计文件、技术资料；</w:t>
      </w:r>
    </w:p>
    <w:p w14:paraId="6A49AD4E">
      <w:pPr>
        <w:pStyle w:val="43"/>
        <w:numPr>
          <w:ilvl w:val="0"/>
          <w:numId w:val="23"/>
        </w:numPr>
        <w:spacing w:before="161"/>
        <w:ind w:left="-1" w:leftChars="0" w:firstLine="0" w:firstLineChars="0"/>
        <w:rPr>
          <w:sz w:val="24"/>
        </w:rPr>
      </w:pPr>
      <w:r>
        <w:rPr>
          <w:sz w:val="24"/>
        </w:rPr>
        <w:t>监理大纲、委托监理合同文件以及与建设工程项目相关的合同文件；</w:t>
      </w:r>
    </w:p>
    <w:p w14:paraId="241A43B2">
      <w:pPr>
        <w:pStyle w:val="43"/>
        <w:numPr>
          <w:ilvl w:val="0"/>
          <w:numId w:val="23"/>
        </w:numPr>
        <w:spacing w:before="161"/>
        <w:ind w:left="-1" w:leftChars="0" w:firstLine="0" w:firstLineChars="0"/>
        <w:rPr>
          <w:sz w:val="24"/>
        </w:rPr>
      </w:pPr>
      <w:r>
        <w:rPr>
          <w:sz w:val="24"/>
        </w:rPr>
        <w:t>委托人制定的有关本合同工程建设的管理制度。</w:t>
      </w:r>
    </w:p>
    <w:p w14:paraId="66CA4A43">
      <w:pPr>
        <w:pStyle w:val="43"/>
        <w:numPr>
          <w:ilvl w:val="0"/>
          <w:numId w:val="22"/>
        </w:numPr>
        <w:spacing w:before="172" w:line="374" w:lineRule="auto"/>
        <w:ind w:left="0" w:leftChars="0" w:right="239" w:firstLine="0" w:firstLineChars="0"/>
        <w:rPr>
          <w:sz w:val="24"/>
        </w:rPr>
      </w:pPr>
      <w:r>
        <w:rPr>
          <w:sz w:val="24"/>
        </w:rPr>
        <w:t>监理规划应包括以下主要内容：</w:t>
      </w:r>
    </w:p>
    <w:p w14:paraId="379556D3">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① 工程项目概况；</w:t>
      </w:r>
    </w:p>
    <w:p w14:paraId="6A217479">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② 监理工作范围；</w:t>
      </w:r>
    </w:p>
    <w:p w14:paraId="1272BCAF">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③ 监理工作内容；</w:t>
      </w:r>
    </w:p>
    <w:p w14:paraId="53F36E91">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④ 监理工作目标；</w:t>
      </w:r>
    </w:p>
    <w:p w14:paraId="3B604D57">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⑤ 监理工作依据；</w:t>
      </w:r>
    </w:p>
    <w:p w14:paraId="1D33B35F">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⑥ 项目监理机构的组织形式；</w:t>
      </w:r>
    </w:p>
    <w:p w14:paraId="604059E0">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⑦ 项目监理机构的人员配备计划；</w:t>
      </w:r>
    </w:p>
    <w:p w14:paraId="52321AE6">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⑧ 项目监理机构的人员岗位职责；</w:t>
      </w:r>
    </w:p>
    <w:p w14:paraId="5266F0FA">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⑨ 监理工作程序；</w:t>
      </w:r>
    </w:p>
    <w:p w14:paraId="2E17BEC2">
      <w:pPr>
        <w:pStyle w:val="3"/>
        <w:spacing w:before="132" w:line="348" w:lineRule="auto"/>
        <w:ind w:left="0" w:leftChars="0" w:right="228" w:firstLine="0" w:firstLineChars="0"/>
      </w:pPr>
      <w:r>
        <w:rPr>
          <w:rFonts w:hint="eastAsia" w:ascii="宋体" w:hAnsi="宋体" w:eastAsia="宋体" w:cs="宋体"/>
          <w:sz w:val="24"/>
          <w:szCs w:val="24"/>
        </w:rPr>
        <w:t>⑩ 监理工作方法及措施；</w:t>
      </w:r>
    </w:p>
    <w:p w14:paraId="392C1295">
      <w:pPr>
        <w:pStyle w:val="3"/>
        <w:spacing w:before="121"/>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 xml:space="preserve"> 监理工作制度；</w:t>
      </w:r>
    </w:p>
    <w:p w14:paraId="0B155C5F">
      <w:pPr>
        <w:pStyle w:val="43"/>
        <w:numPr>
          <w:ilvl w:val="0"/>
          <w:numId w:val="22"/>
        </w:numPr>
        <w:spacing w:before="99" w:line="374" w:lineRule="auto"/>
        <w:ind w:left="0" w:leftChars="0" w:right="108" w:firstLine="0" w:firstLineChars="0"/>
        <w:rPr>
          <w:sz w:val="24"/>
        </w:rPr>
      </w:pPr>
      <w:r>
        <w:rPr>
          <w:sz w:val="24"/>
        </w:rPr>
        <w:t>在监理工作实施过程中，如实际情况或条件发生重大变化而需要调整监理规划时，应由总监理工程师组织专业监理工程师研究修改，按原报审程序经过批准后报委托人。</w:t>
      </w:r>
    </w:p>
    <w:p w14:paraId="1A6A6C26">
      <w:pPr>
        <w:pStyle w:val="43"/>
        <w:numPr>
          <w:ilvl w:val="0"/>
          <w:numId w:val="21"/>
        </w:numPr>
        <w:tabs>
          <w:tab w:val="left" w:pos="0"/>
        </w:tabs>
        <w:spacing w:before="1"/>
        <w:ind w:left="0" w:leftChars="0" w:firstLine="0" w:firstLineChars="0"/>
        <w:rPr>
          <w:sz w:val="24"/>
        </w:rPr>
      </w:pPr>
      <w:r>
        <w:rPr>
          <w:sz w:val="24"/>
        </w:rPr>
        <w:t>制定监理实施细则</w:t>
      </w:r>
    </w:p>
    <w:p w14:paraId="7C964FF3">
      <w:pPr>
        <w:pStyle w:val="43"/>
        <w:numPr>
          <w:ilvl w:val="0"/>
          <w:numId w:val="24"/>
        </w:numPr>
        <w:spacing w:before="172" w:line="374" w:lineRule="auto"/>
        <w:ind w:left="0" w:leftChars="0" w:right="239" w:firstLine="0" w:firstLineChars="0"/>
        <w:rPr>
          <w:sz w:val="24"/>
        </w:rPr>
      </w:pPr>
      <w:r>
        <w:rPr>
          <w:sz w:val="24"/>
        </w:rPr>
        <w:t>项目监理机构应编制监理实施细则。监理实施细则应符合监理规划的要求，并应结合工程项目的专业特点，做到详细具体、具有可操作性。</w:t>
      </w:r>
    </w:p>
    <w:p w14:paraId="1CF5C684">
      <w:pPr>
        <w:pStyle w:val="43"/>
        <w:numPr>
          <w:ilvl w:val="0"/>
          <w:numId w:val="24"/>
        </w:numPr>
        <w:spacing w:before="172" w:line="374" w:lineRule="auto"/>
        <w:ind w:left="0" w:leftChars="0" w:right="239" w:firstLine="0" w:firstLineChars="0"/>
        <w:rPr>
          <w:sz w:val="24"/>
        </w:rPr>
      </w:pPr>
      <w:r>
        <w:rPr>
          <w:sz w:val="24"/>
        </w:rPr>
        <w:t>监理实施细则的编制程序与依据应符合下列规定：</w:t>
      </w:r>
    </w:p>
    <w:p w14:paraId="5A23E723">
      <w:pPr>
        <w:pStyle w:val="3"/>
        <w:spacing w:before="132" w:line="348" w:lineRule="auto"/>
        <w:ind w:left="0" w:leftChars="0" w:right="228" w:firstLine="0" w:firstLineChars="0"/>
        <w:rPr>
          <w:rFonts w:hint="eastAsia" w:ascii="宋体" w:hAnsi="宋体" w:eastAsia="宋体" w:cs="宋体"/>
          <w:sz w:val="24"/>
          <w:szCs w:val="24"/>
        </w:rPr>
      </w:pPr>
      <w:r>
        <w:rPr>
          <w:sz w:val="24"/>
          <w:szCs w:val="24"/>
        </w:rPr>
        <w:t xml:space="preserve">① </w:t>
      </w:r>
      <w:r>
        <w:rPr>
          <w:rFonts w:hint="eastAsia" w:ascii="宋体" w:hAnsi="宋体" w:eastAsia="宋体" w:cs="宋体"/>
          <w:sz w:val="24"/>
          <w:szCs w:val="24"/>
        </w:rPr>
        <w:t>监理实施细则应在相应工程施工开始前编制完成，并必须经总监理工程师批准；</w:t>
      </w:r>
    </w:p>
    <w:p w14:paraId="0BD45F7B">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② 监理实施细则应由专业监理工程师编制；</w:t>
      </w:r>
    </w:p>
    <w:p w14:paraId="7F603C5F">
      <w:pPr>
        <w:pStyle w:val="3"/>
        <w:spacing w:before="132" w:line="348" w:lineRule="auto"/>
        <w:ind w:left="0" w:leftChars="0" w:right="228" w:firstLine="0" w:firstLineChars="0"/>
      </w:pPr>
      <w:r>
        <w:rPr>
          <w:rFonts w:hint="eastAsia" w:ascii="宋体" w:hAnsi="宋体" w:eastAsia="宋体" w:cs="宋体"/>
          <w:sz w:val="24"/>
          <w:szCs w:val="24"/>
        </w:rPr>
        <w:t>③ 编制监理实施细则的依据为以下各项：</w:t>
      </w:r>
    </w:p>
    <w:p w14:paraId="65DE7C94">
      <w:pPr>
        <w:pStyle w:val="43"/>
        <w:numPr>
          <w:ilvl w:val="0"/>
          <w:numId w:val="25"/>
        </w:numPr>
        <w:spacing w:before="161"/>
        <w:ind w:left="-1" w:leftChars="0" w:firstLine="0" w:firstLineChars="0"/>
        <w:rPr>
          <w:sz w:val="24"/>
        </w:rPr>
      </w:pPr>
      <w:r>
        <w:rPr>
          <w:sz w:val="24"/>
        </w:rPr>
        <w:t>已批准的监理规划；</w:t>
      </w:r>
    </w:p>
    <w:p w14:paraId="16A16EFC">
      <w:pPr>
        <w:pStyle w:val="43"/>
        <w:numPr>
          <w:ilvl w:val="0"/>
          <w:numId w:val="25"/>
        </w:numPr>
        <w:spacing w:before="161"/>
        <w:ind w:left="-1" w:leftChars="0" w:firstLine="0" w:firstLineChars="0"/>
        <w:rPr>
          <w:sz w:val="24"/>
        </w:rPr>
      </w:pPr>
      <w:r>
        <w:rPr>
          <w:sz w:val="24"/>
        </w:rPr>
        <w:t>与专业工程相关的标准、设计文件和技术资料；</w:t>
      </w:r>
    </w:p>
    <w:p w14:paraId="22D164B7">
      <w:pPr>
        <w:pStyle w:val="43"/>
        <w:numPr>
          <w:ilvl w:val="0"/>
          <w:numId w:val="25"/>
        </w:numPr>
        <w:spacing w:before="161"/>
        <w:ind w:left="-1" w:leftChars="0" w:firstLine="0" w:firstLineChars="0"/>
        <w:rPr>
          <w:sz w:val="24"/>
        </w:rPr>
      </w:pPr>
      <w:r>
        <w:rPr>
          <w:sz w:val="24"/>
        </w:rPr>
        <w:t>施工组织设计；</w:t>
      </w:r>
    </w:p>
    <w:p w14:paraId="15F00979">
      <w:pPr>
        <w:pStyle w:val="43"/>
        <w:numPr>
          <w:ilvl w:val="0"/>
          <w:numId w:val="25"/>
        </w:numPr>
        <w:spacing w:before="161"/>
        <w:ind w:left="-1" w:leftChars="0" w:firstLine="0" w:firstLineChars="0"/>
        <w:rPr>
          <w:sz w:val="24"/>
        </w:rPr>
      </w:pPr>
      <w:r>
        <w:rPr>
          <w:sz w:val="24"/>
        </w:rPr>
        <w:t>本合同工程的设计、施工、安装招投标文件及合同；</w:t>
      </w:r>
    </w:p>
    <w:p w14:paraId="79F14AB9">
      <w:pPr>
        <w:pStyle w:val="43"/>
        <w:numPr>
          <w:ilvl w:val="0"/>
          <w:numId w:val="25"/>
        </w:numPr>
        <w:spacing w:before="161"/>
        <w:ind w:left="-1" w:leftChars="0" w:firstLine="0" w:firstLineChars="0"/>
        <w:rPr>
          <w:sz w:val="24"/>
        </w:rPr>
      </w:pPr>
      <w:r>
        <w:rPr>
          <w:sz w:val="24"/>
        </w:rPr>
        <w:t>委托人制定的有关本合同工程建设的管理制度。</w:t>
      </w:r>
    </w:p>
    <w:p w14:paraId="0993D7F0">
      <w:pPr>
        <w:pStyle w:val="43"/>
        <w:numPr>
          <w:ilvl w:val="0"/>
          <w:numId w:val="24"/>
        </w:numPr>
        <w:spacing w:before="173"/>
        <w:ind w:left="12" w:leftChars="0" w:hanging="12" w:hangingChars="5"/>
        <w:rPr>
          <w:sz w:val="24"/>
        </w:rPr>
      </w:pPr>
      <w:r>
        <w:rPr>
          <w:sz w:val="24"/>
        </w:rPr>
        <w:t>监理实施细则应包括下列主要内容：</w:t>
      </w:r>
    </w:p>
    <w:p w14:paraId="070F9C7F">
      <w:pPr>
        <w:pStyle w:val="3"/>
        <w:spacing w:before="132" w:line="348" w:lineRule="auto"/>
        <w:ind w:left="0" w:leftChars="0" w:right="228" w:firstLine="0" w:firstLineChars="0"/>
        <w:rPr>
          <w:rFonts w:hint="eastAsia" w:ascii="宋体" w:hAnsi="宋体" w:eastAsia="宋体" w:cs="宋体"/>
          <w:sz w:val="24"/>
          <w:szCs w:val="24"/>
        </w:rPr>
      </w:pPr>
      <w:r>
        <w:rPr>
          <w:sz w:val="24"/>
          <w:szCs w:val="24"/>
        </w:rPr>
        <w:t xml:space="preserve">① </w:t>
      </w:r>
      <w:r>
        <w:rPr>
          <w:rFonts w:hint="eastAsia" w:ascii="宋体" w:hAnsi="宋体" w:eastAsia="宋体" w:cs="宋体"/>
          <w:sz w:val="24"/>
          <w:szCs w:val="24"/>
        </w:rPr>
        <w:t>专业工程的特点；</w:t>
      </w:r>
    </w:p>
    <w:p w14:paraId="0890F997">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② 监理工作的流程；</w:t>
      </w:r>
    </w:p>
    <w:p w14:paraId="6A0237B0">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③ 监理工作的控制要点及目标值；</w:t>
      </w:r>
    </w:p>
    <w:p w14:paraId="53ABA82B">
      <w:pPr>
        <w:pStyle w:val="3"/>
        <w:spacing w:before="132" w:line="348" w:lineRule="auto"/>
        <w:ind w:left="0" w:leftChars="0" w:right="228" w:firstLine="0" w:firstLineChars="0"/>
        <w:rPr>
          <w:rFonts w:hint="eastAsia" w:ascii="宋体" w:hAnsi="宋体" w:eastAsia="宋体" w:cs="宋体"/>
          <w:sz w:val="24"/>
          <w:szCs w:val="24"/>
        </w:rPr>
      </w:pPr>
      <w:r>
        <w:rPr>
          <w:rFonts w:hint="eastAsia" w:ascii="宋体" w:hAnsi="宋体" w:eastAsia="宋体" w:cs="宋体"/>
          <w:sz w:val="24"/>
          <w:szCs w:val="24"/>
        </w:rPr>
        <w:t>④ 监理工作的方法及措施。</w:t>
      </w:r>
    </w:p>
    <w:p w14:paraId="1DEEB172">
      <w:pPr>
        <w:pStyle w:val="43"/>
        <w:numPr>
          <w:ilvl w:val="0"/>
          <w:numId w:val="24"/>
        </w:numPr>
        <w:spacing w:before="161"/>
        <w:ind w:left="12" w:leftChars="0" w:hanging="12" w:hangingChars="5"/>
        <w:rPr>
          <w:sz w:val="24"/>
        </w:rPr>
      </w:pPr>
      <w:r>
        <w:rPr>
          <w:sz w:val="24"/>
        </w:rPr>
        <w:t>在监理工作实施过程中，监理实施细则应根据实际情况进行补充、修改和完善。</w:t>
      </w:r>
    </w:p>
    <w:p w14:paraId="2DB93FAB">
      <w:pPr>
        <w:pStyle w:val="43"/>
        <w:numPr>
          <w:ilvl w:val="0"/>
          <w:numId w:val="21"/>
        </w:numPr>
        <w:spacing w:before="173" w:line="374" w:lineRule="auto"/>
        <w:ind w:left="0" w:leftChars="0" w:right="115" w:firstLine="0" w:firstLineChars="0"/>
        <w:rPr>
          <w:sz w:val="24"/>
        </w:rPr>
      </w:pPr>
      <w:r>
        <w:rPr>
          <w:sz w:val="24"/>
        </w:rPr>
        <w:t>对合同管理实施控制工作程序化、规范化，建立定期和不定期的协商会办制度，根据合同文件的约定及委托人要求的图纸批准程序、工程变更程序、承包人索赔程序、承包人的账单审查程序、进度付款账单的审查批准程序、工程问题的请示报告程序等制定相关表格。</w:t>
      </w:r>
    </w:p>
    <w:p w14:paraId="02CE9455">
      <w:pPr>
        <w:pStyle w:val="14"/>
        <w:numPr>
          <w:ilvl w:val="2"/>
          <w:numId w:val="20"/>
        </w:numPr>
        <w:spacing w:before="1"/>
        <w:ind w:left="0" w:leftChars="0" w:firstLine="0" w:firstLineChars="0"/>
        <w:rPr>
          <w:rFonts w:ascii="Times New Roman" w:eastAsia="Times New Roman"/>
        </w:rPr>
      </w:pPr>
      <w:r>
        <w:t>施工阶段的监理工作（包括但不限于以下内容）</w:t>
      </w:r>
    </w:p>
    <w:p w14:paraId="0B4A3180">
      <w:pPr>
        <w:pStyle w:val="14"/>
        <w:numPr>
          <w:ilvl w:val="3"/>
          <w:numId w:val="20"/>
        </w:numPr>
        <w:spacing w:before="172"/>
        <w:ind w:left="0" w:leftChars="0" w:firstLine="0" w:firstLineChars="0"/>
      </w:pPr>
      <w:r>
        <w:t>工程质量控制工作</w:t>
      </w:r>
    </w:p>
    <w:p w14:paraId="7F410AB5">
      <w:pPr>
        <w:pStyle w:val="43"/>
        <w:numPr>
          <w:ilvl w:val="0"/>
          <w:numId w:val="26"/>
        </w:numPr>
        <w:spacing w:before="173" w:line="374" w:lineRule="auto"/>
        <w:ind w:left="0" w:leftChars="0" w:right="227" w:firstLine="0" w:firstLineChars="0"/>
        <w:rPr>
          <w:sz w:val="24"/>
        </w:rPr>
      </w:pPr>
      <w:r>
        <w:rPr>
          <w:sz w:val="24"/>
        </w:rPr>
        <w:t>在施工过程中，当承包人对已批准的施工组织设计进行调整、补充或变动时， 应经专业监理工程师审查，并应由总监理工程师签认。</w:t>
      </w:r>
    </w:p>
    <w:p w14:paraId="52E1D224">
      <w:pPr>
        <w:pStyle w:val="43"/>
        <w:numPr>
          <w:ilvl w:val="0"/>
          <w:numId w:val="26"/>
        </w:numPr>
        <w:spacing w:before="173" w:line="374" w:lineRule="auto"/>
        <w:ind w:left="0" w:leftChars="0" w:right="227" w:firstLine="0" w:firstLineChars="0"/>
        <w:rPr>
          <w:sz w:val="24"/>
        </w:rPr>
      </w:pPr>
      <w:r>
        <w:rPr>
          <w:sz w:val="24"/>
        </w:rPr>
        <w:t>专业监理工程师应要求承包人报送重点部位、关键工序的施工方案或作业指导和确保工程质量的措施，审核同意后予以签认。</w:t>
      </w:r>
    </w:p>
    <w:p w14:paraId="2D394240">
      <w:pPr>
        <w:pStyle w:val="43"/>
        <w:numPr>
          <w:ilvl w:val="0"/>
          <w:numId w:val="26"/>
        </w:numPr>
        <w:spacing w:before="173" w:line="374" w:lineRule="auto"/>
        <w:ind w:left="0" w:leftChars="0" w:right="227" w:firstLine="0" w:firstLineChars="0"/>
        <w:rPr>
          <w:sz w:val="24"/>
        </w:rPr>
      </w:pPr>
      <w:r>
        <w:rPr>
          <w:sz w:val="24"/>
        </w:rPr>
        <w:t>当承包人采用新材料、新工艺、新技术、新设备时，专业监理工程师应要求承包人报送相应的施工工艺措施和证明材料，组织专题论证，经审定后予以签认。</w:t>
      </w:r>
    </w:p>
    <w:p w14:paraId="273633C9">
      <w:pPr>
        <w:pStyle w:val="43"/>
        <w:numPr>
          <w:ilvl w:val="0"/>
          <w:numId w:val="26"/>
        </w:numPr>
        <w:spacing w:before="173" w:line="374" w:lineRule="auto"/>
        <w:ind w:left="0" w:leftChars="0" w:right="227" w:firstLine="0" w:firstLineChars="0"/>
        <w:rPr>
          <w:sz w:val="24"/>
        </w:rPr>
      </w:pPr>
      <w:r>
        <w:rPr>
          <w:sz w:val="24"/>
        </w:rPr>
        <w:t>项目监理机构应对承包人在施工过程中报送的施工测量放线成果进行复验和确认。</w:t>
      </w:r>
    </w:p>
    <w:p w14:paraId="63AF2265">
      <w:pPr>
        <w:pStyle w:val="43"/>
        <w:numPr>
          <w:ilvl w:val="0"/>
          <w:numId w:val="26"/>
        </w:numPr>
        <w:spacing w:before="173" w:line="374" w:lineRule="auto"/>
        <w:ind w:left="0" w:leftChars="0" w:right="227" w:firstLine="0" w:firstLineChars="0"/>
        <w:rPr>
          <w:sz w:val="24"/>
        </w:rPr>
      </w:pPr>
      <w:r>
        <w:rPr>
          <w:sz w:val="24"/>
        </w:rPr>
        <w:t>监理人应对材料、设备的进场验收负主要责任。专业监理工程师应对承包人报送的拟进场工程材料、构配件和设备的工程材料/构配件/设备报审表及其质量证明资料进行审核，并对进场的实物按照委托监理合同约定或有关工程质量管理文件规定的比例采用平行检验或见证取样方式进行抽检。</w:t>
      </w:r>
    </w:p>
    <w:p w14:paraId="4E7890F3">
      <w:pPr>
        <w:pStyle w:val="43"/>
        <w:numPr>
          <w:ilvl w:val="0"/>
          <w:numId w:val="0"/>
        </w:numPr>
        <w:spacing w:before="173" w:line="374" w:lineRule="auto"/>
        <w:ind w:leftChars="0" w:right="227" w:rightChars="0" w:firstLine="480" w:firstLineChars="200"/>
        <w:rPr>
          <w:sz w:val="24"/>
        </w:rPr>
      </w:pPr>
      <w:r>
        <w:rPr>
          <w:sz w:val="24"/>
        </w:rPr>
        <w:t>对未经监理人员验收或验收不合格的工程材料、构配件、设备，监理人员应拒绝签认，并应签发监理工程师通知单，书面通知承包人限期将不合格的工程材料、构配件、设备撤出现场。</w:t>
      </w:r>
    </w:p>
    <w:p w14:paraId="1802B21A">
      <w:pPr>
        <w:pStyle w:val="43"/>
        <w:numPr>
          <w:ilvl w:val="0"/>
          <w:numId w:val="26"/>
        </w:numPr>
        <w:spacing w:before="173" w:line="374" w:lineRule="auto"/>
        <w:ind w:left="0" w:leftChars="0" w:right="227" w:firstLine="0" w:firstLineChars="0"/>
        <w:rPr>
          <w:sz w:val="24"/>
        </w:rPr>
      </w:pPr>
      <w:r>
        <w:rPr>
          <w:sz w:val="24"/>
        </w:rPr>
        <w:t>项目监理机构应定期检查承包人的直接影响工程质量的计量设备的技术状况。</w:t>
      </w:r>
    </w:p>
    <w:p w14:paraId="4062A48D">
      <w:pPr>
        <w:pStyle w:val="43"/>
        <w:numPr>
          <w:ilvl w:val="0"/>
          <w:numId w:val="26"/>
        </w:numPr>
        <w:spacing w:before="173" w:line="374" w:lineRule="auto"/>
        <w:ind w:left="0" w:leftChars="0" w:right="227" w:firstLine="0" w:firstLineChars="0"/>
        <w:rPr>
          <w:sz w:val="24"/>
        </w:rPr>
      </w:pPr>
      <w:r>
        <w:rPr>
          <w:sz w:val="24"/>
        </w:rPr>
        <w:t>总监理工程师应安排监理人员对建筑材料设备的进场检验的全过程进行见证， 对施工过程进行巡视和检查（包括重点检查、抽查及专项检查）。对基础工程中土方回填，混凝土灌注桩浇筑，地下连续墙、土钉墙、后浇带及其他结构混凝土、防水混凝土浇筑，卷材防水层细部构造处理，钢结构安装和主体结构工程中梁柱节点钢筋隐蔽过程， 混凝土浇筑，预应力张拉，装配式结构安装，钢结构安装，网架结构安装，索膜安装及委托人要求的其</w:t>
      </w:r>
      <w:r>
        <w:rPr>
          <w:rFonts w:hint="eastAsia"/>
          <w:sz w:val="24"/>
          <w:lang w:val="en-US" w:eastAsia="zh-CN"/>
        </w:rPr>
        <w:t>他</w:t>
      </w:r>
      <w:r>
        <w:rPr>
          <w:sz w:val="24"/>
        </w:rPr>
        <w:t>旁站工作等，专业监理工程师应安排监理员进行旁站，主要职责是：</w:t>
      </w:r>
    </w:p>
    <w:p w14:paraId="2E70C14B">
      <w:pPr>
        <w:pStyle w:val="43"/>
        <w:numPr>
          <w:ilvl w:val="1"/>
          <w:numId w:val="26"/>
        </w:numPr>
        <w:spacing w:before="1" w:line="374" w:lineRule="auto"/>
        <w:ind w:left="0" w:leftChars="0" w:right="239" w:firstLine="0" w:firstLineChars="0"/>
        <w:rPr>
          <w:sz w:val="24"/>
        </w:rPr>
      </w:pPr>
      <w:r>
        <w:rPr>
          <w:sz w:val="24"/>
        </w:rPr>
        <w:t>检查施工企业现场质检人员到岗、特殊工种人员持证上岗以及施工机械、建筑材料准备情况；</w:t>
      </w:r>
    </w:p>
    <w:p w14:paraId="2DAB584D">
      <w:pPr>
        <w:pStyle w:val="43"/>
        <w:numPr>
          <w:ilvl w:val="1"/>
          <w:numId w:val="26"/>
        </w:numPr>
        <w:spacing w:before="1" w:line="374" w:lineRule="auto"/>
        <w:ind w:left="0" w:leftChars="0" w:right="239" w:firstLine="0" w:firstLineChars="0"/>
        <w:rPr>
          <w:sz w:val="24"/>
        </w:rPr>
      </w:pPr>
      <w:r>
        <w:rPr>
          <w:sz w:val="24"/>
        </w:rPr>
        <w:t>在现场跟班监督关键部位、关键工序的施工执行施工方案以及工程建设强制性标准情况；</w:t>
      </w:r>
    </w:p>
    <w:p w14:paraId="04E7C745">
      <w:pPr>
        <w:pStyle w:val="43"/>
        <w:numPr>
          <w:ilvl w:val="1"/>
          <w:numId w:val="26"/>
        </w:numPr>
        <w:spacing w:before="1" w:line="374" w:lineRule="auto"/>
        <w:ind w:left="0" w:leftChars="0" w:right="239" w:firstLine="0" w:firstLineChars="0"/>
        <w:rPr>
          <w:sz w:val="24"/>
        </w:rPr>
      </w:pPr>
      <w:r>
        <w:rPr>
          <w:sz w:val="24"/>
        </w:rPr>
        <w:t>核查进场建筑材料、建筑构配件、设备和商品混凝土的质量检验报告等，并可在现场监督施工企业进行检验或者委托具有资格的第三方进行复验；</w:t>
      </w:r>
    </w:p>
    <w:p w14:paraId="65FC78C3">
      <w:pPr>
        <w:pStyle w:val="43"/>
        <w:numPr>
          <w:ilvl w:val="1"/>
          <w:numId w:val="26"/>
        </w:numPr>
        <w:spacing w:before="1" w:line="374" w:lineRule="auto"/>
        <w:ind w:left="0" w:leftChars="0" w:right="239" w:firstLine="0" w:firstLineChars="0"/>
        <w:rPr>
          <w:sz w:val="24"/>
        </w:rPr>
      </w:pPr>
      <w:r>
        <w:rPr>
          <w:sz w:val="24"/>
        </w:rPr>
        <w:t>做好旁站监理记录和监理日记，保存旁站监理原始资料。</w:t>
      </w:r>
    </w:p>
    <w:p w14:paraId="3AAE37A7">
      <w:pPr>
        <w:pStyle w:val="3"/>
        <w:spacing w:before="172" w:line="374" w:lineRule="auto"/>
        <w:ind w:right="227" w:firstLine="496"/>
        <w:jc w:val="both"/>
      </w:pPr>
      <w:r>
        <w:t>旁站监理人员应当认真履行职责，对需要实施旁站监理的关键部位、关键工序在施工现场跟班监督，及时发现和处理旁站监理过程中出现的质量问题，如实准确地做好旁站监理记录。凡旁站监理人员和施工企业现场质检人员未在旁站监理记录上签字的，不得进行下一道工序施工。</w:t>
      </w:r>
    </w:p>
    <w:p w14:paraId="215DF0A7">
      <w:pPr>
        <w:pStyle w:val="3"/>
        <w:spacing w:before="1" w:line="374" w:lineRule="auto"/>
        <w:ind w:right="227" w:firstLine="496"/>
        <w:jc w:val="both"/>
      </w:pPr>
      <w:r>
        <w:t>旁站监理人员实施旁站监理时，发现施工企业有违反工程建设强制性标准行为的， 有权责令施工企业立即整改；发现其施工活动已经或者可能危及工程质量的，应当及时向监理工程师或者总监理工程师报告，由总监理工程师下达局部暂停施工指令或者采取其他应急措施。</w:t>
      </w:r>
    </w:p>
    <w:p w14:paraId="4D408D6D">
      <w:pPr>
        <w:pStyle w:val="3"/>
        <w:spacing w:before="2" w:line="374" w:lineRule="auto"/>
        <w:ind w:right="227" w:firstLine="496"/>
        <w:jc w:val="both"/>
      </w:pPr>
      <w:r>
        <w:t>旁站监理记录是监理工程师或者总监理工程师依法行使有关签字权的重要依据。对于需要旁站监理的关键部位、关键工序施工，凡没有实施旁站监理或者没有旁站监理记录的，监理工程师或者总监理工程师不得在相应文件上签字。在工程竣工验收后，监理企业应当将旁站监理记录存档备查。</w:t>
      </w:r>
    </w:p>
    <w:p w14:paraId="4BBEB2C1">
      <w:pPr>
        <w:pStyle w:val="43"/>
        <w:numPr>
          <w:ilvl w:val="0"/>
          <w:numId w:val="26"/>
        </w:numPr>
        <w:spacing w:before="1" w:line="374" w:lineRule="auto"/>
        <w:ind w:left="0" w:leftChars="0" w:right="227" w:firstLine="0" w:firstLineChars="0"/>
        <w:rPr>
          <w:sz w:val="24"/>
        </w:rPr>
      </w:pPr>
      <w:r>
        <w:rPr>
          <w:sz w:val="24"/>
        </w:rPr>
        <w:t>专业监理工程师应根据承包人报送的隐蔽工程报验申请表和自检结果进行现场检查，符合要求后予以签认。</w:t>
      </w:r>
    </w:p>
    <w:p w14:paraId="1899B1C0">
      <w:pPr>
        <w:pStyle w:val="3"/>
        <w:spacing w:line="374" w:lineRule="auto"/>
        <w:ind w:right="227" w:firstLine="496"/>
      </w:pPr>
      <w:r>
        <w:t>对未经监理人员验收或验收不合格的工序，监理人员应拒绝签认，并要求承包人严禁进行下一道工序的施工。</w:t>
      </w:r>
    </w:p>
    <w:p w14:paraId="039D54C2">
      <w:pPr>
        <w:pStyle w:val="43"/>
        <w:numPr>
          <w:ilvl w:val="0"/>
          <w:numId w:val="26"/>
        </w:numPr>
        <w:spacing w:before="1" w:line="374" w:lineRule="auto"/>
        <w:ind w:left="0" w:leftChars="0" w:right="227" w:firstLine="0" w:firstLineChars="0"/>
        <w:rPr>
          <w:sz w:val="24"/>
        </w:rPr>
      </w:pPr>
      <w:r>
        <w:rPr>
          <w:sz w:val="24"/>
        </w:rPr>
        <w:t>专业监理工程师应对承包人报送的分项工程质量验评资料进行审核，符合要求后予以签认；总监理工程师应组织监理人员对承包人报送的分部工程和单位工程质量验评资料进行审核和现场检查，符合要求后予以签认。</w:t>
      </w:r>
    </w:p>
    <w:p w14:paraId="359E9E01">
      <w:pPr>
        <w:pStyle w:val="43"/>
        <w:numPr>
          <w:ilvl w:val="0"/>
          <w:numId w:val="26"/>
        </w:numPr>
        <w:spacing w:before="1" w:line="374" w:lineRule="auto"/>
        <w:ind w:left="0" w:leftChars="0" w:right="227" w:firstLine="0" w:firstLineChars="0"/>
        <w:rPr>
          <w:sz w:val="24"/>
        </w:rPr>
      </w:pPr>
      <w:r>
        <w:rPr>
          <w:sz w:val="24"/>
        </w:rPr>
        <w:t>监理单位按照基建程序从工程建设前期法定建设程序资料、施工过程质量控制技术资料、工程验收及备案资料按照与工程同步的原则进行及时收集，保证保管一套完整的工程技术资料。</w:t>
      </w:r>
    </w:p>
    <w:p w14:paraId="3D98DE42">
      <w:pPr>
        <w:pStyle w:val="43"/>
        <w:numPr>
          <w:ilvl w:val="0"/>
          <w:numId w:val="26"/>
        </w:numPr>
        <w:spacing w:before="1" w:line="374" w:lineRule="auto"/>
        <w:ind w:left="0" w:leftChars="0" w:right="227" w:firstLine="0" w:firstLineChars="0"/>
        <w:rPr>
          <w:sz w:val="24"/>
        </w:rPr>
      </w:pPr>
      <w:r>
        <w:rPr>
          <w:sz w:val="24"/>
        </w:rPr>
        <w:t>施工阶段的工程质量控制中的其他监理工作</w:t>
      </w:r>
    </w:p>
    <w:p w14:paraId="293A0109">
      <w:pPr>
        <w:pStyle w:val="43"/>
        <w:numPr>
          <w:ilvl w:val="0"/>
          <w:numId w:val="27"/>
        </w:numPr>
        <w:tabs>
          <w:tab w:val="left" w:pos="0"/>
        </w:tabs>
        <w:spacing w:before="172" w:line="374" w:lineRule="auto"/>
        <w:ind w:left="0" w:leftChars="0" w:right="239" w:firstLine="0" w:firstLineChars="0"/>
        <w:rPr>
          <w:sz w:val="24"/>
        </w:rPr>
      </w:pPr>
      <w:r>
        <w:rPr>
          <w:sz w:val="24"/>
        </w:rPr>
        <w:t>对施工过程中出现的质量缺陷，专业监理工程师应及时下达监理工程师通知， 要求承包人整改，并检查整改结果。</w:t>
      </w:r>
    </w:p>
    <w:p w14:paraId="3B32DB85">
      <w:pPr>
        <w:pStyle w:val="43"/>
        <w:numPr>
          <w:ilvl w:val="0"/>
          <w:numId w:val="27"/>
        </w:numPr>
        <w:tabs>
          <w:tab w:val="left" w:pos="0"/>
        </w:tabs>
        <w:spacing w:before="172" w:line="374" w:lineRule="auto"/>
        <w:ind w:left="0" w:leftChars="0" w:right="239" w:firstLine="0" w:firstLineChars="0"/>
        <w:rPr>
          <w:sz w:val="24"/>
        </w:rPr>
      </w:pPr>
      <w:r>
        <w:rPr>
          <w:sz w:val="24"/>
        </w:rPr>
        <w:t>监理人应在本合同工程的施工阶段开始之前向委托人提交质量事故处理程序。监理人员发现施工存在重大质量隐患，可能造成质量事故或已经造成质量事故时，应通过总监理工程师及时下达工程暂停令，要求承包人停工整改。整改完毕并经监理人员复查，符合规定要求后，总监理工程师应及时签署工程复工报审表。总监理工程师下达工程暂停令和签署工程复工报审表，应事先向委托人报告。</w:t>
      </w:r>
    </w:p>
    <w:p w14:paraId="6FA696D2">
      <w:pPr>
        <w:pStyle w:val="43"/>
        <w:numPr>
          <w:ilvl w:val="0"/>
          <w:numId w:val="27"/>
        </w:numPr>
        <w:tabs>
          <w:tab w:val="left" w:pos="0"/>
        </w:tabs>
        <w:spacing w:before="172" w:line="374" w:lineRule="auto"/>
        <w:ind w:left="0" w:leftChars="0" w:right="239" w:firstLine="0" w:firstLineChars="0"/>
        <w:rPr>
          <w:sz w:val="24"/>
        </w:rPr>
      </w:pPr>
      <w:r>
        <w:rPr>
          <w:sz w:val="24"/>
        </w:rPr>
        <w:t>对需要返工处理或加固补强的质量事故，总监理工程师应责令承包人报送质量事故调查报告和经设计单位等相关单位认可的处理方案，项目监理机构应对质量事故的处理过程和处理结果进行跟踪检查和验收。</w:t>
      </w:r>
    </w:p>
    <w:p w14:paraId="68C2E34B">
      <w:pPr>
        <w:pStyle w:val="43"/>
        <w:numPr>
          <w:ilvl w:val="0"/>
          <w:numId w:val="27"/>
        </w:numPr>
        <w:tabs>
          <w:tab w:val="left" w:pos="0"/>
        </w:tabs>
        <w:spacing w:before="172" w:line="374" w:lineRule="auto"/>
        <w:ind w:left="0" w:leftChars="0" w:right="239" w:firstLine="0" w:firstLineChars="0"/>
        <w:rPr>
          <w:sz w:val="24"/>
        </w:rPr>
      </w:pPr>
      <w:r>
        <w:rPr>
          <w:sz w:val="24"/>
        </w:rPr>
        <w:t>总监理工程师应及时向委托人及本监理单位提交有关质量事故的书面报告，并应将完整的质量事故处理记录整理归档。</w:t>
      </w:r>
    </w:p>
    <w:p w14:paraId="5989027A">
      <w:pPr>
        <w:pStyle w:val="43"/>
        <w:numPr>
          <w:ilvl w:val="0"/>
          <w:numId w:val="27"/>
        </w:numPr>
        <w:tabs>
          <w:tab w:val="left" w:pos="0"/>
        </w:tabs>
        <w:spacing w:before="172" w:line="374" w:lineRule="auto"/>
        <w:ind w:left="0" w:leftChars="0" w:right="239" w:firstLine="0" w:firstLineChars="0"/>
        <w:rPr>
          <w:sz w:val="24"/>
        </w:rPr>
      </w:pPr>
      <w:r>
        <w:rPr>
          <w:sz w:val="24"/>
        </w:rPr>
        <w:t>对承包人的试验室进行考核</w:t>
      </w:r>
    </w:p>
    <w:p w14:paraId="05F8054C">
      <w:pPr>
        <w:pStyle w:val="3"/>
        <w:spacing w:before="173"/>
        <w:ind w:left="0" w:leftChars="0" w:firstLine="240" w:firstLineChars="100"/>
      </w:pPr>
      <w:r>
        <w:t>对承包人的试验室，专业监理工程师应从以下五个方面进行考核：</w:t>
      </w:r>
    </w:p>
    <w:p w14:paraId="7C2B5153">
      <w:pPr>
        <w:pStyle w:val="3"/>
        <w:spacing w:before="132"/>
        <w:ind w:left="0" w:leftChars="0" w:firstLine="0" w:firstLineChars="0"/>
      </w:pPr>
      <w:r>
        <w:rPr>
          <w:sz w:val="24"/>
          <w:szCs w:val="24"/>
        </w:rPr>
        <w:t>① 试</w:t>
      </w:r>
      <w:r>
        <w:t>验室的资质等级及其试验范围；</w:t>
      </w:r>
    </w:p>
    <w:p w14:paraId="4C13174B">
      <w:pPr>
        <w:pStyle w:val="3"/>
        <w:spacing w:before="132"/>
        <w:ind w:left="0" w:leftChars="0" w:firstLine="0" w:firstLineChars="0"/>
      </w:pPr>
      <w:r>
        <w:t>② 法定计量部门对试验设备出具的计量检定证明；</w:t>
      </w:r>
    </w:p>
    <w:p w14:paraId="78294804">
      <w:pPr>
        <w:pStyle w:val="3"/>
        <w:spacing w:before="132"/>
        <w:ind w:left="0" w:leftChars="0" w:firstLine="0" w:firstLineChars="0"/>
      </w:pPr>
      <w:r>
        <w:t>③ 试验室的管理制度；</w:t>
      </w:r>
    </w:p>
    <w:p w14:paraId="77F6A50E">
      <w:pPr>
        <w:pStyle w:val="3"/>
        <w:spacing w:before="132"/>
        <w:ind w:left="0" w:leftChars="0" w:firstLine="0" w:firstLineChars="0"/>
      </w:pPr>
      <w:r>
        <w:t>④ 试验人员的资格证书；</w:t>
      </w:r>
    </w:p>
    <w:p w14:paraId="70A98B49">
      <w:pPr>
        <w:pStyle w:val="3"/>
        <w:spacing w:before="132"/>
        <w:ind w:left="0" w:leftChars="0" w:firstLine="0" w:firstLineChars="0"/>
      </w:pPr>
      <w:r>
        <w:t>⑤ 本工程的试验项目及其要求。</w:t>
      </w:r>
    </w:p>
    <w:p w14:paraId="41148B94">
      <w:pPr>
        <w:pStyle w:val="14"/>
        <w:numPr>
          <w:ilvl w:val="3"/>
          <w:numId w:val="20"/>
        </w:numPr>
        <w:spacing w:before="161"/>
        <w:ind w:left="0" w:leftChars="0" w:firstLine="55" w:firstLineChars="0"/>
      </w:pPr>
      <w:r>
        <w:t>工程造价控制工作</w:t>
      </w:r>
    </w:p>
    <w:p w14:paraId="2CD56186">
      <w:pPr>
        <w:pStyle w:val="43"/>
        <w:numPr>
          <w:ilvl w:val="0"/>
          <w:numId w:val="28"/>
        </w:numPr>
        <w:spacing w:before="172" w:line="374" w:lineRule="auto"/>
        <w:ind w:left="0" w:leftChars="0" w:right="227" w:firstLine="0" w:firstLineChars="0"/>
        <w:rPr>
          <w:sz w:val="24"/>
        </w:rPr>
      </w:pPr>
      <w:r>
        <w:rPr>
          <w:sz w:val="24"/>
        </w:rPr>
        <w:t>项目监理机构应组织施工单位、造价单位、造价咨询单位、设计单位在限定时间完成清标工作；</w:t>
      </w:r>
    </w:p>
    <w:p w14:paraId="0C15BE7A">
      <w:pPr>
        <w:pStyle w:val="43"/>
        <w:numPr>
          <w:ilvl w:val="0"/>
          <w:numId w:val="28"/>
        </w:numPr>
        <w:spacing w:before="172" w:line="374" w:lineRule="auto"/>
        <w:ind w:left="0" w:leftChars="0" w:right="227" w:firstLine="0" w:firstLineChars="0"/>
        <w:rPr>
          <w:sz w:val="24"/>
        </w:rPr>
      </w:pPr>
      <w:r>
        <w:rPr>
          <w:sz w:val="24"/>
        </w:rPr>
        <w:t>项目监理机构应按下列程序进行工程计量和工程款支付工作：</w:t>
      </w:r>
    </w:p>
    <w:p w14:paraId="29780437">
      <w:pPr>
        <w:pStyle w:val="43"/>
        <w:numPr>
          <w:ilvl w:val="1"/>
          <w:numId w:val="28"/>
        </w:numPr>
        <w:spacing w:before="172"/>
        <w:ind w:left="12" w:leftChars="0" w:hanging="12" w:hangingChars="5"/>
        <w:rPr>
          <w:sz w:val="24"/>
        </w:rPr>
      </w:pPr>
      <w:r>
        <w:rPr>
          <w:sz w:val="24"/>
        </w:rPr>
        <w:t>监理人应每日统计承包人实际完成的工程量，并记录于监理日志中；</w:t>
      </w:r>
    </w:p>
    <w:p w14:paraId="42035A42">
      <w:pPr>
        <w:pStyle w:val="43"/>
        <w:numPr>
          <w:ilvl w:val="1"/>
          <w:numId w:val="28"/>
        </w:numPr>
        <w:spacing w:before="172"/>
        <w:ind w:left="12" w:leftChars="0" w:hanging="12" w:hangingChars="5"/>
        <w:rPr>
          <w:sz w:val="24"/>
        </w:rPr>
      </w:pPr>
      <w:r>
        <w:rPr>
          <w:sz w:val="24"/>
        </w:rPr>
        <w:t>专业监理工程师进行现场计量，复核当期验收合格的工程量，按施工合同的约定审核承包人提交的工程量清单和工程款支付申请表，并报总监理工程师审定；</w:t>
      </w:r>
    </w:p>
    <w:p w14:paraId="5DAEC5D6">
      <w:pPr>
        <w:pStyle w:val="43"/>
        <w:numPr>
          <w:ilvl w:val="1"/>
          <w:numId w:val="28"/>
        </w:numPr>
        <w:spacing w:before="172"/>
        <w:ind w:left="12" w:leftChars="0" w:hanging="12" w:hangingChars="5"/>
        <w:rPr>
          <w:sz w:val="24"/>
        </w:rPr>
      </w:pPr>
      <w:r>
        <w:rPr>
          <w:sz w:val="24"/>
        </w:rPr>
        <w:t>总监理工程师对工程量清单和工程款支付申请表进行复核，并报委托人；</w:t>
      </w:r>
    </w:p>
    <w:p w14:paraId="6DBF09F3">
      <w:pPr>
        <w:pStyle w:val="43"/>
        <w:numPr>
          <w:ilvl w:val="1"/>
          <w:numId w:val="28"/>
        </w:numPr>
        <w:spacing w:before="172"/>
        <w:ind w:left="12" w:leftChars="0" w:hanging="12" w:hangingChars="5"/>
        <w:rPr>
          <w:sz w:val="24"/>
        </w:rPr>
      </w:pPr>
      <w:r>
        <w:rPr>
          <w:sz w:val="24"/>
        </w:rPr>
        <w:t>提交月度分包工程支付建议书给委托人。</w:t>
      </w:r>
    </w:p>
    <w:p w14:paraId="36C0D8A0">
      <w:pPr>
        <w:pStyle w:val="43"/>
        <w:numPr>
          <w:ilvl w:val="0"/>
          <w:numId w:val="28"/>
        </w:numPr>
        <w:spacing w:before="172" w:line="374" w:lineRule="auto"/>
        <w:ind w:left="0" w:leftChars="0" w:right="227" w:firstLine="0" w:firstLineChars="0"/>
        <w:rPr>
          <w:sz w:val="24"/>
        </w:rPr>
      </w:pPr>
      <w:r>
        <w:rPr>
          <w:sz w:val="24"/>
        </w:rPr>
        <w:t>项目监理机构应依据施工合同有关条款、施工图，对工程项目造价目标进行风险分析，并制定防范性对策。</w:t>
      </w:r>
    </w:p>
    <w:p w14:paraId="70B69E21">
      <w:pPr>
        <w:pStyle w:val="43"/>
        <w:numPr>
          <w:ilvl w:val="0"/>
          <w:numId w:val="28"/>
        </w:numPr>
        <w:spacing w:before="172" w:line="374" w:lineRule="auto"/>
        <w:ind w:left="0" w:leftChars="0" w:right="227" w:firstLine="0" w:firstLineChars="0"/>
        <w:rPr>
          <w:sz w:val="24"/>
        </w:rPr>
      </w:pPr>
      <w:r>
        <w:rPr>
          <w:sz w:val="24"/>
        </w:rPr>
        <w:t>项目监理机构应按施工合同约定的工程量计算规则和支付条款进行工程量计量和工程款支付。</w:t>
      </w:r>
    </w:p>
    <w:p w14:paraId="0630528D">
      <w:pPr>
        <w:pStyle w:val="43"/>
        <w:numPr>
          <w:ilvl w:val="0"/>
          <w:numId w:val="28"/>
        </w:numPr>
        <w:spacing w:before="172" w:line="374" w:lineRule="auto"/>
        <w:ind w:left="0" w:leftChars="0" w:right="227" w:firstLine="0" w:firstLineChars="0"/>
        <w:rPr>
          <w:sz w:val="24"/>
        </w:rPr>
      </w:pPr>
      <w:r>
        <w:rPr>
          <w:sz w:val="24"/>
        </w:rPr>
        <w:t>专业监理工程师应及时建立月完成工程量和工作量统计表，对实际完成量与计划完成量进行比较、分析，制定调整措施，并应在监理月报中向委托人报告。</w:t>
      </w:r>
    </w:p>
    <w:p w14:paraId="160647D8">
      <w:pPr>
        <w:pStyle w:val="43"/>
        <w:numPr>
          <w:ilvl w:val="0"/>
          <w:numId w:val="28"/>
        </w:numPr>
        <w:spacing w:before="172" w:line="374" w:lineRule="auto"/>
        <w:ind w:left="0" w:leftChars="0" w:right="227" w:firstLine="0" w:firstLineChars="0"/>
        <w:rPr>
          <w:sz w:val="24"/>
        </w:rPr>
      </w:pPr>
      <w:r>
        <w:rPr>
          <w:sz w:val="24"/>
        </w:rPr>
        <w:t>未经监理人员质量验收合格的工程量，或不符合施工合同规定的工程量，监理人员应拒绝计量该部分的工程款支付申请。</w:t>
      </w:r>
    </w:p>
    <w:p w14:paraId="21948F8F">
      <w:pPr>
        <w:pStyle w:val="43"/>
        <w:numPr>
          <w:ilvl w:val="0"/>
          <w:numId w:val="28"/>
        </w:numPr>
        <w:spacing w:before="172" w:line="374" w:lineRule="auto"/>
        <w:ind w:left="0" w:leftChars="0" w:right="227" w:firstLine="0" w:firstLineChars="0"/>
        <w:rPr>
          <w:sz w:val="24"/>
        </w:rPr>
      </w:pPr>
      <w:r>
        <w:rPr>
          <w:sz w:val="24"/>
        </w:rPr>
        <w:t>工程变更的管理</w:t>
      </w:r>
    </w:p>
    <w:p w14:paraId="1A697115">
      <w:pPr>
        <w:pStyle w:val="3"/>
        <w:spacing w:before="172" w:line="374" w:lineRule="auto"/>
        <w:ind w:right="108" w:firstLine="496"/>
      </w:pPr>
      <w:r>
        <w:t>总监理工程师应从造价、项目的功能要求、质量和工期等方面审查工程变更的方案， 并在工程变更实施前与委托人、承包人协商确定工程变更的价款。</w:t>
      </w:r>
    </w:p>
    <w:p w14:paraId="4FC82D60">
      <w:pPr>
        <w:pStyle w:val="43"/>
        <w:numPr>
          <w:ilvl w:val="0"/>
          <w:numId w:val="29"/>
        </w:numPr>
        <w:spacing w:before="1"/>
        <w:ind w:left="12" w:leftChars="0" w:hanging="12" w:hangingChars="5"/>
        <w:rPr>
          <w:sz w:val="24"/>
        </w:rPr>
      </w:pPr>
      <w:r>
        <w:rPr>
          <w:sz w:val="24"/>
        </w:rPr>
        <w:t>项目监理机构应按下列程序处理工程变更：</w:t>
      </w:r>
    </w:p>
    <w:p w14:paraId="12EA3459">
      <w:pPr>
        <w:pStyle w:val="3"/>
        <w:spacing w:before="132" w:line="362" w:lineRule="auto"/>
        <w:ind w:left="0" w:leftChars="0" w:right="228" w:firstLine="0" w:firstLineChars="0"/>
        <w:jc w:val="both"/>
      </w:pPr>
      <w:r>
        <w:rPr>
          <w:sz w:val="24"/>
          <w:szCs w:val="24"/>
        </w:rPr>
        <w:t xml:space="preserve">① </w:t>
      </w:r>
      <w:r>
        <w:t>对承包人提出的工程变更，应提交总监理工程师，由总监理工程师组织专业监理工程师审查。审查同意后，应由委托人转交原设计单位编制设计变更文件。当工程变更涉及安全、环保等内容时，应按规定经有关部门审定。</w:t>
      </w:r>
    </w:p>
    <w:p w14:paraId="62DDEF85">
      <w:pPr>
        <w:pStyle w:val="3"/>
        <w:spacing w:before="132" w:line="362" w:lineRule="auto"/>
        <w:ind w:left="0" w:leftChars="0" w:right="228" w:firstLine="0" w:firstLineChars="0"/>
        <w:jc w:val="both"/>
      </w:pPr>
      <w:r>
        <w:t>② 项目监理机构应了解实际情况和收集与工程变更有关的资料。</w:t>
      </w:r>
    </w:p>
    <w:p w14:paraId="0EC60F32">
      <w:pPr>
        <w:pStyle w:val="3"/>
        <w:spacing w:before="132" w:line="362" w:lineRule="auto"/>
        <w:ind w:left="0" w:leftChars="0" w:right="228" w:firstLine="0" w:firstLineChars="0"/>
        <w:jc w:val="both"/>
      </w:pPr>
      <w:r>
        <w:t>③ 总监理工程师必须根据实际情况、设计变更文件和其他有关资料，按照施工合同的有关条款，在指定专业监理工程师完成下列各项工作后，对工程变更的费用和工期</w:t>
      </w:r>
      <w:r>
        <w:rPr>
          <w:rFonts w:hint="eastAsia"/>
          <w:lang w:val="en-US" w:eastAsia="zh-CN"/>
        </w:rPr>
        <w:t>做</w:t>
      </w:r>
      <w:r>
        <w:t>出评估：</w:t>
      </w:r>
    </w:p>
    <w:p w14:paraId="67EC6FB4">
      <w:pPr>
        <w:pStyle w:val="43"/>
        <w:numPr>
          <w:ilvl w:val="0"/>
          <w:numId w:val="30"/>
        </w:numPr>
        <w:spacing w:before="9"/>
        <w:ind w:left="0" w:leftChars="0" w:firstLine="16" w:firstLineChars="7"/>
        <w:jc w:val="both"/>
        <w:rPr>
          <w:sz w:val="24"/>
        </w:rPr>
      </w:pPr>
      <w:r>
        <w:rPr>
          <w:sz w:val="24"/>
        </w:rPr>
        <w:t>审核工程变更项目与原工程项目之间的类似程度和难易程度；</w:t>
      </w:r>
    </w:p>
    <w:p w14:paraId="4C24ACB5">
      <w:pPr>
        <w:pStyle w:val="43"/>
        <w:numPr>
          <w:ilvl w:val="0"/>
          <w:numId w:val="30"/>
        </w:numPr>
        <w:spacing w:before="9"/>
        <w:ind w:left="0" w:leftChars="0" w:firstLine="16" w:firstLineChars="7"/>
        <w:jc w:val="both"/>
        <w:rPr>
          <w:sz w:val="24"/>
        </w:rPr>
      </w:pPr>
      <w:r>
        <w:rPr>
          <w:sz w:val="24"/>
        </w:rPr>
        <w:t>审核工程变更项目的工程量；</w:t>
      </w:r>
    </w:p>
    <w:p w14:paraId="2FB8C0CB">
      <w:pPr>
        <w:pStyle w:val="43"/>
        <w:numPr>
          <w:ilvl w:val="0"/>
          <w:numId w:val="30"/>
        </w:numPr>
        <w:spacing w:before="9"/>
        <w:ind w:left="0" w:leftChars="0" w:firstLine="16" w:firstLineChars="7"/>
        <w:jc w:val="both"/>
        <w:rPr>
          <w:sz w:val="24"/>
        </w:rPr>
      </w:pPr>
      <w:r>
        <w:rPr>
          <w:sz w:val="24"/>
        </w:rPr>
        <w:t>审核工程变更的单价和总价；</w:t>
      </w:r>
    </w:p>
    <w:p w14:paraId="0412B559">
      <w:pPr>
        <w:pStyle w:val="43"/>
        <w:numPr>
          <w:ilvl w:val="0"/>
          <w:numId w:val="30"/>
        </w:numPr>
        <w:spacing w:before="9"/>
        <w:ind w:left="0" w:leftChars="0" w:firstLine="16" w:firstLineChars="7"/>
        <w:jc w:val="both"/>
        <w:rPr>
          <w:sz w:val="24"/>
        </w:rPr>
      </w:pPr>
      <w:r>
        <w:rPr>
          <w:sz w:val="24"/>
        </w:rPr>
        <w:t>审核工程变更所引起的工期变化。</w:t>
      </w:r>
    </w:p>
    <w:p w14:paraId="7945663D">
      <w:pPr>
        <w:pStyle w:val="3"/>
        <w:spacing w:before="132"/>
        <w:ind w:left="0" w:leftChars="0" w:firstLine="0" w:firstLineChars="0"/>
        <w:jc w:val="both"/>
        <w:rPr>
          <w:sz w:val="24"/>
          <w:szCs w:val="24"/>
        </w:rPr>
      </w:pPr>
      <w:r>
        <w:rPr>
          <w:sz w:val="24"/>
          <w:szCs w:val="24"/>
        </w:rPr>
        <w:t>④ 总监理工程师应就工程变更费用及工期的评估情况与承包人和委托人进行协</w:t>
      </w:r>
    </w:p>
    <w:p w14:paraId="7932175A">
      <w:pPr>
        <w:pStyle w:val="3"/>
        <w:spacing w:before="161"/>
        <w:rPr>
          <w:sz w:val="24"/>
          <w:szCs w:val="24"/>
        </w:rPr>
      </w:pPr>
      <w:r>
        <w:rPr>
          <w:sz w:val="24"/>
          <w:szCs w:val="24"/>
        </w:rPr>
        <w:t>调。</w:t>
      </w:r>
    </w:p>
    <w:p w14:paraId="7BC01814">
      <w:pPr>
        <w:pStyle w:val="3"/>
        <w:spacing w:before="133"/>
        <w:ind w:left="0" w:leftChars="0" w:firstLine="0" w:firstLineChars="0"/>
        <w:rPr>
          <w:sz w:val="24"/>
          <w:szCs w:val="24"/>
        </w:rPr>
      </w:pPr>
      <w:r>
        <w:rPr>
          <w:sz w:val="24"/>
          <w:szCs w:val="24"/>
        </w:rPr>
        <w:t>⑤ 总监理工程师签发工程变更单。工程变更单应包括工程变更要求、工程变更说</w:t>
      </w:r>
    </w:p>
    <w:p w14:paraId="382AFE74">
      <w:pPr>
        <w:pStyle w:val="3"/>
        <w:spacing w:before="161" w:line="374" w:lineRule="auto"/>
        <w:ind w:right="239"/>
        <w:rPr>
          <w:sz w:val="24"/>
          <w:szCs w:val="24"/>
        </w:rPr>
      </w:pPr>
      <w:r>
        <w:rPr>
          <w:sz w:val="24"/>
          <w:szCs w:val="24"/>
        </w:rPr>
        <w:t>明、工程变更费用和工期、必要的附件等内容，有设计变更文件的工程变更应附设计变更文件。</w:t>
      </w:r>
    </w:p>
    <w:p w14:paraId="5489CA2C">
      <w:pPr>
        <w:pStyle w:val="3"/>
        <w:spacing w:line="319" w:lineRule="exact"/>
        <w:ind w:left="0" w:leftChars="0" w:firstLine="0" w:firstLineChars="0"/>
      </w:pPr>
      <w:r>
        <w:rPr>
          <w:sz w:val="24"/>
          <w:szCs w:val="24"/>
        </w:rPr>
        <w:t>⑥ 项</w:t>
      </w:r>
      <w:r>
        <w:t>目监理机构应根据工程变更单监督承包人实施。</w:t>
      </w:r>
    </w:p>
    <w:p w14:paraId="12173DEC">
      <w:pPr>
        <w:pStyle w:val="43"/>
        <w:numPr>
          <w:ilvl w:val="0"/>
          <w:numId w:val="29"/>
        </w:numPr>
        <w:spacing w:before="161"/>
        <w:ind w:left="0" w:leftChars="0" w:firstLine="0" w:firstLineChars="0"/>
        <w:rPr>
          <w:sz w:val="24"/>
        </w:rPr>
      </w:pPr>
      <w:r>
        <w:rPr>
          <w:sz w:val="24"/>
        </w:rPr>
        <w:t>项目监理机构处理工程变更应符合下列要求：</w:t>
      </w:r>
    </w:p>
    <w:p w14:paraId="767721EE">
      <w:pPr>
        <w:pStyle w:val="3"/>
        <w:spacing w:before="133" w:line="362" w:lineRule="auto"/>
        <w:ind w:left="0" w:leftChars="0" w:right="228" w:firstLine="0" w:firstLineChars="0"/>
        <w:jc w:val="both"/>
      </w:pPr>
      <w:r>
        <w:rPr>
          <w:sz w:val="28"/>
        </w:rPr>
        <w:t xml:space="preserve">① </w:t>
      </w:r>
      <w:r>
        <w:t>项目监理机构在工程变更的质量、费用和工期方面取得委托人授权后，应按施工合同规定与承包人进行协商，经协商达成一致后，总监理工程师应将协商结果向委托人通报，并由委托人与承包人在变更文件上签字；</w:t>
      </w:r>
    </w:p>
    <w:p w14:paraId="2773DB17">
      <w:pPr>
        <w:pStyle w:val="3"/>
        <w:spacing w:line="328" w:lineRule="exact"/>
        <w:ind w:left="0" w:leftChars="0" w:firstLine="0" w:firstLineChars="0"/>
        <w:jc w:val="both"/>
      </w:pPr>
      <w:r>
        <w:rPr>
          <w:sz w:val="28"/>
        </w:rPr>
        <w:t xml:space="preserve">② </w:t>
      </w:r>
      <w:r>
        <w:t>在项目监理机构未能就工程变更的质量、费用和工期方面取得委托人授权时，</w:t>
      </w:r>
    </w:p>
    <w:p w14:paraId="4F12BF31">
      <w:pPr>
        <w:pStyle w:val="3"/>
        <w:spacing w:before="161"/>
        <w:rPr>
          <w:rFonts w:hint="eastAsia" w:eastAsia="宋体"/>
          <w:lang w:eastAsia="zh-CN"/>
        </w:rPr>
      </w:pPr>
      <w:r>
        <w:t>总监理工程师应协助委托人和承包人进行协商，并达成一致</w:t>
      </w:r>
      <w:r>
        <w:rPr>
          <w:rFonts w:hint="eastAsia"/>
          <w:lang w:eastAsia="zh-CN"/>
        </w:rPr>
        <w:t>。</w:t>
      </w:r>
    </w:p>
    <w:p w14:paraId="3ADF4A8E">
      <w:pPr>
        <w:pStyle w:val="43"/>
        <w:numPr>
          <w:ilvl w:val="0"/>
          <w:numId w:val="29"/>
        </w:numPr>
        <w:tabs>
          <w:tab w:val="left" w:pos="0"/>
        </w:tabs>
        <w:spacing w:before="173"/>
        <w:ind w:left="12" w:leftChars="0" w:hanging="12" w:hangingChars="5"/>
        <w:rPr>
          <w:sz w:val="24"/>
        </w:rPr>
      </w:pPr>
      <w:r>
        <w:rPr>
          <w:sz w:val="24"/>
        </w:rPr>
        <w:t>在总监理工程师签发工程变更单之前，承包人不得实施工程变更。</w:t>
      </w:r>
    </w:p>
    <w:p w14:paraId="5DB09B1B">
      <w:pPr>
        <w:pStyle w:val="43"/>
        <w:numPr>
          <w:ilvl w:val="0"/>
          <w:numId w:val="29"/>
        </w:numPr>
        <w:tabs>
          <w:tab w:val="left" w:pos="0"/>
        </w:tabs>
        <w:spacing w:before="173"/>
        <w:ind w:left="12" w:leftChars="0" w:hanging="12" w:hangingChars="5"/>
        <w:rPr>
          <w:sz w:val="24"/>
        </w:rPr>
      </w:pPr>
      <w:r>
        <w:rPr>
          <w:sz w:val="24"/>
        </w:rPr>
        <w:t>未经总监理工程师审查同意而实施的工程变更，项目监理机构不得予以计量。</w:t>
      </w:r>
    </w:p>
    <w:p w14:paraId="24A01810">
      <w:pPr>
        <w:pStyle w:val="43"/>
        <w:numPr>
          <w:ilvl w:val="0"/>
          <w:numId w:val="29"/>
        </w:numPr>
        <w:tabs>
          <w:tab w:val="left" w:pos="0"/>
        </w:tabs>
        <w:spacing w:before="173"/>
        <w:ind w:left="12" w:leftChars="0" w:hanging="12" w:hangingChars="5"/>
        <w:rPr>
          <w:sz w:val="24"/>
        </w:rPr>
      </w:pPr>
      <w:r>
        <w:rPr>
          <w:sz w:val="24"/>
        </w:rPr>
        <w:t>监理人必须按月度提交项目造价变更统计表给委托人。</w:t>
      </w:r>
    </w:p>
    <w:p w14:paraId="099FB345">
      <w:pPr>
        <w:pStyle w:val="43"/>
        <w:numPr>
          <w:ilvl w:val="0"/>
          <w:numId w:val="28"/>
        </w:numPr>
        <w:spacing w:before="172"/>
        <w:ind w:left="0" w:leftChars="0" w:firstLine="0" w:firstLineChars="0"/>
        <w:rPr>
          <w:sz w:val="24"/>
        </w:rPr>
      </w:pPr>
      <w:r>
        <w:rPr>
          <w:sz w:val="24"/>
        </w:rPr>
        <w:t>工程签证的管理</w:t>
      </w:r>
    </w:p>
    <w:p w14:paraId="38E3DF82">
      <w:pPr>
        <w:pStyle w:val="3"/>
        <w:spacing w:before="173" w:line="374" w:lineRule="auto"/>
        <w:ind w:right="108" w:firstLine="496"/>
      </w:pPr>
      <w:r>
        <w:t>按委托人工程签证管理的相关规定对工程的现场签证进行管理，因监理人把关不严， 致使该部分工程签证所发生的费用超过合理费用的（以政府结算终审部门审定价对照为准），由监理人按本合同专用条款第四条的有关约定承担违约责任。</w:t>
      </w:r>
    </w:p>
    <w:p w14:paraId="06BA2144">
      <w:pPr>
        <w:pStyle w:val="43"/>
        <w:numPr>
          <w:ilvl w:val="0"/>
          <w:numId w:val="28"/>
        </w:numPr>
        <w:tabs>
          <w:tab w:val="left" w:pos="0"/>
        </w:tabs>
        <w:ind w:left="0" w:leftChars="0" w:firstLine="0" w:firstLineChars="0"/>
        <w:rPr>
          <w:sz w:val="24"/>
        </w:rPr>
      </w:pPr>
      <w:r>
        <w:rPr>
          <w:sz w:val="24"/>
        </w:rPr>
        <w:t>分段结算工作的管理</w:t>
      </w:r>
    </w:p>
    <w:p w14:paraId="1DE42A1F">
      <w:pPr>
        <w:pStyle w:val="43"/>
        <w:numPr>
          <w:ilvl w:val="0"/>
          <w:numId w:val="31"/>
        </w:numPr>
        <w:spacing w:before="173" w:line="374" w:lineRule="auto"/>
        <w:ind w:left="0" w:leftChars="0" w:right="239" w:firstLine="0" w:firstLineChars="0"/>
        <w:jc w:val="both"/>
        <w:rPr>
          <w:sz w:val="24"/>
        </w:rPr>
      </w:pPr>
      <w:r>
        <w:rPr>
          <w:sz w:val="24"/>
        </w:rPr>
        <w:t>为确保本合同工程结算的顺利进行，甲方可能对本合同工程按分部分项或单位工程进行分段结算（单位工程、分部工程或分项工程），乙方在接到甲方关于分段结算配合工作的指令后 7 天内向甲方提交相关的分段结算配合服务工作计划，乙方应根据经过甲方批准的分段结算配合服务工作计划积极配合相关的分段结算工作。</w:t>
      </w:r>
    </w:p>
    <w:p w14:paraId="3AA91066">
      <w:pPr>
        <w:pStyle w:val="43"/>
        <w:numPr>
          <w:ilvl w:val="0"/>
          <w:numId w:val="31"/>
        </w:numPr>
        <w:spacing w:before="173" w:line="374" w:lineRule="auto"/>
        <w:ind w:left="0" w:leftChars="0" w:right="239" w:firstLine="0" w:firstLineChars="0"/>
        <w:jc w:val="both"/>
        <w:rPr>
          <w:sz w:val="24"/>
        </w:rPr>
      </w:pPr>
      <w:r>
        <w:rPr>
          <w:sz w:val="24"/>
        </w:rPr>
        <w:t>监理人应在承包人提交所完成的分部工程的结算文件（包括相关的结算资料）后15 天内完成分段结算的审核工作并将向委托人提交审核报告。如承包人未能在施工合同规定的期限内提交相关结算文件，监理人应立即报告委托人裁处。</w:t>
      </w:r>
    </w:p>
    <w:p w14:paraId="64EEFEBE">
      <w:pPr>
        <w:pStyle w:val="43"/>
        <w:numPr>
          <w:ilvl w:val="0"/>
          <w:numId w:val="31"/>
        </w:numPr>
        <w:spacing w:before="173" w:line="374" w:lineRule="auto"/>
        <w:ind w:left="0" w:leftChars="0" w:right="239" w:firstLine="0" w:firstLineChars="0"/>
        <w:jc w:val="both"/>
        <w:rPr>
          <w:sz w:val="24"/>
        </w:rPr>
      </w:pPr>
      <w:r>
        <w:rPr>
          <w:sz w:val="24"/>
        </w:rPr>
        <w:t>如在施工过程中发生设计变更、新增工程等情况导致已经审定的分段结算的单位工程（分部或分项工程）发生变化的，监理人应在原审定的分段结算的基础上对变更、新增部分按本条约定的程序和要求进行结算审核，形成分段结算补充报告报送委托人。</w:t>
      </w:r>
    </w:p>
    <w:p w14:paraId="5D95EC20">
      <w:pPr>
        <w:pStyle w:val="43"/>
        <w:numPr>
          <w:ilvl w:val="0"/>
          <w:numId w:val="31"/>
        </w:numPr>
        <w:spacing w:before="173" w:line="374" w:lineRule="auto"/>
        <w:ind w:left="0" w:leftChars="0" w:right="239" w:firstLine="0" w:firstLineChars="0"/>
        <w:jc w:val="both"/>
        <w:rPr>
          <w:sz w:val="24"/>
        </w:rPr>
      </w:pPr>
      <w:r>
        <w:rPr>
          <w:sz w:val="24"/>
        </w:rPr>
        <w:t>分段结算涉及到的资料（但不限于以下）：</w:t>
      </w:r>
    </w:p>
    <w:p w14:paraId="4C909EDC">
      <w:pPr>
        <w:spacing w:before="133"/>
        <w:ind w:left="0" w:leftChars="0" w:firstLine="0" w:firstLineChars="0"/>
        <w:rPr>
          <w:sz w:val="24"/>
          <w:szCs w:val="24"/>
        </w:rPr>
      </w:pPr>
      <w:r>
        <w:rPr>
          <w:sz w:val="24"/>
          <w:szCs w:val="24"/>
        </w:rPr>
        <w:t>① 结算书；</w:t>
      </w:r>
    </w:p>
    <w:p w14:paraId="1AA61596">
      <w:pPr>
        <w:pStyle w:val="3"/>
        <w:spacing w:before="121"/>
        <w:ind w:left="0" w:leftChars="0" w:firstLine="0" w:firstLineChars="0"/>
        <w:rPr>
          <w:sz w:val="24"/>
          <w:szCs w:val="24"/>
        </w:rPr>
      </w:pPr>
      <w:r>
        <w:rPr>
          <w:sz w:val="24"/>
          <w:szCs w:val="24"/>
        </w:rPr>
        <w:t>② 工程量计算书（即计算底稿）；</w:t>
      </w:r>
    </w:p>
    <w:p w14:paraId="4AB109EA">
      <w:pPr>
        <w:pStyle w:val="3"/>
        <w:spacing w:before="121"/>
        <w:ind w:left="0" w:leftChars="0" w:firstLine="0" w:firstLineChars="0"/>
        <w:rPr>
          <w:sz w:val="24"/>
          <w:szCs w:val="24"/>
        </w:rPr>
      </w:pPr>
      <w:r>
        <w:rPr>
          <w:sz w:val="24"/>
          <w:szCs w:val="24"/>
        </w:rPr>
        <w:t>③ 钢筋抽料表（建筑、市政、园林景观等工程适用）；</w:t>
      </w:r>
    </w:p>
    <w:p w14:paraId="4EBB4A14">
      <w:pPr>
        <w:spacing w:before="121"/>
        <w:ind w:left="0" w:leftChars="0" w:firstLine="0" w:firstLineChars="0"/>
        <w:rPr>
          <w:sz w:val="24"/>
          <w:szCs w:val="24"/>
        </w:rPr>
      </w:pPr>
      <w:r>
        <w:rPr>
          <w:sz w:val="24"/>
          <w:szCs w:val="24"/>
        </w:rPr>
        <w:t>④ 图纸会审记录；</w:t>
      </w:r>
    </w:p>
    <w:p w14:paraId="3AA2C3BC">
      <w:pPr>
        <w:spacing w:before="122"/>
        <w:ind w:left="0" w:leftChars="0" w:firstLine="0" w:firstLineChars="0"/>
        <w:rPr>
          <w:sz w:val="24"/>
          <w:szCs w:val="24"/>
        </w:rPr>
      </w:pPr>
      <w:r>
        <w:rPr>
          <w:sz w:val="24"/>
          <w:szCs w:val="24"/>
        </w:rPr>
        <w:t>⑤ 设计变更单；</w:t>
      </w:r>
    </w:p>
    <w:p w14:paraId="04C6254F">
      <w:pPr>
        <w:spacing w:before="121"/>
        <w:ind w:left="0" w:leftChars="0" w:firstLine="0" w:firstLineChars="0"/>
        <w:rPr>
          <w:sz w:val="24"/>
          <w:szCs w:val="24"/>
        </w:rPr>
      </w:pPr>
      <w:r>
        <w:rPr>
          <w:sz w:val="24"/>
          <w:szCs w:val="24"/>
        </w:rPr>
        <w:t>⑥ 工程洽商记录；</w:t>
      </w:r>
    </w:p>
    <w:p w14:paraId="65789421">
      <w:pPr>
        <w:pStyle w:val="3"/>
        <w:spacing w:before="121"/>
        <w:ind w:left="0" w:leftChars="0" w:firstLine="0" w:firstLineChars="0"/>
        <w:rPr>
          <w:sz w:val="24"/>
          <w:szCs w:val="24"/>
        </w:rPr>
      </w:pPr>
      <w:r>
        <w:rPr>
          <w:sz w:val="24"/>
          <w:szCs w:val="24"/>
        </w:rPr>
        <w:t>⑦ 总监理工程师通知或委托人施工指令；</w:t>
      </w:r>
    </w:p>
    <w:p w14:paraId="6323FD93">
      <w:pPr>
        <w:spacing w:before="121"/>
        <w:ind w:left="0" w:leftChars="0" w:firstLine="0" w:firstLineChars="0"/>
        <w:rPr>
          <w:sz w:val="24"/>
          <w:szCs w:val="24"/>
        </w:rPr>
      </w:pPr>
      <w:r>
        <w:rPr>
          <w:sz w:val="24"/>
          <w:szCs w:val="24"/>
        </w:rPr>
        <w:t>⑧ 会议纪要；</w:t>
      </w:r>
    </w:p>
    <w:p w14:paraId="702C06E9">
      <w:pPr>
        <w:spacing w:before="122"/>
        <w:ind w:left="0" w:leftChars="0" w:firstLine="0" w:firstLineChars="0"/>
        <w:rPr>
          <w:sz w:val="24"/>
          <w:szCs w:val="24"/>
        </w:rPr>
      </w:pPr>
      <w:r>
        <w:rPr>
          <w:sz w:val="24"/>
          <w:szCs w:val="24"/>
        </w:rPr>
        <w:t>⑨ 工程签证；</w:t>
      </w:r>
    </w:p>
    <w:p w14:paraId="4BD17186">
      <w:pPr>
        <w:spacing w:before="121"/>
        <w:ind w:left="0" w:leftChars="0" w:firstLine="0" w:firstLineChars="0"/>
        <w:rPr>
          <w:rFonts w:ascii="宋体" w:hAnsi="宋体" w:eastAsia="宋体" w:cs="宋体"/>
          <w:sz w:val="24"/>
          <w:szCs w:val="24"/>
        </w:rPr>
      </w:pPr>
      <w:r>
        <w:rPr>
          <w:sz w:val="24"/>
          <w:szCs w:val="24"/>
        </w:rPr>
        <w:t>⑩</w:t>
      </w:r>
      <w:r>
        <w:rPr>
          <w:rFonts w:ascii="宋体" w:hAnsi="宋体" w:eastAsia="宋体" w:cs="宋体"/>
          <w:sz w:val="24"/>
          <w:szCs w:val="24"/>
        </w:rPr>
        <w:t xml:space="preserve"> 材料设备单价呈批审核单；</w:t>
      </w:r>
    </w:p>
    <w:p w14:paraId="53C368B1">
      <w:pPr>
        <w:spacing w:before="121"/>
        <w:ind w:left="0" w:leftChars="0" w:firstLine="0" w:firstLineChars="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eq \o\ac(</w:instrText>
      </w:r>
      <w:r>
        <w:rPr>
          <w:rFonts w:hint="eastAsia" w:ascii="宋体" w:hAnsi="宋体" w:eastAsia="宋体" w:cs="宋体"/>
          <w:position w:val="-4"/>
          <w:sz w:val="36"/>
          <w:szCs w:val="24"/>
        </w:rPr>
        <w:instrText xml:space="preserve">□</w:instrText>
      </w:r>
      <w:r>
        <w:rPr>
          <w:rFonts w:hint="eastAsia" w:ascii="宋体" w:hAnsi="宋体" w:eastAsia="宋体" w:cs="宋体"/>
          <w:position w:val="0"/>
          <w:sz w:val="24"/>
          <w:szCs w:val="24"/>
        </w:rPr>
        <w:instrText xml:space="preserve">,√)</w:instrText>
      </w:r>
      <w:r>
        <w:rPr>
          <w:rFonts w:ascii="宋体" w:hAnsi="宋体" w:eastAsia="宋体" w:cs="宋体"/>
          <w:sz w:val="24"/>
          <w:szCs w:val="24"/>
        </w:rPr>
        <w:fldChar w:fldCharType="end"/>
      </w:r>
      <w:r>
        <w:rPr>
          <w:rFonts w:ascii="宋体" w:hAnsi="宋体" w:eastAsia="宋体" w:cs="宋体"/>
          <w:sz w:val="24"/>
          <w:szCs w:val="24"/>
        </w:rPr>
        <w:t xml:space="preserve"> 综合单价呈批审核单；</w:t>
      </w:r>
    </w:p>
    <w:p w14:paraId="4228D49C">
      <w:pPr>
        <w:spacing w:before="121"/>
        <w:ind w:left="0" w:leftChars="0" w:firstLine="0" w:firstLineChars="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eq \o\ac(</w:instrText>
      </w:r>
      <w:r>
        <w:rPr>
          <w:rFonts w:hint="eastAsia" w:ascii="宋体" w:hAnsi="宋体" w:eastAsia="宋体" w:cs="宋体"/>
          <w:position w:val="-4"/>
          <w:sz w:val="36"/>
          <w:szCs w:val="24"/>
        </w:rPr>
        <w:instrText xml:space="preserve">□</w:instrText>
      </w:r>
      <w:r>
        <w:rPr>
          <w:rFonts w:hint="eastAsia" w:ascii="宋体" w:hAnsi="宋体" w:eastAsia="宋体" w:cs="宋体"/>
          <w:position w:val="0"/>
          <w:sz w:val="24"/>
          <w:szCs w:val="24"/>
        </w:rPr>
        <w:instrText xml:space="preserve">,√)</w:instrText>
      </w:r>
      <w:r>
        <w:rPr>
          <w:rFonts w:ascii="宋体" w:hAnsi="宋体" w:eastAsia="宋体" w:cs="宋体"/>
          <w:sz w:val="24"/>
          <w:szCs w:val="24"/>
        </w:rPr>
        <w:fldChar w:fldCharType="end"/>
      </w:r>
      <w:r>
        <w:rPr>
          <w:rFonts w:ascii="宋体" w:hAnsi="宋体" w:eastAsia="宋体" w:cs="宋体"/>
          <w:sz w:val="24"/>
          <w:szCs w:val="24"/>
        </w:rPr>
        <w:t xml:space="preserve"> 委托人供应材料收货验收签收单；</w:t>
      </w:r>
    </w:p>
    <w:p w14:paraId="06A2151C">
      <w:pPr>
        <w:keepNext w:val="0"/>
        <w:keepLines w:val="0"/>
        <w:pageBreakBefore w:val="0"/>
        <w:widowControl w:val="0"/>
        <w:kinsoku/>
        <w:wordWrap/>
        <w:overflowPunct/>
        <w:topLinePunct w:val="0"/>
        <w:autoSpaceDE w:val="0"/>
        <w:autoSpaceDN w:val="0"/>
        <w:bidi w:val="0"/>
        <w:adjustRightInd/>
        <w:snapToGrid/>
        <w:spacing w:before="121"/>
        <w:ind w:left="0" w:leftChars="0" w:firstLine="0" w:firstLineChars="0"/>
        <w:textAlignment w:val="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eq \o\ac(</w:instrText>
      </w:r>
      <w:r>
        <w:rPr>
          <w:rFonts w:hint="eastAsia" w:ascii="宋体" w:hAnsi="宋体" w:eastAsia="宋体" w:cs="宋体"/>
          <w:position w:val="-4"/>
          <w:sz w:val="36"/>
          <w:szCs w:val="24"/>
        </w:rPr>
        <w:instrText xml:space="preserve">□</w:instrText>
      </w:r>
      <w:r>
        <w:rPr>
          <w:rFonts w:hint="eastAsia" w:ascii="宋体" w:hAnsi="宋体" w:eastAsia="宋体" w:cs="宋体"/>
          <w:position w:val="0"/>
          <w:sz w:val="24"/>
          <w:szCs w:val="24"/>
        </w:rPr>
        <w:instrText xml:space="preserve">,√)</w:instrText>
      </w:r>
      <w:r>
        <w:rPr>
          <w:rFonts w:ascii="宋体" w:hAnsi="宋体" w:eastAsia="宋体" w:cs="宋体"/>
          <w:sz w:val="24"/>
          <w:szCs w:val="24"/>
        </w:rPr>
        <w:fldChar w:fldCharType="end"/>
      </w:r>
      <w:r>
        <w:rPr>
          <w:rFonts w:ascii="宋体" w:hAnsi="宋体" w:eastAsia="宋体" w:cs="宋体"/>
          <w:sz w:val="24"/>
          <w:szCs w:val="24"/>
        </w:rPr>
        <w:t xml:space="preserve"> 验收记录或验收报告；</w:t>
      </w:r>
    </w:p>
    <w:p w14:paraId="1F80AA86">
      <w:pPr>
        <w:spacing w:before="121"/>
        <w:ind w:left="0" w:leftChars="0" w:firstLine="0" w:firstLineChars="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eq \o\ac(</w:instrText>
      </w:r>
      <w:r>
        <w:rPr>
          <w:rFonts w:hint="eastAsia" w:ascii="宋体" w:hAnsi="宋体" w:eastAsia="宋体" w:cs="宋体"/>
          <w:position w:val="-4"/>
          <w:sz w:val="36"/>
          <w:szCs w:val="24"/>
        </w:rPr>
        <w:instrText xml:space="preserve">□</w:instrText>
      </w:r>
      <w:r>
        <w:rPr>
          <w:rFonts w:hint="eastAsia" w:ascii="宋体" w:hAnsi="宋体" w:eastAsia="宋体" w:cs="宋体"/>
          <w:position w:val="0"/>
          <w:sz w:val="24"/>
          <w:szCs w:val="24"/>
        </w:rPr>
        <w:instrText xml:space="preserve">,√)</w:instrText>
      </w:r>
      <w:r>
        <w:rPr>
          <w:rFonts w:ascii="宋体" w:hAnsi="宋体" w:eastAsia="宋体" w:cs="宋体"/>
          <w:sz w:val="24"/>
          <w:szCs w:val="24"/>
        </w:rPr>
        <w:fldChar w:fldCharType="end"/>
      </w:r>
      <w:r>
        <w:rPr>
          <w:rFonts w:ascii="宋体" w:hAnsi="宋体" w:eastAsia="宋体" w:cs="宋体"/>
          <w:sz w:val="24"/>
          <w:szCs w:val="24"/>
        </w:rPr>
        <w:t xml:space="preserve"> 其他分段结算资料；</w:t>
      </w:r>
    </w:p>
    <w:p w14:paraId="58025E10">
      <w:pPr>
        <w:spacing w:before="121"/>
        <w:ind w:left="0" w:leftChars="0" w:firstLine="0" w:firstLineChars="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eq \o\ac(</w:instrText>
      </w:r>
      <w:r>
        <w:rPr>
          <w:rFonts w:hint="eastAsia" w:ascii="宋体" w:hAnsi="宋体" w:eastAsia="宋体" w:cs="宋体"/>
          <w:position w:val="-4"/>
          <w:sz w:val="36"/>
          <w:szCs w:val="24"/>
        </w:rPr>
        <w:instrText xml:space="preserve">□</w:instrText>
      </w:r>
      <w:r>
        <w:rPr>
          <w:rFonts w:hint="eastAsia" w:ascii="宋体" w:hAnsi="宋体" w:eastAsia="宋体" w:cs="宋体"/>
          <w:position w:val="0"/>
          <w:sz w:val="24"/>
          <w:szCs w:val="24"/>
        </w:rPr>
        <w:instrText xml:space="preserve">,√)</w:instrText>
      </w:r>
      <w:r>
        <w:rPr>
          <w:rFonts w:ascii="宋体" w:hAnsi="宋体" w:eastAsia="宋体" w:cs="宋体"/>
          <w:sz w:val="24"/>
          <w:szCs w:val="24"/>
        </w:rPr>
        <w:fldChar w:fldCharType="end"/>
      </w:r>
      <w:r>
        <w:rPr>
          <w:rFonts w:ascii="宋体" w:hAnsi="宋体" w:eastAsia="宋体" w:cs="宋体"/>
          <w:sz w:val="24"/>
          <w:szCs w:val="24"/>
        </w:rPr>
        <w:t xml:space="preserve"> 移交资料签收表。</w:t>
      </w:r>
    </w:p>
    <w:p w14:paraId="6629E3C9">
      <w:pPr>
        <w:pStyle w:val="14"/>
        <w:numPr>
          <w:ilvl w:val="3"/>
          <w:numId w:val="20"/>
        </w:numPr>
        <w:spacing w:before="98"/>
        <w:ind w:left="0" w:leftChars="0" w:firstLine="0" w:firstLineChars="0"/>
      </w:pPr>
      <w:r>
        <w:t>工程进度控制工作</w:t>
      </w:r>
    </w:p>
    <w:p w14:paraId="7D3C4399">
      <w:pPr>
        <w:pStyle w:val="43"/>
        <w:numPr>
          <w:ilvl w:val="0"/>
          <w:numId w:val="32"/>
        </w:numPr>
        <w:tabs>
          <w:tab w:val="left" w:pos="0"/>
        </w:tabs>
        <w:spacing w:before="173"/>
        <w:ind w:left="0" w:leftChars="0" w:firstLine="0" w:firstLineChars="0"/>
        <w:rPr>
          <w:sz w:val="24"/>
        </w:rPr>
      </w:pPr>
      <w:r>
        <w:rPr>
          <w:sz w:val="24"/>
        </w:rPr>
        <w:t>项目监理机构应按下列程序进行工程进度控制：</w:t>
      </w:r>
    </w:p>
    <w:p w14:paraId="5F23C910">
      <w:pPr>
        <w:pStyle w:val="43"/>
        <w:numPr>
          <w:ilvl w:val="1"/>
          <w:numId w:val="32"/>
        </w:numPr>
        <w:tabs>
          <w:tab w:val="left" w:pos="0"/>
        </w:tabs>
        <w:spacing w:before="172"/>
        <w:ind w:left="12" w:leftChars="0" w:hanging="12" w:hangingChars="5"/>
        <w:rPr>
          <w:sz w:val="24"/>
        </w:rPr>
      </w:pPr>
      <w:r>
        <w:rPr>
          <w:sz w:val="24"/>
        </w:rPr>
        <w:t>总监理工程师审批承包人报送的施工总进度计划；</w:t>
      </w:r>
    </w:p>
    <w:p w14:paraId="0126CA98">
      <w:pPr>
        <w:pStyle w:val="43"/>
        <w:numPr>
          <w:ilvl w:val="1"/>
          <w:numId w:val="32"/>
        </w:numPr>
        <w:tabs>
          <w:tab w:val="left" w:pos="0"/>
        </w:tabs>
        <w:spacing w:before="172"/>
        <w:ind w:left="12" w:leftChars="0" w:hanging="12" w:hangingChars="5"/>
        <w:rPr>
          <w:sz w:val="24"/>
        </w:rPr>
      </w:pPr>
      <w:r>
        <w:rPr>
          <w:sz w:val="24"/>
        </w:rPr>
        <w:t>总监理工程师审批承包人编制的年、季、月度施工进度计划；</w:t>
      </w:r>
    </w:p>
    <w:p w14:paraId="52849FC2">
      <w:pPr>
        <w:pStyle w:val="43"/>
        <w:numPr>
          <w:ilvl w:val="1"/>
          <w:numId w:val="32"/>
        </w:numPr>
        <w:tabs>
          <w:tab w:val="left" w:pos="0"/>
        </w:tabs>
        <w:spacing w:before="172"/>
        <w:ind w:left="12" w:leftChars="0" w:hanging="12" w:hangingChars="5"/>
        <w:rPr>
          <w:sz w:val="24"/>
        </w:rPr>
      </w:pPr>
      <w:r>
        <w:rPr>
          <w:sz w:val="24"/>
        </w:rPr>
        <w:t>专业监理工程师对进度计划实施情况检查、分析；</w:t>
      </w:r>
    </w:p>
    <w:p w14:paraId="5A150C71">
      <w:pPr>
        <w:pStyle w:val="43"/>
        <w:numPr>
          <w:ilvl w:val="1"/>
          <w:numId w:val="32"/>
        </w:numPr>
        <w:tabs>
          <w:tab w:val="left" w:pos="0"/>
        </w:tabs>
        <w:spacing w:before="172"/>
        <w:ind w:left="12" w:leftChars="0" w:hanging="12" w:hangingChars="5"/>
        <w:rPr>
          <w:sz w:val="24"/>
        </w:rPr>
      </w:pPr>
      <w:r>
        <w:rPr>
          <w:sz w:val="24"/>
        </w:rPr>
        <w:t>当实际进度符合计划进度时，应要求承包人编制下一期进度计划；当实际进度滞后于计划进度时，专业监理工程师应书面通知承包人采取纠偏措施并监督实施。</w:t>
      </w:r>
    </w:p>
    <w:p w14:paraId="76F0B1C1">
      <w:pPr>
        <w:pStyle w:val="43"/>
        <w:numPr>
          <w:ilvl w:val="0"/>
          <w:numId w:val="32"/>
        </w:numPr>
        <w:spacing w:line="374" w:lineRule="auto"/>
        <w:ind w:left="0" w:leftChars="0" w:right="227" w:hanging="3" w:firstLineChars="0"/>
        <w:jc w:val="both"/>
        <w:rPr>
          <w:sz w:val="24"/>
        </w:rPr>
      </w:pPr>
      <w:r>
        <w:rPr>
          <w:sz w:val="24"/>
        </w:rPr>
        <w:t>专业监理工程师应依据施工合同有关条款、施工图及经过批准的施工组织设计制定进度控制方案，对进度目标进行风险分析，制定防范性对策，经总监理工程师审定后报送委托人。</w:t>
      </w:r>
    </w:p>
    <w:p w14:paraId="2BEFA987">
      <w:pPr>
        <w:pStyle w:val="43"/>
        <w:numPr>
          <w:ilvl w:val="0"/>
          <w:numId w:val="32"/>
        </w:numPr>
        <w:spacing w:line="374" w:lineRule="auto"/>
        <w:ind w:left="0" w:leftChars="0" w:right="227" w:hanging="3" w:firstLineChars="0"/>
        <w:jc w:val="both"/>
        <w:rPr>
          <w:sz w:val="24"/>
        </w:rPr>
      </w:pPr>
      <w:r>
        <w:rPr>
          <w:sz w:val="24"/>
        </w:rPr>
        <w:t>专业监理工程师应检查进度计划的实施，并记录实际进度及其相关情况。</w:t>
      </w:r>
    </w:p>
    <w:p w14:paraId="7EB608CA">
      <w:pPr>
        <w:pStyle w:val="43"/>
        <w:numPr>
          <w:ilvl w:val="0"/>
          <w:numId w:val="32"/>
        </w:numPr>
        <w:spacing w:line="374" w:lineRule="auto"/>
        <w:ind w:left="0" w:leftChars="0" w:right="227" w:hanging="3" w:firstLineChars="0"/>
        <w:jc w:val="both"/>
        <w:rPr>
          <w:sz w:val="24"/>
        </w:rPr>
      </w:pPr>
      <w:r>
        <w:rPr>
          <w:sz w:val="24"/>
        </w:rPr>
        <w:t>施工阶段的工程进度控制中的其他监理工作</w:t>
      </w:r>
    </w:p>
    <w:p w14:paraId="4CEAFC72">
      <w:pPr>
        <w:pStyle w:val="3"/>
        <w:spacing w:before="172" w:line="374" w:lineRule="auto"/>
        <w:ind w:right="227" w:firstLine="496"/>
        <w:jc w:val="both"/>
      </w:pPr>
      <w:r>
        <w:t>当发现实际进度滞后于计划进度时，应签发监理工程师通知单指令承包人采取调整措施。当实际进度严重滞后于计划进度时应及时报总监理工程师，由总监理工程师与委托人商定采取进一步措施。</w:t>
      </w:r>
    </w:p>
    <w:p w14:paraId="4A3C019E">
      <w:pPr>
        <w:pStyle w:val="3"/>
        <w:spacing w:before="1" w:line="374" w:lineRule="auto"/>
        <w:ind w:right="227" w:firstLine="496"/>
      </w:pPr>
      <w:r>
        <w:t>总监理工程师应在监理月报中向委托人报告工程进度和所采取进度控制措施的执行情况，并提出合理预防由于委托人原因导致的工程延期及其相关费用索赔的建议。</w:t>
      </w:r>
    </w:p>
    <w:p w14:paraId="2A4CA28F">
      <w:pPr>
        <w:pStyle w:val="14"/>
        <w:numPr>
          <w:ilvl w:val="3"/>
          <w:numId w:val="20"/>
        </w:numPr>
        <w:tabs>
          <w:tab w:val="left" w:pos="0"/>
        </w:tabs>
        <w:spacing w:before="1"/>
        <w:ind w:left="0" w:leftChars="0" w:firstLine="0" w:firstLineChars="0"/>
      </w:pPr>
      <w:r>
        <w:t>工程职业健康安全控制工作</w:t>
      </w:r>
    </w:p>
    <w:p w14:paraId="6BBF4A52">
      <w:pPr>
        <w:pStyle w:val="43"/>
        <w:numPr>
          <w:ilvl w:val="0"/>
          <w:numId w:val="33"/>
        </w:numPr>
        <w:tabs>
          <w:tab w:val="left" w:pos="0"/>
        </w:tabs>
        <w:spacing w:before="172"/>
        <w:ind w:left="0" w:leftChars="0" w:firstLine="0" w:firstLineChars="0"/>
        <w:rPr>
          <w:sz w:val="24"/>
        </w:rPr>
      </w:pPr>
      <w:r>
        <w:rPr>
          <w:sz w:val="24"/>
        </w:rPr>
        <w:t>工程职业健康安全控制应遵循下列程序：</w:t>
      </w:r>
    </w:p>
    <w:p w14:paraId="17C91FD9">
      <w:pPr>
        <w:pStyle w:val="43"/>
        <w:numPr>
          <w:ilvl w:val="1"/>
          <w:numId w:val="33"/>
        </w:numPr>
        <w:tabs>
          <w:tab w:val="left" w:pos="0"/>
        </w:tabs>
        <w:spacing w:before="173"/>
        <w:ind w:left="0" w:leftChars="0" w:firstLine="0" w:firstLineChars="0"/>
        <w:rPr>
          <w:sz w:val="24"/>
        </w:rPr>
      </w:pPr>
      <w:r>
        <w:rPr>
          <w:sz w:val="24"/>
        </w:rPr>
        <w:t>确定施工职业健康安全目标；</w:t>
      </w:r>
    </w:p>
    <w:p w14:paraId="0906C897">
      <w:pPr>
        <w:pStyle w:val="43"/>
        <w:numPr>
          <w:ilvl w:val="1"/>
          <w:numId w:val="33"/>
        </w:numPr>
        <w:tabs>
          <w:tab w:val="left" w:pos="0"/>
        </w:tabs>
        <w:spacing w:before="173"/>
        <w:ind w:left="0" w:leftChars="0" w:firstLine="0" w:firstLineChars="0"/>
        <w:rPr>
          <w:sz w:val="24"/>
        </w:rPr>
      </w:pPr>
      <w:r>
        <w:rPr>
          <w:sz w:val="24"/>
        </w:rPr>
        <w:t>编制工程职业健康安全保证计划；</w:t>
      </w:r>
    </w:p>
    <w:p w14:paraId="24BE98A3">
      <w:pPr>
        <w:pStyle w:val="43"/>
        <w:numPr>
          <w:ilvl w:val="1"/>
          <w:numId w:val="33"/>
        </w:numPr>
        <w:tabs>
          <w:tab w:val="left" w:pos="0"/>
        </w:tabs>
        <w:spacing w:before="173"/>
        <w:ind w:left="0" w:leftChars="0" w:firstLine="0" w:firstLineChars="0"/>
        <w:rPr>
          <w:sz w:val="24"/>
        </w:rPr>
      </w:pPr>
      <w:r>
        <w:rPr>
          <w:sz w:val="24"/>
        </w:rPr>
        <w:t>实施工程职业健康安全计划；</w:t>
      </w:r>
    </w:p>
    <w:p w14:paraId="161EE502">
      <w:pPr>
        <w:pStyle w:val="43"/>
        <w:numPr>
          <w:ilvl w:val="1"/>
          <w:numId w:val="33"/>
        </w:numPr>
        <w:tabs>
          <w:tab w:val="left" w:pos="0"/>
        </w:tabs>
        <w:spacing w:before="173"/>
        <w:ind w:left="0" w:leftChars="0" w:firstLine="0" w:firstLineChars="0"/>
        <w:rPr>
          <w:sz w:val="24"/>
        </w:rPr>
      </w:pPr>
      <w:r>
        <w:rPr>
          <w:sz w:val="24"/>
        </w:rPr>
        <w:t>工程职业健康安全保证计划验证；</w:t>
      </w:r>
    </w:p>
    <w:p w14:paraId="6B3CFC4C">
      <w:pPr>
        <w:pStyle w:val="43"/>
        <w:numPr>
          <w:ilvl w:val="1"/>
          <w:numId w:val="33"/>
        </w:numPr>
        <w:tabs>
          <w:tab w:val="left" w:pos="0"/>
        </w:tabs>
        <w:spacing w:before="173"/>
        <w:ind w:left="0" w:leftChars="0" w:firstLine="0" w:firstLineChars="0"/>
        <w:rPr>
          <w:sz w:val="24"/>
        </w:rPr>
      </w:pPr>
      <w:r>
        <w:rPr>
          <w:sz w:val="24"/>
        </w:rPr>
        <w:t>持续改进。</w:t>
      </w:r>
    </w:p>
    <w:p w14:paraId="43183FE4">
      <w:pPr>
        <w:pStyle w:val="43"/>
        <w:numPr>
          <w:ilvl w:val="0"/>
          <w:numId w:val="33"/>
        </w:numPr>
        <w:tabs>
          <w:tab w:val="left" w:pos="0"/>
        </w:tabs>
        <w:spacing w:before="172" w:line="374" w:lineRule="auto"/>
        <w:ind w:left="0" w:leftChars="0" w:right="227" w:firstLine="0" w:firstLineChars="0"/>
        <w:rPr>
          <w:sz w:val="24"/>
        </w:rPr>
      </w:pPr>
      <w:r>
        <w:rPr>
          <w:sz w:val="24"/>
        </w:rPr>
        <w:t>编制安全监理实施细则，对施工中人的不安全行为、物的不安全状态、作业环境的不安全因素和管理缺陷进行相应的安全控制。</w:t>
      </w:r>
    </w:p>
    <w:p w14:paraId="1DABE271">
      <w:pPr>
        <w:pStyle w:val="43"/>
        <w:numPr>
          <w:ilvl w:val="0"/>
          <w:numId w:val="33"/>
        </w:numPr>
        <w:tabs>
          <w:tab w:val="left" w:pos="0"/>
        </w:tabs>
        <w:spacing w:before="172" w:line="374" w:lineRule="auto"/>
        <w:ind w:left="0" w:leftChars="0" w:right="227" w:firstLine="0" w:firstLineChars="0"/>
        <w:rPr>
          <w:sz w:val="24"/>
        </w:rPr>
      </w:pPr>
      <w:r>
        <w:rPr>
          <w:sz w:val="24"/>
        </w:rPr>
        <w:t>检查项目施工安全目标的要求配置的资源是否满足需要。</w:t>
      </w:r>
    </w:p>
    <w:p w14:paraId="2B8FFC90">
      <w:pPr>
        <w:pStyle w:val="43"/>
        <w:numPr>
          <w:ilvl w:val="0"/>
          <w:numId w:val="33"/>
        </w:numPr>
        <w:tabs>
          <w:tab w:val="left" w:pos="0"/>
        </w:tabs>
        <w:spacing w:before="172" w:line="374" w:lineRule="auto"/>
        <w:ind w:left="0" w:leftChars="0" w:right="227" w:firstLine="0" w:firstLineChars="0"/>
        <w:rPr>
          <w:sz w:val="24"/>
        </w:rPr>
      </w:pPr>
      <w:r>
        <w:rPr>
          <w:sz w:val="24"/>
        </w:rPr>
        <w:t>要求承包人对结构复杂、施工难度大、专业性强的项目和达到一定规模的危险性较大的分部分项工程编制专项施工方案，必要时，组织专家进行论证、审查：</w:t>
      </w:r>
    </w:p>
    <w:p w14:paraId="2633D022">
      <w:pPr>
        <w:pStyle w:val="43"/>
        <w:numPr>
          <w:ilvl w:val="1"/>
          <w:numId w:val="33"/>
        </w:numPr>
        <w:tabs>
          <w:tab w:val="left" w:pos="0"/>
        </w:tabs>
        <w:spacing w:before="173"/>
        <w:ind w:left="0" w:leftChars="0" w:firstLine="0" w:firstLineChars="0"/>
        <w:rPr>
          <w:sz w:val="24"/>
        </w:rPr>
      </w:pPr>
      <w:r>
        <w:rPr>
          <w:sz w:val="24"/>
        </w:rPr>
        <w:t>基坑支护及降水工程；</w:t>
      </w:r>
    </w:p>
    <w:p w14:paraId="77C77153">
      <w:pPr>
        <w:pStyle w:val="43"/>
        <w:numPr>
          <w:ilvl w:val="1"/>
          <w:numId w:val="33"/>
        </w:numPr>
        <w:tabs>
          <w:tab w:val="left" w:pos="0"/>
        </w:tabs>
        <w:spacing w:before="173"/>
        <w:ind w:left="0" w:leftChars="0" w:firstLine="0" w:firstLineChars="0"/>
        <w:rPr>
          <w:sz w:val="24"/>
        </w:rPr>
      </w:pPr>
      <w:r>
        <w:rPr>
          <w:sz w:val="24"/>
        </w:rPr>
        <w:t>土方开挖工程；</w:t>
      </w:r>
    </w:p>
    <w:p w14:paraId="72E0FC63">
      <w:pPr>
        <w:pStyle w:val="43"/>
        <w:numPr>
          <w:ilvl w:val="1"/>
          <w:numId w:val="33"/>
        </w:numPr>
        <w:tabs>
          <w:tab w:val="left" w:pos="0"/>
        </w:tabs>
        <w:spacing w:before="173"/>
        <w:ind w:left="0" w:leftChars="0" w:firstLine="0" w:firstLineChars="0"/>
        <w:rPr>
          <w:sz w:val="24"/>
        </w:rPr>
      </w:pPr>
      <w:r>
        <w:rPr>
          <w:sz w:val="24"/>
        </w:rPr>
        <w:t>模板工程；</w:t>
      </w:r>
    </w:p>
    <w:p w14:paraId="404156DA">
      <w:pPr>
        <w:pStyle w:val="43"/>
        <w:numPr>
          <w:ilvl w:val="1"/>
          <w:numId w:val="33"/>
        </w:numPr>
        <w:tabs>
          <w:tab w:val="left" w:pos="0"/>
        </w:tabs>
        <w:spacing w:before="173"/>
        <w:ind w:left="0" w:leftChars="0" w:firstLine="0" w:firstLineChars="0"/>
        <w:rPr>
          <w:sz w:val="24"/>
        </w:rPr>
      </w:pPr>
      <w:r>
        <w:rPr>
          <w:sz w:val="24"/>
        </w:rPr>
        <w:t>起重吊装工程；</w:t>
      </w:r>
    </w:p>
    <w:p w14:paraId="7BDCA44C">
      <w:pPr>
        <w:pStyle w:val="43"/>
        <w:numPr>
          <w:ilvl w:val="1"/>
          <w:numId w:val="33"/>
        </w:numPr>
        <w:tabs>
          <w:tab w:val="left" w:pos="0"/>
        </w:tabs>
        <w:spacing w:before="173"/>
        <w:ind w:left="0" w:leftChars="0" w:firstLine="0" w:firstLineChars="0"/>
        <w:rPr>
          <w:sz w:val="24"/>
        </w:rPr>
      </w:pPr>
      <w:r>
        <w:rPr>
          <w:sz w:val="24"/>
        </w:rPr>
        <w:t>脚手架工程；</w:t>
      </w:r>
    </w:p>
    <w:p w14:paraId="5229C416">
      <w:pPr>
        <w:pStyle w:val="43"/>
        <w:numPr>
          <w:ilvl w:val="1"/>
          <w:numId w:val="33"/>
        </w:numPr>
        <w:tabs>
          <w:tab w:val="left" w:pos="0"/>
        </w:tabs>
        <w:spacing w:before="173"/>
        <w:ind w:left="0" w:leftChars="0" w:firstLine="0" w:firstLineChars="0"/>
        <w:rPr>
          <w:sz w:val="24"/>
        </w:rPr>
      </w:pPr>
      <w:r>
        <w:rPr>
          <w:sz w:val="24"/>
        </w:rPr>
        <w:t>拆除、爆破工程；</w:t>
      </w:r>
    </w:p>
    <w:p w14:paraId="1EA3B43D">
      <w:pPr>
        <w:pStyle w:val="43"/>
        <w:numPr>
          <w:ilvl w:val="1"/>
          <w:numId w:val="33"/>
        </w:numPr>
        <w:tabs>
          <w:tab w:val="left" w:pos="0"/>
        </w:tabs>
        <w:spacing w:before="173"/>
        <w:ind w:left="0" w:leftChars="0" w:firstLine="0" w:firstLineChars="0"/>
        <w:rPr>
          <w:sz w:val="24"/>
        </w:rPr>
      </w:pPr>
      <w:r>
        <w:rPr>
          <w:sz w:val="24"/>
        </w:rPr>
        <w:t>其他危险性较大的工程。</w:t>
      </w:r>
    </w:p>
    <w:p w14:paraId="55F12117">
      <w:pPr>
        <w:pStyle w:val="43"/>
        <w:numPr>
          <w:ilvl w:val="0"/>
          <w:numId w:val="33"/>
        </w:numPr>
        <w:tabs>
          <w:tab w:val="left" w:pos="0"/>
        </w:tabs>
        <w:spacing w:before="172" w:line="374" w:lineRule="auto"/>
        <w:ind w:left="0" w:leftChars="0" w:right="227" w:firstLine="0" w:firstLineChars="0"/>
        <w:rPr>
          <w:sz w:val="24"/>
        </w:rPr>
      </w:pPr>
      <w:r>
        <w:rPr>
          <w:sz w:val="24"/>
        </w:rPr>
        <w:t>定期组织安全控制计划的执行情况并进行检查考核和评价，对施工中存在的不安全行为和隐患，分析原因并制定相应整改防范措施。</w:t>
      </w:r>
    </w:p>
    <w:p w14:paraId="39858C93">
      <w:pPr>
        <w:pStyle w:val="43"/>
        <w:numPr>
          <w:ilvl w:val="0"/>
          <w:numId w:val="33"/>
        </w:numPr>
        <w:tabs>
          <w:tab w:val="left" w:pos="0"/>
        </w:tabs>
        <w:spacing w:before="172" w:line="374" w:lineRule="auto"/>
        <w:ind w:left="0" w:leftChars="0" w:right="227" w:firstLine="0" w:firstLineChars="0"/>
        <w:rPr>
          <w:sz w:val="24"/>
        </w:rPr>
      </w:pPr>
      <w:r>
        <w:rPr>
          <w:sz w:val="24"/>
        </w:rPr>
        <w:t>采取随机抽样、现场观察、实地检测相结合的方法进行安全检查，并记录检测结果。对现场管理人员的违章指挥和操作人员的违章作业行为应进行纠正。</w:t>
      </w:r>
    </w:p>
    <w:p w14:paraId="632E7353">
      <w:pPr>
        <w:pStyle w:val="43"/>
        <w:numPr>
          <w:ilvl w:val="0"/>
          <w:numId w:val="33"/>
        </w:numPr>
        <w:tabs>
          <w:tab w:val="left" w:pos="0"/>
        </w:tabs>
        <w:spacing w:before="172" w:line="374" w:lineRule="auto"/>
        <w:ind w:left="0" w:leftChars="0" w:right="227" w:firstLine="0" w:firstLineChars="0"/>
        <w:rPr>
          <w:sz w:val="24"/>
        </w:rPr>
      </w:pPr>
      <w:r>
        <w:rPr>
          <w:sz w:val="24"/>
        </w:rPr>
        <w:t>对检查结果进行分析，找出安全隐患部位，确定危险程度。</w:t>
      </w:r>
    </w:p>
    <w:p w14:paraId="44723D49">
      <w:pPr>
        <w:pStyle w:val="43"/>
        <w:numPr>
          <w:ilvl w:val="0"/>
          <w:numId w:val="33"/>
        </w:numPr>
        <w:tabs>
          <w:tab w:val="left" w:pos="0"/>
        </w:tabs>
        <w:spacing w:before="172" w:line="374" w:lineRule="auto"/>
        <w:ind w:left="0" w:leftChars="0" w:right="227" w:firstLine="0" w:firstLineChars="0"/>
        <w:rPr>
          <w:sz w:val="24"/>
        </w:rPr>
      </w:pPr>
      <w:r>
        <w:rPr>
          <w:sz w:val="24"/>
        </w:rPr>
        <w:t>对检查出的隐患立即发出安全隐患整改通知单。受检单位应对安全隐患原因进行分析，制定和落实纠正和预防措施。</w:t>
      </w:r>
    </w:p>
    <w:p w14:paraId="76C5DE38">
      <w:pPr>
        <w:pStyle w:val="43"/>
        <w:numPr>
          <w:ilvl w:val="0"/>
          <w:numId w:val="33"/>
        </w:numPr>
        <w:tabs>
          <w:tab w:val="left" w:pos="0"/>
        </w:tabs>
        <w:spacing w:before="172" w:line="374" w:lineRule="auto"/>
        <w:ind w:left="0" w:leftChars="0" w:right="227" w:firstLine="0" w:firstLineChars="0"/>
        <w:rPr>
          <w:sz w:val="24"/>
        </w:rPr>
      </w:pPr>
      <w:r>
        <w:rPr>
          <w:sz w:val="24"/>
        </w:rPr>
        <w:t>对纠正预防措施的实施过程和实施效果应进行跟踪检查，保存验证记录。</w:t>
      </w:r>
    </w:p>
    <w:p w14:paraId="7352D08E">
      <w:pPr>
        <w:pStyle w:val="43"/>
        <w:numPr>
          <w:ilvl w:val="0"/>
          <w:numId w:val="33"/>
        </w:numPr>
        <w:tabs>
          <w:tab w:val="left" w:pos="0"/>
        </w:tabs>
        <w:spacing w:before="172" w:line="374" w:lineRule="auto"/>
        <w:ind w:left="0" w:leftChars="0" w:right="227" w:firstLine="0" w:firstLineChars="0"/>
        <w:rPr>
          <w:sz w:val="24"/>
        </w:rPr>
      </w:pPr>
      <w:r>
        <w:rPr>
          <w:sz w:val="24"/>
        </w:rPr>
        <w:t>职业健康安全质量事故的处理</w:t>
      </w:r>
    </w:p>
    <w:p w14:paraId="05B3B011">
      <w:pPr>
        <w:pStyle w:val="3"/>
        <w:spacing w:before="173" w:line="374" w:lineRule="auto"/>
        <w:ind w:right="227" w:firstLine="496"/>
        <w:jc w:val="both"/>
      </w:pPr>
      <w:r>
        <w:t>对于发生的安全质量事故，监理人及时向委托人及政府相关部门报告，同时应积极保护事故现场，收集相关的原始资料。监理人在调查事故情况并分析原因、责任后，并将事故调查分析报告提交委托人及政府相关部门。监理人同时应提交相应的防范措施建议书以防止同类事故再次发生。</w:t>
      </w:r>
    </w:p>
    <w:p w14:paraId="3CA7D2A9">
      <w:pPr>
        <w:pStyle w:val="14"/>
        <w:numPr>
          <w:ilvl w:val="3"/>
          <w:numId w:val="20"/>
        </w:numPr>
        <w:spacing w:before="1"/>
        <w:ind w:left="0" w:leftChars="0" w:firstLine="0" w:firstLineChars="0"/>
        <w:jc w:val="both"/>
      </w:pPr>
      <w:r>
        <w:t>工程材料设备控制工作</w:t>
      </w:r>
    </w:p>
    <w:p w14:paraId="44CE1DB7">
      <w:pPr>
        <w:pStyle w:val="43"/>
        <w:numPr>
          <w:ilvl w:val="0"/>
          <w:numId w:val="34"/>
        </w:numPr>
        <w:spacing w:before="172"/>
        <w:ind w:left="-1" w:leftChars="0" w:firstLine="0" w:firstLineChars="0"/>
        <w:rPr>
          <w:sz w:val="24"/>
        </w:rPr>
      </w:pPr>
      <w:r>
        <w:rPr>
          <w:sz w:val="24"/>
        </w:rPr>
        <w:t>甲供材料设备的管理，包括：</w:t>
      </w:r>
    </w:p>
    <w:p w14:paraId="7D46FAFC">
      <w:pPr>
        <w:pStyle w:val="43"/>
        <w:numPr>
          <w:ilvl w:val="1"/>
          <w:numId w:val="34"/>
        </w:numPr>
        <w:spacing w:before="173"/>
        <w:ind w:left="0" w:leftChars="0" w:firstLine="0" w:firstLineChars="0"/>
        <w:rPr>
          <w:sz w:val="24"/>
        </w:rPr>
      </w:pPr>
      <w:r>
        <w:rPr>
          <w:sz w:val="24"/>
        </w:rPr>
        <w:t>审核施工单位编制的机电设备安装、调试、验收计划；</w:t>
      </w:r>
    </w:p>
    <w:p w14:paraId="64065220">
      <w:pPr>
        <w:pStyle w:val="43"/>
        <w:numPr>
          <w:ilvl w:val="1"/>
          <w:numId w:val="34"/>
        </w:numPr>
        <w:spacing w:before="173"/>
        <w:ind w:left="0" w:leftChars="0" w:firstLine="0" w:firstLineChars="0"/>
        <w:rPr>
          <w:sz w:val="24"/>
        </w:rPr>
      </w:pPr>
      <w:r>
        <w:rPr>
          <w:sz w:val="24"/>
        </w:rPr>
        <w:t>主持施工图交底审查会；</w:t>
      </w:r>
    </w:p>
    <w:p w14:paraId="2453D7C1">
      <w:pPr>
        <w:pStyle w:val="43"/>
        <w:numPr>
          <w:ilvl w:val="1"/>
          <w:numId w:val="34"/>
        </w:numPr>
        <w:spacing w:before="173"/>
        <w:ind w:left="0" w:leftChars="0" w:firstLine="0" w:firstLineChars="0"/>
        <w:rPr>
          <w:sz w:val="24"/>
        </w:rPr>
      </w:pPr>
      <w:r>
        <w:rPr>
          <w:sz w:val="24"/>
        </w:rPr>
        <w:t>检查施工单位为设备提供运输所需通道和卸货作业场地及设备仓库或符合要求的材料堆放场地的落实情况；</w:t>
      </w:r>
    </w:p>
    <w:p w14:paraId="58915C74">
      <w:pPr>
        <w:pStyle w:val="43"/>
        <w:numPr>
          <w:ilvl w:val="1"/>
          <w:numId w:val="34"/>
        </w:numPr>
        <w:spacing w:before="173"/>
        <w:ind w:left="0" w:leftChars="0" w:firstLine="0" w:firstLineChars="0"/>
        <w:rPr>
          <w:sz w:val="24"/>
        </w:rPr>
      </w:pPr>
      <w:r>
        <w:rPr>
          <w:sz w:val="24"/>
        </w:rPr>
        <w:t>参加设备的到货验收、开箱检验，并签署相关文件；</w:t>
      </w:r>
    </w:p>
    <w:p w14:paraId="26F9B2F1">
      <w:pPr>
        <w:pStyle w:val="43"/>
        <w:numPr>
          <w:ilvl w:val="1"/>
          <w:numId w:val="34"/>
        </w:numPr>
        <w:spacing w:before="173"/>
        <w:ind w:left="0" w:leftChars="0" w:firstLine="0" w:firstLineChars="0"/>
        <w:rPr>
          <w:sz w:val="24"/>
        </w:rPr>
      </w:pPr>
      <w:r>
        <w:rPr>
          <w:sz w:val="24"/>
        </w:rPr>
        <w:t>负责机电设备安装、调试、验收过程中的质量、安全、进度控制。</w:t>
      </w:r>
    </w:p>
    <w:p w14:paraId="7BFF11AD">
      <w:pPr>
        <w:pStyle w:val="43"/>
        <w:numPr>
          <w:ilvl w:val="0"/>
          <w:numId w:val="34"/>
        </w:numPr>
        <w:spacing w:before="58"/>
        <w:ind w:left="0" w:leftChars="0" w:firstLine="0" w:firstLineChars="0"/>
        <w:rPr>
          <w:sz w:val="24"/>
        </w:rPr>
      </w:pPr>
      <w:r>
        <w:rPr>
          <w:sz w:val="24"/>
        </w:rPr>
        <w:t>甲招乙供材料设备的管理，包括：</w:t>
      </w:r>
    </w:p>
    <w:p w14:paraId="4293D658">
      <w:pPr>
        <w:pStyle w:val="43"/>
        <w:numPr>
          <w:ilvl w:val="1"/>
          <w:numId w:val="34"/>
        </w:numPr>
        <w:spacing w:before="173"/>
        <w:ind w:left="0" w:leftChars="0" w:firstLine="0" w:firstLineChars="0"/>
        <w:rPr>
          <w:sz w:val="24"/>
        </w:rPr>
      </w:pPr>
      <w:r>
        <w:rPr>
          <w:sz w:val="24"/>
        </w:rPr>
        <w:t>协助委托人针对甲招乙供材料设备开展的公开招标活动；</w:t>
      </w:r>
    </w:p>
    <w:p w14:paraId="464DD279">
      <w:pPr>
        <w:pStyle w:val="43"/>
        <w:numPr>
          <w:ilvl w:val="1"/>
          <w:numId w:val="34"/>
        </w:numPr>
        <w:spacing w:before="173"/>
        <w:ind w:left="0" w:leftChars="0" w:firstLine="0" w:firstLineChars="0"/>
        <w:rPr>
          <w:sz w:val="24"/>
        </w:rPr>
      </w:pPr>
      <w:r>
        <w:rPr>
          <w:sz w:val="24"/>
        </w:rPr>
        <w:t>督促并审核施工单位签订材料设备供货合同及合同款的支付情况；</w:t>
      </w:r>
    </w:p>
    <w:p w14:paraId="28CA5E8C">
      <w:pPr>
        <w:pStyle w:val="43"/>
        <w:numPr>
          <w:ilvl w:val="1"/>
          <w:numId w:val="34"/>
        </w:numPr>
        <w:spacing w:before="173"/>
        <w:ind w:left="0" w:leftChars="0" w:firstLine="0" w:firstLineChars="0"/>
        <w:rPr>
          <w:sz w:val="24"/>
        </w:rPr>
      </w:pPr>
      <w:r>
        <w:rPr>
          <w:sz w:val="24"/>
        </w:rPr>
        <w:t>审核并批准施工单位编制的材料设备生产和到货进度计划；</w:t>
      </w:r>
    </w:p>
    <w:p w14:paraId="561EBEFA">
      <w:pPr>
        <w:pStyle w:val="43"/>
        <w:numPr>
          <w:ilvl w:val="1"/>
          <w:numId w:val="34"/>
        </w:numPr>
        <w:spacing w:before="173"/>
        <w:ind w:left="0" w:leftChars="0" w:firstLine="0" w:firstLineChars="0"/>
        <w:rPr>
          <w:sz w:val="24"/>
        </w:rPr>
      </w:pPr>
      <w:r>
        <w:rPr>
          <w:sz w:val="24"/>
        </w:rPr>
        <w:t>审核施工单位编制的机电设备安装、调试、验收计划；</w:t>
      </w:r>
    </w:p>
    <w:p w14:paraId="2AC3E501">
      <w:pPr>
        <w:pStyle w:val="43"/>
        <w:numPr>
          <w:ilvl w:val="1"/>
          <w:numId w:val="34"/>
        </w:numPr>
        <w:spacing w:before="173"/>
        <w:ind w:left="0" w:leftChars="0" w:firstLine="0" w:firstLineChars="0"/>
        <w:rPr>
          <w:sz w:val="24"/>
        </w:rPr>
      </w:pPr>
      <w:r>
        <w:rPr>
          <w:sz w:val="24"/>
        </w:rPr>
        <w:t>检查施工单位为设备提供运输所需通道和卸货作业场地及设备仓库或符合要求的材料堆放场地的落实情况；</w:t>
      </w:r>
    </w:p>
    <w:p w14:paraId="0AA7A8B3">
      <w:pPr>
        <w:pStyle w:val="43"/>
        <w:numPr>
          <w:ilvl w:val="1"/>
          <w:numId w:val="34"/>
        </w:numPr>
        <w:spacing w:before="173"/>
        <w:ind w:left="0" w:leftChars="0" w:firstLine="0" w:firstLineChars="0"/>
        <w:rPr>
          <w:sz w:val="24"/>
        </w:rPr>
      </w:pPr>
      <w:r>
        <w:rPr>
          <w:sz w:val="24"/>
        </w:rPr>
        <w:t>参加设备的到货验收、开箱检验，并签署相关文件；</w:t>
      </w:r>
    </w:p>
    <w:p w14:paraId="19CE6200">
      <w:pPr>
        <w:pStyle w:val="43"/>
        <w:numPr>
          <w:ilvl w:val="1"/>
          <w:numId w:val="34"/>
        </w:numPr>
        <w:spacing w:before="173"/>
        <w:ind w:left="0" w:leftChars="0" w:firstLine="0" w:firstLineChars="0"/>
        <w:rPr>
          <w:sz w:val="24"/>
        </w:rPr>
      </w:pPr>
      <w:r>
        <w:rPr>
          <w:sz w:val="24"/>
        </w:rPr>
        <w:t>负责机电设备安装、调试、验收过程中的投资、质量、进度控制；</w:t>
      </w:r>
    </w:p>
    <w:p w14:paraId="0DF386F9">
      <w:pPr>
        <w:pStyle w:val="43"/>
        <w:numPr>
          <w:ilvl w:val="1"/>
          <w:numId w:val="34"/>
        </w:numPr>
        <w:spacing w:before="173"/>
        <w:ind w:left="0" w:leftChars="0" w:firstLine="0" w:firstLineChars="0"/>
        <w:rPr>
          <w:sz w:val="24"/>
        </w:rPr>
      </w:pPr>
      <w:r>
        <w:rPr>
          <w:sz w:val="24"/>
        </w:rPr>
        <w:t>审核施工单位提供的材料设备的结算资料。</w:t>
      </w:r>
    </w:p>
    <w:p w14:paraId="7279E759">
      <w:pPr>
        <w:pStyle w:val="43"/>
        <w:numPr>
          <w:ilvl w:val="0"/>
          <w:numId w:val="34"/>
        </w:numPr>
        <w:spacing w:before="173"/>
        <w:ind w:left="0" w:leftChars="0" w:firstLine="0" w:firstLineChars="0"/>
        <w:rPr>
          <w:sz w:val="24"/>
        </w:rPr>
      </w:pPr>
      <w:r>
        <w:rPr>
          <w:sz w:val="24"/>
        </w:rPr>
        <w:t>甲管乙供材料设备的管理，包括：</w:t>
      </w:r>
    </w:p>
    <w:p w14:paraId="6D93CD4E">
      <w:pPr>
        <w:pStyle w:val="43"/>
        <w:numPr>
          <w:ilvl w:val="1"/>
          <w:numId w:val="34"/>
        </w:numPr>
        <w:spacing w:before="173"/>
        <w:ind w:left="0" w:leftChars="0" w:firstLine="0" w:firstLineChars="0"/>
        <w:rPr>
          <w:sz w:val="24"/>
        </w:rPr>
      </w:pPr>
      <w:r>
        <w:rPr>
          <w:sz w:val="24"/>
        </w:rPr>
        <w:t>协助委托人针对甲管乙供材料设备的公开择优竞价活动；</w:t>
      </w:r>
    </w:p>
    <w:p w14:paraId="19EE439D">
      <w:pPr>
        <w:pStyle w:val="43"/>
        <w:numPr>
          <w:ilvl w:val="1"/>
          <w:numId w:val="34"/>
        </w:numPr>
        <w:spacing w:before="173"/>
        <w:ind w:left="0" w:leftChars="0" w:firstLine="0" w:firstLineChars="0"/>
        <w:rPr>
          <w:sz w:val="24"/>
        </w:rPr>
      </w:pPr>
      <w:r>
        <w:rPr>
          <w:sz w:val="24"/>
        </w:rPr>
        <w:t>督促并审核施工单位签订材料设备供货合同及合同款的支付情况；</w:t>
      </w:r>
    </w:p>
    <w:p w14:paraId="51BB104B">
      <w:pPr>
        <w:pStyle w:val="43"/>
        <w:numPr>
          <w:ilvl w:val="1"/>
          <w:numId w:val="34"/>
        </w:numPr>
        <w:spacing w:before="173"/>
        <w:ind w:left="0" w:leftChars="0" w:firstLine="0" w:firstLineChars="0"/>
        <w:rPr>
          <w:sz w:val="24"/>
        </w:rPr>
      </w:pPr>
      <w:r>
        <w:rPr>
          <w:sz w:val="24"/>
        </w:rPr>
        <w:t>审核施工单位提供的材料设备数量；</w:t>
      </w:r>
    </w:p>
    <w:p w14:paraId="4405C8D3">
      <w:pPr>
        <w:pStyle w:val="43"/>
        <w:numPr>
          <w:ilvl w:val="1"/>
          <w:numId w:val="34"/>
        </w:numPr>
        <w:spacing w:before="173"/>
        <w:ind w:left="0" w:leftChars="0" w:firstLine="0" w:firstLineChars="0"/>
        <w:rPr>
          <w:sz w:val="24"/>
        </w:rPr>
      </w:pPr>
      <w:r>
        <w:rPr>
          <w:sz w:val="24"/>
        </w:rPr>
        <w:t>审核并批准施工单位编制的材料设备生产和到货进度计划；</w:t>
      </w:r>
    </w:p>
    <w:p w14:paraId="3B47ED51">
      <w:pPr>
        <w:pStyle w:val="43"/>
        <w:numPr>
          <w:ilvl w:val="1"/>
          <w:numId w:val="34"/>
        </w:numPr>
        <w:spacing w:before="173"/>
        <w:ind w:left="0" w:leftChars="0" w:firstLine="0" w:firstLineChars="0"/>
        <w:rPr>
          <w:sz w:val="24"/>
        </w:rPr>
      </w:pPr>
      <w:r>
        <w:rPr>
          <w:sz w:val="24"/>
        </w:rPr>
        <w:t>监督检查施工单位对材料设备生产的质量控制；</w:t>
      </w:r>
    </w:p>
    <w:p w14:paraId="2A64A641">
      <w:pPr>
        <w:pStyle w:val="43"/>
        <w:numPr>
          <w:ilvl w:val="1"/>
          <w:numId w:val="34"/>
        </w:numPr>
        <w:spacing w:before="173"/>
        <w:ind w:left="0" w:leftChars="0" w:firstLine="0" w:firstLineChars="0"/>
        <w:rPr>
          <w:sz w:val="24"/>
        </w:rPr>
      </w:pPr>
      <w:r>
        <w:rPr>
          <w:sz w:val="24"/>
        </w:rPr>
        <w:t>参加出厂验收；</w:t>
      </w:r>
    </w:p>
    <w:p w14:paraId="6BF93E4C">
      <w:pPr>
        <w:pStyle w:val="43"/>
        <w:numPr>
          <w:ilvl w:val="1"/>
          <w:numId w:val="34"/>
        </w:numPr>
        <w:spacing w:before="173"/>
        <w:ind w:left="0" w:leftChars="0" w:firstLine="0" w:firstLineChars="0"/>
        <w:rPr>
          <w:sz w:val="24"/>
        </w:rPr>
      </w:pPr>
      <w:r>
        <w:rPr>
          <w:sz w:val="24"/>
        </w:rPr>
        <w:t>审核施工单位编制的材料设备安装、调试、验收计划；</w:t>
      </w:r>
    </w:p>
    <w:p w14:paraId="431A629B">
      <w:pPr>
        <w:pStyle w:val="43"/>
        <w:numPr>
          <w:ilvl w:val="1"/>
          <w:numId w:val="34"/>
        </w:numPr>
        <w:spacing w:before="173"/>
        <w:ind w:left="0" w:leftChars="0" w:firstLine="0" w:firstLineChars="0"/>
        <w:rPr>
          <w:sz w:val="24"/>
        </w:rPr>
      </w:pPr>
      <w:r>
        <w:rPr>
          <w:sz w:val="24"/>
        </w:rPr>
        <w:t>主持施工图交底审查会；</w:t>
      </w:r>
    </w:p>
    <w:p w14:paraId="328605FF">
      <w:pPr>
        <w:pStyle w:val="43"/>
        <w:numPr>
          <w:ilvl w:val="1"/>
          <w:numId w:val="34"/>
        </w:numPr>
        <w:spacing w:before="173"/>
        <w:ind w:left="0" w:leftChars="0" w:firstLine="0" w:firstLineChars="0"/>
        <w:rPr>
          <w:sz w:val="24"/>
        </w:rPr>
      </w:pPr>
      <w:r>
        <w:rPr>
          <w:sz w:val="24"/>
        </w:rPr>
        <w:t>检查施工单位为材料设备提供运输所需通道和卸货作业场地及材料设备仓库或符合要求的材料堆放场地的落实情况；</w:t>
      </w:r>
    </w:p>
    <w:p w14:paraId="4E268490">
      <w:pPr>
        <w:pStyle w:val="43"/>
        <w:numPr>
          <w:ilvl w:val="1"/>
          <w:numId w:val="34"/>
        </w:numPr>
        <w:spacing w:before="173"/>
        <w:ind w:left="0" w:leftChars="0" w:firstLine="0" w:firstLineChars="0"/>
        <w:rPr>
          <w:sz w:val="24"/>
        </w:rPr>
      </w:pPr>
      <w:r>
        <w:rPr>
          <w:sz w:val="24"/>
        </w:rPr>
        <w:t>参加材料设备的到货验收、开箱检验，并签署相关文件；</w:t>
      </w:r>
    </w:p>
    <w:p w14:paraId="796A13E4">
      <w:pPr>
        <w:pStyle w:val="43"/>
        <w:numPr>
          <w:ilvl w:val="1"/>
          <w:numId w:val="34"/>
        </w:numPr>
        <w:spacing w:before="173"/>
        <w:ind w:left="0" w:leftChars="0" w:firstLine="0" w:firstLineChars="0"/>
        <w:rPr>
          <w:sz w:val="24"/>
        </w:rPr>
      </w:pPr>
      <w:r>
        <w:rPr>
          <w:sz w:val="24"/>
        </w:rPr>
        <w:t>负责材料设备安装、调试、验收过程中的投资、质量、进度控制；</w:t>
      </w:r>
    </w:p>
    <w:p w14:paraId="45D87A47">
      <w:pPr>
        <w:pStyle w:val="43"/>
        <w:numPr>
          <w:ilvl w:val="1"/>
          <w:numId w:val="34"/>
        </w:numPr>
        <w:spacing w:before="173"/>
        <w:ind w:left="0" w:leftChars="0" w:firstLine="0" w:firstLineChars="0"/>
        <w:rPr>
          <w:sz w:val="24"/>
        </w:rPr>
      </w:pPr>
      <w:r>
        <w:rPr>
          <w:sz w:val="24"/>
        </w:rPr>
        <w:t>审核施工单位提供的材料设备的结算资料；</w:t>
      </w:r>
    </w:p>
    <w:p w14:paraId="5548EAFC">
      <w:pPr>
        <w:pStyle w:val="43"/>
        <w:numPr>
          <w:ilvl w:val="1"/>
          <w:numId w:val="34"/>
        </w:numPr>
        <w:spacing w:before="173"/>
        <w:ind w:left="0" w:leftChars="0" w:firstLine="0" w:firstLineChars="0"/>
        <w:rPr>
          <w:sz w:val="24"/>
        </w:rPr>
      </w:pPr>
      <w:r>
        <w:rPr>
          <w:sz w:val="24"/>
        </w:rPr>
        <w:t>检查质量保证期工作。</w:t>
      </w:r>
    </w:p>
    <w:p w14:paraId="4768B850">
      <w:pPr>
        <w:pStyle w:val="43"/>
        <w:numPr>
          <w:ilvl w:val="0"/>
          <w:numId w:val="34"/>
        </w:numPr>
        <w:tabs>
          <w:tab w:val="left" w:pos="0"/>
        </w:tabs>
        <w:spacing w:before="173"/>
        <w:ind w:left="0" w:leftChars="0" w:firstLine="0" w:firstLineChars="0"/>
        <w:rPr>
          <w:sz w:val="24"/>
        </w:rPr>
      </w:pPr>
      <w:r>
        <w:rPr>
          <w:sz w:val="24"/>
        </w:rPr>
        <w:t>乙供材料设备的管理，包括：</w:t>
      </w:r>
    </w:p>
    <w:p w14:paraId="22A0665C">
      <w:pPr>
        <w:pStyle w:val="43"/>
        <w:numPr>
          <w:ilvl w:val="1"/>
          <w:numId w:val="34"/>
        </w:numPr>
        <w:spacing w:before="173"/>
        <w:ind w:left="0" w:leftChars="0" w:firstLine="0" w:firstLineChars="0"/>
        <w:rPr>
          <w:sz w:val="24"/>
        </w:rPr>
      </w:pPr>
      <w:r>
        <w:rPr>
          <w:sz w:val="24"/>
        </w:rPr>
        <w:t>审核工程总体材料设备使用计划和月度材料设备分批使用计划；</w:t>
      </w:r>
    </w:p>
    <w:p w14:paraId="332ED6FE">
      <w:pPr>
        <w:pStyle w:val="43"/>
        <w:numPr>
          <w:ilvl w:val="1"/>
          <w:numId w:val="34"/>
        </w:numPr>
        <w:spacing w:before="173"/>
        <w:ind w:left="0" w:leftChars="0" w:firstLine="0" w:firstLineChars="0"/>
        <w:rPr>
          <w:sz w:val="24"/>
        </w:rPr>
      </w:pPr>
      <w:r>
        <w:rPr>
          <w:sz w:val="24"/>
        </w:rPr>
        <w:t>审核施工单位选定的材料设备合格供货商并对样品进行封存；</w:t>
      </w:r>
    </w:p>
    <w:p w14:paraId="715C9B1D">
      <w:pPr>
        <w:pStyle w:val="43"/>
        <w:numPr>
          <w:ilvl w:val="1"/>
          <w:numId w:val="34"/>
        </w:numPr>
        <w:spacing w:before="173"/>
        <w:ind w:left="0" w:leftChars="0" w:firstLine="0" w:firstLineChars="0"/>
        <w:rPr>
          <w:sz w:val="24"/>
        </w:rPr>
      </w:pPr>
      <w:r>
        <w:rPr>
          <w:sz w:val="24"/>
        </w:rPr>
        <w:t>督促并审核施工单位签订材料设备供货合同；</w:t>
      </w:r>
    </w:p>
    <w:p w14:paraId="5244D217">
      <w:pPr>
        <w:pStyle w:val="43"/>
        <w:numPr>
          <w:ilvl w:val="1"/>
          <w:numId w:val="34"/>
        </w:numPr>
        <w:spacing w:before="173"/>
        <w:ind w:left="0" w:leftChars="0" w:firstLine="0" w:firstLineChars="0"/>
        <w:rPr>
          <w:sz w:val="24"/>
        </w:rPr>
      </w:pPr>
      <w:r>
        <w:rPr>
          <w:sz w:val="24"/>
        </w:rPr>
        <w:t>组织施工单位拟定准确的材料设备进场计划，及时进行材料设备的采购及供货；</w:t>
      </w:r>
    </w:p>
    <w:p w14:paraId="6BCF03F1">
      <w:pPr>
        <w:pStyle w:val="43"/>
        <w:numPr>
          <w:ilvl w:val="1"/>
          <w:numId w:val="34"/>
        </w:numPr>
        <w:spacing w:before="173"/>
        <w:ind w:left="0" w:leftChars="0" w:firstLine="0" w:firstLineChars="0"/>
        <w:rPr>
          <w:sz w:val="24"/>
        </w:rPr>
      </w:pPr>
      <w:r>
        <w:rPr>
          <w:sz w:val="24"/>
        </w:rPr>
        <w:t>组织施工单位认真清点到货材料设备，在安装材料设备过程中及安装后应进行监督、检验，把好质量关；</w:t>
      </w:r>
    </w:p>
    <w:p w14:paraId="250CE7BB">
      <w:pPr>
        <w:pStyle w:val="43"/>
        <w:numPr>
          <w:ilvl w:val="1"/>
          <w:numId w:val="34"/>
        </w:numPr>
        <w:spacing w:before="173"/>
        <w:ind w:left="0" w:leftChars="0" w:firstLine="0" w:firstLineChars="0"/>
        <w:rPr>
          <w:sz w:val="24"/>
        </w:rPr>
      </w:pPr>
      <w:r>
        <w:rPr>
          <w:sz w:val="24"/>
        </w:rPr>
        <w:t>对施工单位所定材料设备规格、型号、数量、质量必须严格把关，发现货不对板情况应及时向委托人汇报；</w:t>
      </w:r>
    </w:p>
    <w:p w14:paraId="471418F2">
      <w:pPr>
        <w:pStyle w:val="43"/>
        <w:numPr>
          <w:ilvl w:val="1"/>
          <w:numId w:val="34"/>
        </w:numPr>
        <w:spacing w:before="173"/>
        <w:ind w:left="0" w:leftChars="0" w:firstLine="0" w:firstLineChars="0"/>
        <w:rPr>
          <w:sz w:val="24"/>
        </w:rPr>
      </w:pPr>
      <w:r>
        <w:rPr>
          <w:sz w:val="24"/>
        </w:rPr>
        <w:t>负责材料设备安装、调试、验收过程中的投资、质量、进度控制；</w:t>
      </w:r>
    </w:p>
    <w:p w14:paraId="62BBD675">
      <w:pPr>
        <w:pStyle w:val="43"/>
        <w:numPr>
          <w:ilvl w:val="1"/>
          <w:numId w:val="34"/>
        </w:numPr>
        <w:spacing w:before="173"/>
        <w:ind w:left="0" w:leftChars="0" w:firstLine="0" w:firstLineChars="0"/>
        <w:rPr>
          <w:sz w:val="24"/>
        </w:rPr>
      </w:pPr>
      <w:r>
        <w:rPr>
          <w:sz w:val="24"/>
        </w:rPr>
        <w:t>审核施工单位提供的材料设备的结算资料；</w:t>
      </w:r>
    </w:p>
    <w:p w14:paraId="2D4A9CB6">
      <w:pPr>
        <w:pStyle w:val="43"/>
        <w:numPr>
          <w:ilvl w:val="1"/>
          <w:numId w:val="34"/>
        </w:numPr>
        <w:spacing w:before="173"/>
        <w:ind w:left="0" w:leftChars="0" w:firstLine="0" w:firstLineChars="0"/>
        <w:rPr>
          <w:sz w:val="24"/>
        </w:rPr>
      </w:pPr>
      <w:r>
        <w:rPr>
          <w:sz w:val="24"/>
        </w:rPr>
        <w:t>检查质量保证期工作。</w:t>
      </w:r>
    </w:p>
    <w:p w14:paraId="006A03FF">
      <w:pPr>
        <w:pStyle w:val="43"/>
        <w:numPr>
          <w:ilvl w:val="0"/>
          <w:numId w:val="34"/>
        </w:numPr>
        <w:spacing w:before="173"/>
        <w:ind w:left="0" w:leftChars="0" w:firstLine="0" w:firstLineChars="0"/>
        <w:rPr>
          <w:sz w:val="24"/>
        </w:rPr>
      </w:pPr>
      <w:r>
        <w:rPr>
          <w:sz w:val="24"/>
        </w:rPr>
        <w:t>建筑装饰材料的管理，包括：</w:t>
      </w:r>
    </w:p>
    <w:p w14:paraId="392F19BF">
      <w:pPr>
        <w:pStyle w:val="43"/>
        <w:numPr>
          <w:ilvl w:val="1"/>
          <w:numId w:val="34"/>
        </w:numPr>
        <w:spacing w:before="173"/>
        <w:ind w:left="0" w:leftChars="0" w:firstLine="0" w:firstLineChars="0"/>
        <w:rPr>
          <w:sz w:val="24"/>
        </w:rPr>
      </w:pPr>
      <w:r>
        <w:rPr>
          <w:sz w:val="24"/>
        </w:rPr>
        <w:t>协助委托人进行材料管理及采购策划；</w:t>
      </w:r>
    </w:p>
    <w:p w14:paraId="6B147F85">
      <w:pPr>
        <w:pStyle w:val="43"/>
        <w:numPr>
          <w:ilvl w:val="1"/>
          <w:numId w:val="34"/>
        </w:numPr>
        <w:spacing w:before="173"/>
        <w:ind w:left="0" w:leftChars="0" w:firstLine="0" w:firstLineChars="0"/>
        <w:rPr>
          <w:sz w:val="24"/>
        </w:rPr>
      </w:pPr>
      <w:r>
        <w:rPr>
          <w:sz w:val="24"/>
        </w:rPr>
        <w:t>协助委托人选定合格材料供货商；</w:t>
      </w:r>
    </w:p>
    <w:p w14:paraId="109B0442">
      <w:pPr>
        <w:pStyle w:val="43"/>
        <w:numPr>
          <w:ilvl w:val="1"/>
          <w:numId w:val="34"/>
        </w:numPr>
        <w:spacing w:before="173"/>
        <w:ind w:left="0" w:leftChars="0" w:firstLine="0" w:firstLineChars="0"/>
        <w:rPr>
          <w:sz w:val="24"/>
        </w:rPr>
      </w:pPr>
      <w:r>
        <w:rPr>
          <w:sz w:val="24"/>
        </w:rPr>
        <w:t>协助并督促施工单位签订材料供货合同；</w:t>
      </w:r>
    </w:p>
    <w:p w14:paraId="63183759">
      <w:pPr>
        <w:pStyle w:val="43"/>
        <w:numPr>
          <w:ilvl w:val="1"/>
          <w:numId w:val="34"/>
        </w:numPr>
        <w:spacing w:before="173"/>
        <w:ind w:left="0" w:leftChars="0" w:firstLine="0" w:firstLineChars="0"/>
        <w:rPr>
          <w:sz w:val="24"/>
        </w:rPr>
      </w:pPr>
      <w:r>
        <w:rPr>
          <w:sz w:val="24"/>
        </w:rPr>
        <w:t>督促施工单位拟定准确的分批次订货计划，及时进行材料的采购及供货；</w:t>
      </w:r>
    </w:p>
    <w:p w14:paraId="6E191FCC">
      <w:pPr>
        <w:pStyle w:val="43"/>
        <w:numPr>
          <w:ilvl w:val="1"/>
          <w:numId w:val="34"/>
        </w:numPr>
        <w:spacing w:before="173"/>
        <w:ind w:left="0" w:leftChars="0" w:firstLine="0" w:firstLineChars="0"/>
        <w:rPr>
          <w:sz w:val="24"/>
        </w:rPr>
      </w:pPr>
      <w:r>
        <w:rPr>
          <w:sz w:val="24"/>
        </w:rPr>
        <w:t>对材料到货、施工过程中及施工后进行监督、检验，把好材料质量关；</w:t>
      </w:r>
    </w:p>
    <w:p w14:paraId="0957D868">
      <w:pPr>
        <w:pStyle w:val="43"/>
        <w:numPr>
          <w:ilvl w:val="1"/>
          <w:numId w:val="34"/>
        </w:numPr>
        <w:spacing w:before="173"/>
        <w:ind w:left="0" w:leftChars="0" w:firstLine="0" w:firstLineChars="0"/>
        <w:rPr>
          <w:sz w:val="24"/>
        </w:rPr>
      </w:pPr>
      <w:r>
        <w:rPr>
          <w:sz w:val="24"/>
        </w:rPr>
        <w:t>对材料变更费用进行预测及审核，提出专业意见及建议；</w:t>
      </w:r>
    </w:p>
    <w:p w14:paraId="03E6C6FE">
      <w:pPr>
        <w:pStyle w:val="43"/>
        <w:numPr>
          <w:ilvl w:val="1"/>
          <w:numId w:val="34"/>
        </w:numPr>
        <w:spacing w:before="173"/>
        <w:ind w:left="0" w:leftChars="0" w:firstLine="0" w:firstLineChars="0"/>
        <w:rPr>
          <w:sz w:val="24"/>
        </w:rPr>
      </w:pPr>
      <w:r>
        <w:rPr>
          <w:sz w:val="24"/>
        </w:rPr>
        <w:t>负责供货单位与施工单位的协调。</w:t>
      </w:r>
    </w:p>
    <w:p w14:paraId="2F727E79">
      <w:pPr>
        <w:pStyle w:val="43"/>
        <w:numPr>
          <w:ilvl w:val="0"/>
          <w:numId w:val="34"/>
        </w:numPr>
        <w:spacing w:before="173"/>
        <w:ind w:left="0" w:leftChars="0" w:firstLine="0" w:firstLineChars="0"/>
        <w:rPr>
          <w:sz w:val="24"/>
        </w:rPr>
      </w:pPr>
      <w:r>
        <w:rPr>
          <w:sz w:val="24"/>
        </w:rPr>
        <w:t>材料设备采购监理，包括：</w:t>
      </w:r>
    </w:p>
    <w:p w14:paraId="0C92939D">
      <w:pPr>
        <w:spacing w:before="132"/>
        <w:ind w:left="0" w:leftChars="0" w:firstLine="0" w:firstLineChars="0"/>
        <w:rPr>
          <w:sz w:val="24"/>
          <w:szCs w:val="24"/>
        </w:rPr>
      </w:pPr>
      <w:r>
        <w:rPr>
          <w:sz w:val="24"/>
          <w:szCs w:val="24"/>
        </w:rPr>
        <w:t>① 委托监理合同；</w:t>
      </w:r>
    </w:p>
    <w:p w14:paraId="69F2F880">
      <w:pPr>
        <w:pStyle w:val="3"/>
        <w:spacing w:before="122"/>
        <w:ind w:left="0" w:leftChars="0" w:firstLine="0" w:firstLineChars="0"/>
        <w:rPr>
          <w:sz w:val="24"/>
          <w:szCs w:val="24"/>
        </w:rPr>
      </w:pPr>
      <w:r>
        <w:rPr>
          <w:sz w:val="24"/>
          <w:szCs w:val="24"/>
        </w:rPr>
        <w:t>② 设备采购方案计划；</w:t>
      </w:r>
    </w:p>
    <w:p w14:paraId="2F714253">
      <w:pPr>
        <w:pStyle w:val="3"/>
        <w:spacing w:before="121"/>
        <w:ind w:left="0" w:leftChars="0" w:firstLine="0" w:firstLineChars="0"/>
        <w:rPr>
          <w:sz w:val="24"/>
          <w:szCs w:val="24"/>
        </w:rPr>
      </w:pPr>
      <w:r>
        <w:rPr>
          <w:sz w:val="24"/>
          <w:szCs w:val="24"/>
        </w:rPr>
        <w:t>③ 设计图纸和文件；</w:t>
      </w:r>
    </w:p>
    <w:p w14:paraId="32A0D8BF">
      <w:pPr>
        <w:pStyle w:val="3"/>
        <w:spacing w:before="121"/>
        <w:ind w:left="0" w:leftChars="0" w:firstLine="0" w:firstLineChars="0"/>
        <w:rPr>
          <w:sz w:val="24"/>
          <w:szCs w:val="24"/>
        </w:rPr>
      </w:pPr>
      <w:r>
        <w:rPr>
          <w:sz w:val="24"/>
          <w:szCs w:val="24"/>
        </w:rPr>
        <w:t>④ 市场调查、考察报告；</w:t>
      </w:r>
    </w:p>
    <w:p w14:paraId="602200A1">
      <w:pPr>
        <w:pStyle w:val="3"/>
        <w:spacing w:before="121"/>
        <w:ind w:left="0" w:leftChars="0" w:firstLine="0" w:firstLineChars="0"/>
        <w:rPr>
          <w:sz w:val="24"/>
          <w:szCs w:val="24"/>
        </w:rPr>
      </w:pPr>
      <w:r>
        <w:rPr>
          <w:sz w:val="24"/>
          <w:szCs w:val="24"/>
        </w:rPr>
        <w:t>⑤ 设备采购招投标文件；</w:t>
      </w:r>
    </w:p>
    <w:p w14:paraId="2BBA4863">
      <w:pPr>
        <w:pStyle w:val="3"/>
        <w:spacing w:before="122"/>
        <w:ind w:left="0" w:leftChars="0" w:firstLine="0" w:firstLineChars="0"/>
        <w:rPr>
          <w:sz w:val="24"/>
          <w:szCs w:val="24"/>
        </w:rPr>
      </w:pPr>
      <w:r>
        <w:rPr>
          <w:sz w:val="24"/>
          <w:szCs w:val="24"/>
        </w:rPr>
        <w:t>⑥ 设备采购订货合同；</w:t>
      </w:r>
    </w:p>
    <w:p w14:paraId="62194CBA">
      <w:pPr>
        <w:pStyle w:val="3"/>
        <w:spacing w:before="121"/>
        <w:ind w:left="0" w:leftChars="0" w:firstLine="0" w:firstLineChars="0"/>
      </w:pPr>
      <w:r>
        <w:rPr>
          <w:sz w:val="24"/>
          <w:szCs w:val="24"/>
        </w:rPr>
        <w:t>⑦ 设备采购</w:t>
      </w:r>
      <w:r>
        <w:t>监理工作总结。</w:t>
      </w:r>
    </w:p>
    <w:p w14:paraId="7D88FE6A">
      <w:pPr>
        <w:pStyle w:val="43"/>
        <w:numPr>
          <w:ilvl w:val="0"/>
          <w:numId w:val="34"/>
        </w:numPr>
        <w:tabs>
          <w:tab w:val="left" w:pos="0"/>
        </w:tabs>
        <w:spacing w:before="161"/>
        <w:ind w:left="0" w:leftChars="0" w:firstLine="0" w:firstLineChars="0"/>
        <w:rPr>
          <w:sz w:val="24"/>
        </w:rPr>
      </w:pPr>
      <w:r>
        <w:rPr>
          <w:sz w:val="24"/>
        </w:rPr>
        <w:t>施工阶段材料设备控制中的其</w:t>
      </w:r>
      <w:r>
        <w:rPr>
          <w:rFonts w:hint="eastAsia"/>
          <w:sz w:val="24"/>
          <w:lang w:val="en-US" w:eastAsia="zh-CN"/>
        </w:rPr>
        <w:t>他</w:t>
      </w:r>
      <w:r>
        <w:rPr>
          <w:sz w:val="24"/>
        </w:rPr>
        <w:t>监理工作，包括：</w:t>
      </w:r>
    </w:p>
    <w:p w14:paraId="24531FE6">
      <w:pPr>
        <w:pStyle w:val="43"/>
        <w:numPr>
          <w:ilvl w:val="0"/>
          <w:numId w:val="35"/>
        </w:numPr>
        <w:spacing w:before="173" w:line="374" w:lineRule="auto"/>
        <w:ind w:left="0" w:leftChars="0" w:right="158" w:firstLine="0" w:firstLineChars="0"/>
        <w:rPr>
          <w:sz w:val="24"/>
        </w:rPr>
      </w:pPr>
      <w:r>
        <w:rPr>
          <w:sz w:val="24"/>
        </w:rPr>
        <w:t>根据委托人的委托实施设备监造工作（相关费用包含在本次监理服务费范围内， 委托人不再另行支付），具体工作如下：</w:t>
      </w:r>
    </w:p>
    <w:p w14:paraId="05C3F493">
      <w:pPr>
        <w:pStyle w:val="3"/>
        <w:spacing w:before="121"/>
        <w:ind w:left="0" w:leftChars="0" w:firstLine="0" w:firstLineChars="0"/>
      </w:pPr>
      <w:r>
        <w:rPr>
          <w:sz w:val="24"/>
          <w:szCs w:val="24"/>
        </w:rPr>
        <w:t xml:space="preserve">① </w:t>
      </w:r>
      <w:r>
        <w:t>监理人应根据设备监造阶段的监理工作内容，成立由总监理工程师和专业监理</w:t>
      </w:r>
    </w:p>
    <w:p w14:paraId="4AC27B37">
      <w:pPr>
        <w:pStyle w:val="3"/>
        <w:spacing w:before="121"/>
        <w:ind w:left="0" w:leftChars="0" w:firstLine="0" w:firstLineChars="0"/>
      </w:pPr>
      <w:r>
        <w:t>工程师组成的项目监理机构。项目监理机构应进驻设备制造现场。</w:t>
      </w:r>
    </w:p>
    <w:p w14:paraId="3B2D839A">
      <w:pPr>
        <w:pStyle w:val="3"/>
        <w:spacing w:before="121"/>
        <w:ind w:left="0" w:leftChars="0" w:firstLine="0" w:firstLineChars="0"/>
      </w:pPr>
      <w:r>
        <w:t>② 总监理工程师应组织专业监理工程师熟悉设备制造图纸及有关技术说明和标准，掌握设计意图和各项设备制造的工艺规程以及设备采购订货合同中的各项规定，并应组织或参加委托人组织的设备制造图纸的设计交底。</w:t>
      </w:r>
    </w:p>
    <w:p w14:paraId="08A09DD9">
      <w:pPr>
        <w:pStyle w:val="3"/>
        <w:spacing w:before="121"/>
        <w:ind w:left="0" w:leftChars="0" w:firstLine="0" w:firstLineChars="0"/>
      </w:pPr>
      <w:r>
        <w:t>③ 总监理工程师应组织专业监理工程师编制设备监造规划，经监理人技术负责人审核批准后，在设备制造开始前十天内报送委托人。</w:t>
      </w:r>
    </w:p>
    <w:p w14:paraId="533BA080">
      <w:pPr>
        <w:pStyle w:val="3"/>
        <w:spacing w:before="121"/>
        <w:ind w:left="0" w:leftChars="0" w:firstLine="0" w:firstLineChars="0"/>
      </w:pPr>
      <w:r>
        <w:t>④ 总监理工程师应审查设备制造单位报送的设备制造生产计划和工艺方案，提出审查意见，符合要求后予以批准，并报委托人。</w:t>
      </w:r>
    </w:p>
    <w:p w14:paraId="5C4D67B1">
      <w:pPr>
        <w:pStyle w:val="3"/>
        <w:spacing w:before="121"/>
        <w:ind w:left="0" w:leftChars="0" w:firstLine="0" w:firstLineChars="0"/>
      </w:pPr>
      <w:r>
        <w:t>⑤ 总监理工程师应审核设备制造分包单位的资质情况、实际生产能力和质量保证体系，符合要求后予以确认。</w:t>
      </w:r>
    </w:p>
    <w:p w14:paraId="0D2657DB">
      <w:pPr>
        <w:pStyle w:val="3"/>
        <w:spacing w:before="121"/>
        <w:ind w:left="0" w:leftChars="0" w:firstLine="0" w:firstLineChars="0"/>
      </w:pPr>
      <w:r>
        <w:t>⑥ 专业监理工程师应审查设备制造的检验计划和检验要求，确认各阶段的检验时间、内容、方法、标准以及检测手段、检测设备和仪器。</w:t>
      </w:r>
    </w:p>
    <w:p w14:paraId="046DEC63">
      <w:pPr>
        <w:pStyle w:val="3"/>
        <w:spacing w:before="121"/>
        <w:ind w:left="0" w:leftChars="0" w:firstLine="0" w:firstLineChars="0"/>
      </w:pPr>
      <w:r>
        <w:t>⑦ 专业监理工程师必须对设备制造过程中拟采用的新技术、新材料、新工艺的鉴定书和试验报告进行审核，并签署意见。</w:t>
      </w:r>
    </w:p>
    <w:p w14:paraId="4A50E4F8">
      <w:pPr>
        <w:pStyle w:val="3"/>
        <w:spacing w:before="121"/>
        <w:ind w:left="0" w:leftChars="0" w:firstLine="0" w:firstLineChars="0"/>
      </w:pPr>
      <w:r>
        <w:t>⑧ 专业监理工程师应审查主要及关键零件的生产工艺设备、操作规程和相关生产人员的上岗资格，并对设备制造和装配场所的环境进行检查。</w:t>
      </w:r>
    </w:p>
    <w:p w14:paraId="50237823">
      <w:pPr>
        <w:pStyle w:val="3"/>
        <w:spacing w:before="121"/>
        <w:ind w:left="0" w:leftChars="0" w:firstLine="0" w:firstLineChars="0"/>
      </w:pPr>
      <w:r>
        <w:t>⑨ 专业监理工程师应审查设备制造的原材料、外购配套件、元器件、标准件以及坯料的质量证明文件及检验报告，检查设备制造单位对外购器件、外协作加工件和材料的质量验收，并由专业监理工程师审查设备制造单位提交的报验资料，符合规定要求时予以签认。</w:t>
      </w:r>
    </w:p>
    <w:p w14:paraId="5BD00C6A">
      <w:pPr>
        <w:pStyle w:val="3"/>
        <w:spacing w:line="364" w:lineRule="auto"/>
        <w:ind w:left="0" w:leftChars="0" w:right="228" w:firstLine="0" w:firstLineChars="0"/>
        <w:jc w:val="both"/>
      </w:pPr>
      <w:r>
        <w:rPr>
          <w:sz w:val="28"/>
        </w:rPr>
        <w:t xml:space="preserve">⑩ </w:t>
      </w:r>
      <w:r>
        <w:t>专业监理工程师应对设备制造过程进行监督和检查，对主要及关键零部件的制造工序应进行抽检或检验。</w:t>
      </w:r>
    </w:p>
    <w:p w14:paraId="046E10D9">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rPr>
        <w:t xml:space="preserve"> </w:t>
      </w:r>
      <w:r>
        <w:t>专业监理工程师应要求设备制造单位按批准的检验计划和检验要求进行设备制造过程的检验工作，做好检验记录，并对检验结果进行审核。专业监理工程师认为不符合质量要求时，指令设备制造单位进行整改、返修或返工。当发生质量失控或重大质量事故时，必须由总监理工程师下达暂停制造指令，提出处理意见，并及时报告委托人。</w:t>
      </w:r>
    </w:p>
    <w:p w14:paraId="1AC60590">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rPr>
        <w:t xml:space="preserve"> </w:t>
      </w:r>
      <w:r>
        <w:t>专业监理工程师应检查和监督设备的装配过程，符合要求后予以签认。</w:t>
      </w:r>
    </w:p>
    <w:p w14:paraId="4C1C0A5F">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rPr>
        <w:t xml:space="preserve"> </w:t>
      </w:r>
      <w:r>
        <w:t>在设备制造过程中如需要对设备的原设计进行变更，专业监理工程师应审核设计变更，并审查因变更引起的费用增减和制造工期的变化。</w:t>
      </w:r>
    </w:p>
    <w:p w14:paraId="529005E6">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rPr>
        <w:t xml:space="preserve"> </w:t>
      </w:r>
      <w:r>
        <w:t>总监理工程师应组织专业监理工程师参加设备制造过程中的调试、整机性能检测和验证，符合要求后予以签认。</w:t>
      </w:r>
    </w:p>
    <w:p w14:paraId="056B5B7E">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rPr>
        <w:t xml:space="preserve"> </w:t>
      </w:r>
      <w:r>
        <w:t>在设备运往现场前，专业监理工程师应检查设备制造单位对待运设备采取的防护和包装措施，并应检查是否符合运输、装卸、储存、安装的要求，以及相关的随机文件、装箱单和附件是否齐全。</w:t>
      </w:r>
    </w:p>
    <w:p w14:paraId="177D392A">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rPr>
        <w:t xml:space="preserve"> </w:t>
      </w:r>
      <w:r>
        <w:t>设备全部运到现场后，总监理工程师应组织专业监理工程师参加由设备制造单位按合同规定与安装单位的交接工作，开箱清点、检查、验收、移交。</w:t>
      </w:r>
    </w:p>
    <w:p w14:paraId="3FF29C14">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专业监理工程师应按设备采购合同的规定审核设备制造单位提交的进度付款单，提出审核意见，由总监理工程师复核后报委托人。</w:t>
      </w:r>
    </w:p>
    <w:p w14:paraId="00E37678">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rPr>
        <w:t xml:space="preserve"> </w:t>
      </w:r>
      <w:r>
        <w:t>专业监理工程师应审查委托人或设备制造单位提出的索赔文件，提出意见后报总监理工程师，由总监理工程师与委托人、设备制造单位进行协商，并提出审核报告。</w:t>
      </w:r>
    </w:p>
    <w:p w14:paraId="36DCD021">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rPr>
        <w:t xml:space="preserve"> </w:t>
      </w:r>
      <w:r>
        <w:t>专业监理工程师应审核设备制造单位报送的设备制造结算文件，并提出审核意见，报总监理工程师审核，由总监理工程师与委托人、设备制造单位进行协商，并提出审核报告。</w:t>
      </w:r>
    </w:p>
    <w:p w14:paraId="468091AB">
      <w:pPr>
        <w:pStyle w:val="3"/>
        <w:spacing w:line="364" w:lineRule="auto"/>
        <w:ind w:right="228" w:firstLine="576"/>
        <w:jc w:val="both"/>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rPr>
        <w:t xml:space="preserve"> </w:t>
      </w:r>
      <w:r>
        <w:t>在设备监造工作结束后，总监理工程师应组织编写设备监造工作总结。</w:t>
      </w:r>
    </w:p>
    <w:p w14:paraId="2D830BAE">
      <w:pPr>
        <w:pStyle w:val="43"/>
        <w:numPr>
          <w:ilvl w:val="0"/>
          <w:numId w:val="35"/>
        </w:numPr>
        <w:tabs>
          <w:tab w:val="left" w:pos="1086"/>
        </w:tabs>
        <w:spacing w:before="99" w:line="374" w:lineRule="auto"/>
        <w:ind w:right="239" w:firstLine="496"/>
        <w:rPr>
          <w:sz w:val="24"/>
        </w:rPr>
      </w:pPr>
      <w:r>
        <w:rPr>
          <w:sz w:val="24"/>
        </w:rPr>
        <w:t>根据委托人委托的设备监造工作提交相关的监理资料（相关费用已包含在本工程监理服务费之内，委托人不再另行支付），包括：</w:t>
      </w:r>
    </w:p>
    <w:p w14:paraId="42551B35">
      <w:pPr>
        <w:pStyle w:val="3"/>
        <w:spacing w:line="319" w:lineRule="exact"/>
        <w:ind w:left="0" w:leftChars="0" w:firstLine="0" w:firstLineChars="0"/>
      </w:pPr>
      <w:r>
        <w:rPr>
          <w:sz w:val="28"/>
        </w:rPr>
        <w:t xml:space="preserve">① </w:t>
      </w:r>
      <w:r>
        <w:t>设备采购合同及委托监理合同；</w:t>
      </w:r>
    </w:p>
    <w:p w14:paraId="3FCFD43D">
      <w:pPr>
        <w:spacing w:before="121"/>
        <w:ind w:left="0" w:leftChars="0" w:firstLine="0" w:firstLineChars="0"/>
        <w:rPr>
          <w:sz w:val="24"/>
        </w:rPr>
      </w:pPr>
      <w:r>
        <w:rPr>
          <w:sz w:val="28"/>
        </w:rPr>
        <w:t xml:space="preserve">② </w:t>
      </w:r>
      <w:r>
        <w:rPr>
          <w:sz w:val="24"/>
        </w:rPr>
        <w:t>设备监造规划；</w:t>
      </w:r>
    </w:p>
    <w:p w14:paraId="241AD4E3">
      <w:pPr>
        <w:pStyle w:val="3"/>
        <w:spacing w:before="122"/>
        <w:ind w:left="0" w:leftChars="0" w:firstLine="0" w:firstLineChars="0"/>
      </w:pPr>
      <w:r>
        <w:rPr>
          <w:sz w:val="28"/>
        </w:rPr>
        <w:t xml:space="preserve">③ </w:t>
      </w:r>
      <w:r>
        <w:t>设备制造的生产计划和工艺方案；</w:t>
      </w:r>
    </w:p>
    <w:p w14:paraId="78401F8A">
      <w:pPr>
        <w:pStyle w:val="3"/>
        <w:spacing w:before="121"/>
        <w:ind w:left="0" w:leftChars="0" w:firstLine="0" w:firstLineChars="0"/>
      </w:pPr>
      <w:r>
        <w:rPr>
          <w:sz w:val="28"/>
        </w:rPr>
        <w:t xml:space="preserve">④ </w:t>
      </w:r>
      <w:r>
        <w:t>设备制造的检验计划和检验要求；</w:t>
      </w:r>
    </w:p>
    <w:p w14:paraId="2A352717">
      <w:pPr>
        <w:pStyle w:val="3"/>
        <w:spacing w:before="121"/>
        <w:ind w:left="0" w:leftChars="0" w:firstLine="0" w:firstLineChars="0"/>
      </w:pPr>
      <w:r>
        <w:rPr>
          <w:sz w:val="28"/>
        </w:rPr>
        <w:t xml:space="preserve">⑤ </w:t>
      </w:r>
      <w:r>
        <w:t>分包单位资格报审表；</w:t>
      </w:r>
    </w:p>
    <w:p w14:paraId="29A1C140">
      <w:pPr>
        <w:pStyle w:val="3"/>
        <w:spacing w:before="121"/>
        <w:ind w:left="0" w:leftChars="0" w:firstLine="0" w:firstLineChars="0"/>
      </w:pPr>
      <w:r>
        <w:rPr>
          <w:sz w:val="28"/>
        </w:rPr>
        <w:t xml:space="preserve">⑥ </w:t>
      </w:r>
      <w:r>
        <w:t>原材料、零配件等的质量证明文件和检验报告；</w:t>
      </w:r>
    </w:p>
    <w:p w14:paraId="2C2C9563">
      <w:pPr>
        <w:pStyle w:val="3"/>
        <w:spacing w:before="122"/>
        <w:ind w:left="0" w:leftChars="0" w:firstLine="0" w:firstLineChars="0"/>
      </w:pPr>
      <w:r>
        <w:rPr>
          <w:sz w:val="28"/>
        </w:rPr>
        <w:t xml:space="preserve">⑦ </w:t>
      </w:r>
      <w:r>
        <w:t>开工／复工报审表、暂停令；</w:t>
      </w:r>
    </w:p>
    <w:p w14:paraId="3154A8A9">
      <w:pPr>
        <w:pStyle w:val="3"/>
        <w:spacing w:before="121"/>
        <w:ind w:left="0" w:leftChars="0" w:firstLine="0" w:firstLineChars="0"/>
      </w:pPr>
      <w:r>
        <w:rPr>
          <w:sz w:val="28"/>
        </w:rPr>
        <w:t xml:space="preserve">⑧ </w:t>
      </w:r>
      <w:r>
        <w:t>检验记录及试验报告；</w:t>
      </w:r>
    </w:p>
    <w:p w14:paraId="79F4FF1F">
      <w:pPr>
        <w:spacing w:before="121"/>
        <w:ind w:left="0" w:leftChars="0" w:firstLine="0" w:firstLineChars="0"/>
        <w:rPr>
          <w:sz w:val="24"/>
        </w:rPr>
      </w:pPr>
      <w:r>
        <w:rPr>
          <w:sz w:val="28"/>
        </w:rPr>
        <w:t xml:space="preserve">⑨ </w:t>
      </w:r>
      <w:r>
        <w:rPr>
          <w:sz w:val="24"/>
        </w:rPr>
        <w:t>报验申请表；</w:t>
      </w:r>
    </w:p>
    <w:p w14:paraId="669A018C">
      <w:pPr>
        <w:spacing w:before="121"/>
        <w:ind w:left="0" w:leftChars="0" w:firstLine="0" w:firstLineChars="0"/>
        <w:rPr>
          <w:sz w:val="24"/>
        </w:rPr>
      </w:pPr>
      <w:r>
        <w:rPr>
          <w:sz w:val="28"/>
        </w:rPr>
        <w:t xml:space="preserve">⑩ </w:t>
      </w:r>
      <w:r>
        <w:rPr>
          <w:sz w:val="24"/>
        </w:rPr>
        <w:t>设计变更文件；</w:t>
      </w:r>
    </w:p>
    <w:p w14:paraId="7DB85B17">
      <w:pPr>
        <w:pStyle w:val="3"/>
        <w:spacing w:before="82"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 xml:space="preserve"> 会议纪要；</w:t>
      </w:r>
    </w:p>
    <w:p w14:paraId="2B288834">
      <w:pPr>
        <w:pStyle w:val="3"/>
        <w:spacing w:before="18"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 xml:space="preserve"> 来往文件；</w:t>
      </w:r>
    </w:p>
    <w:p w14:paraId="7FF7924A">
      <w:pPr>
        <w:pStyle w:val="3"/>
        <w:spacing w:before="19"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szCs w:val="22"/>
        </w:rPr>
        <w:t xml:space="preserve"> </w:t>
      </w:r>
      <w:r>
        <w:t>监理日记；</w:t>
      </w:r>
    </w:p>
    <w:p w14:paraId="15542B8C">
      <w:pPr>
        <w:pStyle w:val="3"/>
        <w:spacing w:before="19"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szCs w:val="22"/>
        </w:rPr>
        <w:t xml:space="preserve"> </w:t>
      </w:r>
      <w:r>
        <w:t>监理工程师通知单；</w:t>
      </w:r>
    </w:p>
    <w:p w14:paraId="24B2293F">
      <w:pPr>
        <w:pStyle w:val="3"/>
        <w:spacing w:before="19"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szCs w:val="22"/>
        </w:rPr>
        <w:t xml:space="preserve"> </w:t>
      </w:r>
      <w:r>
        <w:t>监理工作联系单；</w:t>
      </w:r>
    </w:p>
    <w:p w14:paraId="74ACFA0A">
      <w:pPr>
        <w:pStyle w:val="3"/>
        <w:spacing w:before="18"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 xml:space="preserve"> 监理月报；</w:t>
      </w:r>
    </w:p>
    <w:p w14:paraId="10775F45">
      <w:pPr>
        <w:pStyle w:val="3"/>
        <w:spacing w:before="19"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rPr>
          <w:sz w:val="28"/>
          <w:szCs w:val="22"/>
        </w:rPr>
        <w:t xml:space="preserve"> </w:t>
      </w:r>
      <w:r>
        <w:t>质量事故处理文件；</w:t>
      </w:r>
    </w:p>
    <w:p w14:paraId="6667A85C">
      <w:pPr>
        <w:pStyle w:val="3"/>
        <w:spacing w:before="38"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 xml:space="preserve"> 设备制造索赔文件；</w:t>
      </w:r>
    </w:p>
    <w:p w14:paraId="491373B1">
      <w:pPr>
        <w:pStyle w:val="3"/>
        <w:spacing w:before="19"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 xml:space="preserve"> 设备验收文件；</w:t>
      </w:r>
    </w:p>
    <w:p w14:paraId="3D3F0EEF">
      <w:pPr>
        <w:pStyle w:val="3"/>
        <w:spacing w:before="19"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 xml:space="preserve"> 设备交接文件；</w:t>
      </w:r>
    </w:p>
    <w:p w14:paraId="0B59B64E">
      <w:pPr>
        <w:pStyle w:val="3"/>
        <w:spacing w:before="18"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 xml:space="preserve"> 支付证书和设备制造结算审核文件；</w:t>
      </w:r>
    </w:p>
    <w:p w14:paraId="7CFBB9C9">
      <w:pPr>
        <w:pStyle w:val="3"/>
        <w:spacing w:before="19" w:line="360" w:lineRule="auto"/>
        <w:ind w:left="0" w:leftChars="0" w:firstLine="0" w:firstLineChars="0"/>
      </w:pPr>
      <w:r>
        <w:rPr>
          <w:sz w:val="28"/>
        </w:rPr>
        <w:fldChar w:fldCharType="begin"/>
      </w:r>
      <w:r>
        <w:rPr>
          <w:sz w:val="28"/>
        </w:rPr>
        <w:instrText xml:space="preserve"> </w:instrText>
      </w:r>
      <w:r>
        <w:rPr>
          <w:rFonts w:hint="eastAsia"/>
          <w:sz w:val="28"/>
        </w:rPr>
        <w:instrText xml:space="preserve">eq \o\ac(□,</w:instrText>
      </w:r>
      <w:r>
        <w:rPr>
          <w:rFonts w:hint="eastAsia"/>
          <w:position w:val="2"/>
          <w:sz w:val="19"/>
        </w:rPr>
        <w:instrText xml:space="preserve">√</w:instrText>
      </w:r>
      <w:r>
        <w:rPr>
          <w:rFonts w:hint="eastAsia"/>
          <w:sz w:val="28"/>
        </w:rPr>
        <w:instrText xml:space="preserve">)</w:instrText>
      </w:r>
      <w:r>
        <w:rPr>
          <w:sz w:val="28"/>
        </w:rPr>
        <w:fldChar w:fldCharType="end"/>
      </w:r>
      <w:r>
        <w:t xml:space="preserve"> 设备监造工作总结。</w:t>
      </w:r>
    </w:p>
    <w:p w14:paraId="629664B0">
      <w:pPr>
        <w:pStyle w:val="14"/>
        <w:numPr>
          <w:ilvl w:val="3"/>
          <w:numId w:val="20"/>
        </w:numPr>
        <w:tabs>
          <w:tab w:val="left" w:pos="0"/>
        </w:tabs>
        <w:spacing w:before="99"/>
        <w:ind w:left="0" w:leftChars="0" w:firstLine="0" w:firstLineChars="0"/>
      </w:pPr>
      <w:r>
        <w:t>工程合同管理工作</w:t>
      </w:r>
    </w:p>
    <w:p w14:paraId="7F82CDC9">
      <w:pPr>
        <w:pStyle w:val="43"/>
        <w:numPr>
          <w:ilvl w:val="0"/>
          <w:numId w:val="36"/>
        </w:numPr>
        <w:spacing w:before="172" w:line="374" w:lineRule="auto"/>
        <w:ind w:left="0" w:leftChars="0" w:right="227" w:firstLine="0" w:firstLineChars="0"/>
        <w:rPr>
          <w:sz w:val="24"/>
        </w:rPr>
      </w:pPr>
      <w:r>
        <w:rPr>
          <w:sz w:val="24"/>
        </w:rPr>
        <w:t>建立合同实施的保证体系，使工程项目的全部合同事件处于控制中，保证合同目标的实现。</w:t>
      </w:r>
    </w:p>
    <w:p w14:paraId="636B505B">
      <w:pPr>
        <w:pStyle w:val="43"/>
        <w:numPr>
          <w:ilvl w:val="0"/>
          <w:numId w:val="36"/>
        </w:numPr>
        <w:spacing w:before="1" w:line="374" w:lineRule="auto"/>
        <w:ind w:left="0" w:leftChars="0" w:right="227" w:firstLine="0" w:firstLineChars="0"/>
        <w:rPr>
          <w:sz w:val="24"/>
        </w:rPr>
      </w:pPr>
      <w:r>
        <w:rPr>
          <w:sz w:val="24"/>
        </w:rPr>
        <w:t>建立合同管理文档系统。应建立</w:t>
      </w:r>
      <w:r>
        <w:rPr>
          <w:rFonts w:hint="eastAsia"/>
          <w:sz w:val="24"/>
          <w:lang w:val="en-US" w:eastAsia="zh-CN"/>
        </w:rPr>
        <w:t>适合</w:t>
      </w:r>
      <w:r>
        <w:rPr>
          <w:sz w:val="24"/>
        </w:rPr>
        <w:t>的编码系统和文档系统，便于各种合同资料的保存与查询。</w:t>
      </w:r>
    </w:p>
    <w:p w14:paraId="0EA896D2">
      <w:pPr>
        <w:pStyle w:val="43"/>
        <w:numPr>
          <w:ilvl w:val="0"/>
          <w:numId w:val="36"/>
        </w:numPr>
        <w:spacing w:before="1" w:line="374" w:lineRule="auto"/>
        <w:ind w:left="0" w:leftChars="0" w:right="227" w:firstLine="0" w:firstLineChars="0"/>
        <w:rPr>
          <w:sz w:val="24"/>
        </w:rPr>
      </w:pPr>
      <w:r>
        <w:rPr>
          <w:sz w:val="24"/>
        </w:rPr>
        <w:t>建立合同文件沟通方式。承包人和委托人、监理工程师、分包人之间的有关合同的文件沟通都应以书面形式进行。</w:t>
      </w:r>
    </w:p>
    <w:p w14:paraId="497F037C">
      <w:pPr>
        <w:pStyle w:val="43"/>
        <w:numPr>
          <w:ilvl w:val="0"/>
          <w:numId w:val="36"/>
        </w:numPr>
        <w:spacing w:line="374" w:lineRule="auto"/>
        <w:ind w:left="0" w:leftChars="0" w:right="227" w:firstLine="0" w:firstLineChars="0"/>
        <w:rPr>
          <w:sz w:val="24"/>
        </w:rPr>
      </w:pPr>
      <w:r>
        <w:rPr>
          <w:sz w:val="24"/>
        </w:rPr>
        <w:t>合同实施监督。包括：监督总承包人、分包人严格执行合同，并做好各分包人的协调和管理工作。同时也应督促委托人执行其合同责任，以保证工程顺利进行。</w:t>
      </w:r>
    </w:p>
    <w:p w14:paraId="370F84CA">
      <w:pPr>
        <w:pStyle w:val="43"/>
        <w:numPr>
          <w:ilvl w:val="0"/>
          <w:numId w:val="36"/>
        </w:numPr>
        <w:spacing w:before="1"/>
        <w:ind w:left="0" w:leftChars="0" w:firstLine="0" w:firstLineChars="0"/>
        <w:rPr>
          <w:sz w:val="24"/>
        </w:rPr>
      </w:pPr>
      <w:r>
        <w:rPr>
          <w:sz w:val="24"/>
        </w:rPr>
        <w:t>合同跟踪和诊断。包括：</w:t>
      </w:r>
    </w:p>
    <w:p w14:paraId="0A04BC5C">
      <w:pPr>
        <w:pStyle w:val="43"/>
        <w:numPr>
          <w:ilvl w:val="1"/>
          <w:numId w:val="36"/>
        </w:numPr>
        <w:tabs>
          <w:tab w:val="left" w:pos="1086"/>
        </w:tabs>
        <w:spacing w:before="172" w:line="374" w:lineRule="auto"/>
        <w:ind w:right="239" w:firstLine="496"/>
        <w:rPr>
          <w:sz w:val="24"/>
        </w:rPr>
      </w:pPr>
      <w:r>
        <w:rPr>
          <w:sz w:val="24"/>
        </w:rPr>
        <w:t>全面收集并分析合同实施的信息与工程资料，将合同实施情况与合同分析资料进行对比分析，找出其中的偏离。</w:t>
      </w:r>
    </w:p>
    <w:p w14:paraId="47E294F2">
      <w:pPr>
        <w:pStyle w:val="43"/>
        <w:numPr>
          <w:ilvl w:val="1"/>
          <w:numId w:val="36"/>
        </w:numPr>
        <w:tabs>
          <w:tab w:val="left" w:pos="1086"/>
        </w:tabs>
        <w:spacing w:before="172" w:line="374" w:lineRule="auto"/>
        <w:ind w:right="239" w:firstLine="496"/>
        <w:rPr>
          <w:sz w:val="24"/>
        </w:rPr>
      </w:pPr>
      <w:r>
        <w:rPr>
          <w:sz w:val="24"/>
        </w:rPr>
        <w:t>对合同履行情况做出诊断。合同诊断包括：合同执行差异的原因分析、合同差异责任分析、合同实施趋向预测。及时通报合同实施情况及问题，提出合同实施方面的意见、建议、甚至警告。</w:t>
      </w:r>
    </w:p>
    <w:p w14:paraId="3D919C62">
      <w:pPr>
        <w:pStyle w:val="43"/>
        <w:numPr>
          <w:ilvl w:val="1"/>
          <w:numId w:val="36"/>
        </w:numPr>
        <w:tabs>
          <w:tab w:val="left" w:pos="1086"/>
        </w:tabs>
        <w:spacing w:before="172" w:line="374" w:lineRule="auto"/>
        <w:ind w:right="239" w:firstLine="496"/>
        <w:rPr>
          <w:sz w:val="24"/>
        </w:rPr>
      </w:pPr>
      <w:r>
        <w:rPr>
          <w:sz w:val="24"/>
        </w:rPr>
        <w:t>对于发现的问题，及时采取对应的管理措施，防止问题的扩大和重复发生。</w:t>
      </w:r>
    </w:p>
    <w:p w14:paraId="3EEFB9D6">
      <w:pPr>
        <w:pStyle w:val="43"/>
        <w:numPr>
          <w:ilvl w:val="0"/>
          <w:numId w:val="36"/>
        </w:numPr>
        <w:tabs>
          <w:tab w:val="left" w:pos="1220"/>
        </w:tabs>
        <w:spacing w:before="172" w:line="374" w:lineRule="auto"/>
        <w:ind w:right="235" w:firstLine="372"/>
        <w:rPr>
          <w:sz w:val="24"/>
        </w:rPr>
      </w:pPr>
      <w:r>
        <w:rPr>
          <w:sz w:val="24"/>
        </w:rPr>
        <w:t>严格合同变更管理。包括：变更谈判、变更的处理程序，落实变更的措施，修改变更相关的资料，检查变更措施的落实情况。</w:t>
      </w:r>
    </w:p>
    <w:p w14:paraId="2DB4DB9D">
      <w:pPr>
        <w:pStyle w:val="43"/>
        <w:numPr>
          <w:ilvl w:val="0"/>
          <w:numId w:val="36"/>
        </w:numPr>
        <w:tabs>
          <w:tab w:val="left" w:pos="1220"/>
        </w:tabs>
        <w:spacing w:before="1" w:line="374" w:lineRule="auto"/>
        <w:ind w:right="227" w:firstLine="372"/>
        <w:jc w:val="both"/>
        <w:rPr>
          <w:sz w:val="24"/>
        </w:rPr>
      </w:pPr>
      <w:r>
        <w:rPr>
          <w:sz w:val="24"/>
        </w:rPr>
        <w:t>监理人应按委托人的要求参与本合同工程施工、采购等招投标文件（含招投标修改、澄清等文件）的审查工作，对相关合同及施工组织设计等文件进行审核，确定可能引起争议的合同条款等内容，向委托人提交关于合同执行过程</w:t>
      </w:r>
      <w:r>
        <w:rPr>
          <w:rFonts w:hint="eastAsia"/>
          <w:sz w:val="24"/>
          <w:lang w:val="en-US" w:eastAsia="zh-CN"/>
        </w:rPr>
        <w:t>中</w:t>
      </w:r>
      <w:r>
        <w:rPr>
          <w:sz w:val="24"/>
        </w:rPr>
        <w:t>可能存在的索赔风险的报告。对收到的承包人的索赔报告应进行审查分析，收集反驳理由和证据，复核索赔值；如具备反索赔条件，应及时提出反索赔报告并附上相关证据。</w:t>
      </w:r>
    </w:p>
    <w:p w14:paraId="17C7BB79">
      <w:pPr>
        <w:pStyle w:val="43"/>
        <w:numPr>
          <w:ilvl w:val="0"/>
          <w:numId w:val="36"/>
        </w:numPr>
        <w:tabs>
          <w:tab w:val="left" w:pos="1220"/>
        </w:tabs>
        <w:spacing w:before="1" w:line="374" w:lineRule="auto"/>
        <w:ind w:right="227" w:firstLine="372"/>
        <w:jc w:val="both"/>
        <w:rPr>
          <w:sz w:val="24"/>
        </w:rPr>
      </w:pPr>
      <w:r>
        <w:rPr>
          <w:sz w:val="24"/>
        </w:rPr>
        <w:t>合同终止和后评价工作，包括：合同按约定履行结束后，合同即告终止。监理人应及时进行</w:t>
      </w:r>
      <w:r>
        <w:rPr>
          <w:rFonts w:hint="eastAsia"/>
          <w:sz w:val="24"/>
        </w:rPr>
        <w:t>每个项目的</w:t>
      </w:r>
      <w:r>
        <w:rPr>
          <w:sz w:val="24"/>
        </w:rPr>
        <w:t>后评价，总结</w:t>
      </w:r>
      <w:r>
        <w:rPr>
          <w:rFonts w:hint="eastAsia"/>
          <w:sz w:val="24"/>
        </w:rPr>
        <w:t>项目</w:t>
      </w:r>
      <w:r>
        <w:rPr>
          <w:sz w:val="24"/>
        </w:rPr>
        <w:t>合同签订和执行过程中的利弊得失、经验教训，作为改进以后工程合同管理工作的借鉴。</w:t>
      </w:r>
    </w:p>
    <w:p w14:paraId="2FB6A25E">
      <w:pPr>
        <w:pStyle w:val="43"/>
        <w:numPr>
          <w:ilvl w:val="0"/>
          <w:numId w:val="36"/>
        </w:numPr>
        <w:tabs>
          <w:tab w:val="left" w:pos="1220"/>
        </w:tabs>
        <w:spacing w:before="1" w:line="374" w:lineRule="auto"/>
        <w:ind w:right="227" w:firstLine="372"/>
        <w:jc w:val="both"/>
        <w:rPr>
          <w:sz w:val="24"/>
        </w:rPr>
      </w:pPr>
      <w:r>
        <w:rPr>
          <w:sz w:val="24"/>
        </w:rPr>
        <w:t>合同后评估应包括如下内容：</w:t>
      </w:r>
    </w:p>
    <w:p w14:paraId="2AA2AD25">
      <w:pPr>
        <w:pStyle w:val="43"/>
        <w:numPr>
          <w:ilvl w:val="1"/>
          <w:numId w:val="36"/>
        </w:numPr>
        <w:tabs>
          <w:tab w:val="left" w:pos="1086"/>
        </w:tabs>
        <w:spacing w:before="172" w:line="374" w:lineRule="auto"/>
        <w:ind w:right="239" w:firstLine="496"/>
        <w:rPr>
          <w:sz w:val="24"/>
        </w:rPr>
      </w:pPr>
      <w:r>
        <w:rPr>
          <w:sz w:val="24"/>
        </w:rPr>
        <w:t>合同签订情况评价；</w:t>
      </w:r>
    </w:p>
    <w:p w14:paraId="5FAE03D9">
      <w:pPr>
        <w:pStyle w:val="43"/>
        <w:numPr>
          <w:ilvl w:val="1"/>
          <w:numId w:val="36"/>
        </w:numPr>
        <w:tabs>
          <w:tab w:val="left" w:pos="1086"/>
        </w:tabs>
        <w:spacing w:before="172" w:line="374" w:lineRule="auto"/>
        <w:ind w:right="239" w:firstLine="496"/>
        <w:rPr>
          <w:sz w:val="24"/>
        </w:rPr>
      </w:pPr>
      <w:r>
        <w:rPr>
          <w:sz w:val="24"/>
        </w:rPr>
        <w:t>合同执行情况评价；</w:t>
      </w:r>
    </w:p>
    <w:p w14:paraId="736CD9CF">
      <w:pPr>
        <w:pStyle w:val="43"/>
        <w:numPr>
          <w:ilvl w:val="1"/>
          <w:numId w:val="36"/>
        </w:numPr>
        <w:tabs>
          <w:tab w:val="left" w:pos="1086"/>
        </w:tabs>
        <w:spacing w:before="172" w:line="374" w:lineRule="auto"/>
        <w:ind w:right="239" w:firstLine="496"/>
        <w:rPr>
          <w:sz w:val="24"/>
        </w:rPr>
      </w:pPr>
      <w:r>
        <w:rPr>
          <w:sz w:val="24"/>
        </w:rPr>
        <w:t>合同管理工作评价；</w:t>
      </w:r>
    </w:p>
    <w:p w14:paraId="2865B6BF">
      <w:pPr>
        <w:pStyle w:val="43"/>
        <w:numPr>
          <w:ilvl w:val="1"/>
          <w:numId w:val="36"/>
        </w:numPr>
        <w:tabs>
          <w:tab w:val="left" w:pos="1086"/>
        </w:tabs>
        <w:spacing w:before="172" w:line="374" w:lineRule="auto"/>
        <w:ind w:right="239" w:firstLine="496"/>
        <w:rPr>
          <w:sz w:val="24"/>
        </w:rPr>
      </w:pPr>
      <w:r>
        <w:rPr>
          <w:sz w:val="24"/>
        </w:rPr>
        <w:t>对本项目有重大影响的合同条款的评价。</w:t>
      </w:r>
    </w:p>
    <w:p w14:paraId="468B24F5">
      <w:pPr>
        <w:pStyle w:val="43"/>
        <w:numPr>
          <w:ilvl w:val="0"/>
          <w:numId w:val="36"/>
        </w:numPr>
        <w:spacing w:before="172"/>
        <w:ind w:left="0" w:leftChars="0" w:firstLine="0" w:firstLineChars="0"/>
        <w:rPr>
          <w:sz w:val="24"/>
        </w:rPr>
      </w:pPr>
      <w:r>
        <w:rPr>
          <w:sz w:val="24"/>
        </w:rPr>
        <w:t>合同管理中的其他监理工作，包括：</w:t>
      </w:r>
    </w:p>
    <w:p w14:paraId="4159452A">
      <w:pPr>
        <w:pStyle w:val="43"/>
        <w:numPr>
          <w:ilvl w:val="1"/>
          <w:numId w:val="36"/>
        </w:numPr>
        <w:tabs>
          <w:tab w:val="left" w:pos="1086"/>
        </w:tabs>
        <w:spacing w:before="172" w:line="374" w:lineRule="auto"/>
        <w:ind w:right="239" w:firstLine="496"/>
        <w:rPr>
          <w:sz w:val="24"/>
        </w:rPr>
      </w:pPr>
      <w:r>
        <w:rPr>
          <w:sz w:val="24"/>
        </w:rPr>
        <w:t>费用索赔的处理</w:t>
      </w:r>
    </w:p>
    <w:p w14:paraId="4F9D9C4A">
      <w:pPr>
        <w:pStyle w:val="3"/>
        <w:spacing w:before="172" w:line="374" w:lineRule="auto"/>
        <w:ind w:right="227" w:firstLine="496"/>
      </w:pPr>
      <w:r>
        <w:t>专业监理工程师应及时收集、整理有关的施工和监理资料，为处理可能发生的费用索赔提供证据。</w:t>
      </w:r>
    </w:p>
    <w:p w14:paraId="6894B545">
      <w:pPr>
        <w:pStyle w:val="3"/>
        <w:spacing w:line="319" w:lineRule="exact"/>
        <w:ind w:left="799"/>
      </w:pPr>
      <w:r>
        <w:rPr>
          <w:sz w:val="24"/>
          <w:szCs w:val="24"/>
        </w:rPr>
        <w:t xml:space="preserve">① </w:t>
      </w:r>
      <w:r>
        <w:t>项目监理机构处理费用索赔应依据下列内容：</w:t>
      </w:r>
    </w:p>
    <w:p w14:paraId="35BF7FFD">
      <w:pPr>
        <w:pStyle w:val="43"/>
        <w:numPr>
          <w:ilvl w:val="0"/>
          <w:numId w:val="37"/>
        </w:numPr>
        <w:tabs>
          <w:tab w:val="left" w:pos="1150"/>
        </w:tabs>
        <w:spacing w:before="161" w:line="374" w:lineRule="auto"/>
        <w:ind w:right="240" w:firstLine="619"/>
        <w:rPr>
          <w:sz w:val="24"/>
        </w:rPr>
      </w:pPr>
      <w:r>
        <w:rPr>
          <w:sz w:val="24"/>
        </w:rPr>
        <w:t>国家有关的法律、法规和工程项目所在地的地方</w:t>
      </w:r>
      <w:r>
        <w:rPr>
          <w:rFonts w:hint="eastAsia"/>
          <w:sz w:val="24"/>
          <w:lang w:val="en-US" w:eastAsia="zh-CN"/>
        </w:rPr>
        <w:t>性</w:t>
      </w:r>
      <w:r>
        <w:rPr>
          <w:sz w:val="24"/>
        </w:rPr>
        <w:t>法规；</w:t>
      </w:r>
    </w:p>
    <w:p w14:paraId="41302417">
      <w:pPr>
        <w:pStyle w:val="43"/>
        <w:numPr>
          <w:ilvl w:val="0"/>
          <w:numId w:val="37"/>
        </w:numPr>
        <w:tabs>
          <w:tab w:val="left" w:pos="1150"/>
        </w:tabs>
        <w:spacing w:before="161" w:line="374" w:lineRule="auto"/>
        <w:ind w:right="240" w:firstLine="619"/>
        <w:rPr>
          <w:sz w:val="24"/>
        </w:rPr>
      </w:pPr>
      <w:r>
        <w:rPr>
          <w:sz w:val="24"/>
        </w:rPr>
        <w:t>本工程的施工合同文件；</w:t>
      </w:r>
    </w:p>
    <w:p w14:paraId="5C1BADD4">
      <w:pPr>
        <w:pStyle w:val="43"/>
        <w:numPr>
          <w:ilvl w:val="0"/>
          <w:numId w:val="37"/>
        </w:numPr>
        <w:tabs>
          <w:tab w:val="left" w:pos="1150"/>
        </w:tabs>
        <w:spacing w:before="161" w:line="374" w:lineRule="auto"/>
        <w:ind w:right="240" w:firstLine="619"/>
        <w:rPr>
          <w:sz w:val="24"/>
        </w:rPr>
      </w:pPr>
      <w:r>
        <w:rPr>
          <w:sz w:val="24"/>
        </w:rPr>
        <w:t>国家、部门和地方有关的标准、规范和定额；</w:t>
      </w:r>
    </w:p>
    <w:p w14:paraId="5D682F27">
      <w:pPr>
        <w:pStyle w:val="43"/>
        <w:numPr>
          <w:ilvl w:val="0"/>
          <w:numId w:val="37"/>
        </w:numPr>
        <w:tabs>
          <w:tab w:val="left" w:pos="1150"/>
        </w:tabs>
        <w:spacing w:before="161" w:line="374" w:lineRule="auto"/>
        <w:ind w:right="240" w:firstLine="619"/>
        <w:rPr>
          <w:sz w:val="24"/>
        </w:rPr>
      </w:pPr>
      <w:r>
        <w:rPr>
          <w:sz w:val="24"/>
        </w:rPr>
        <w:t>施工合同履行过程中与索赔事件有关的凭证。</w:t>
      </w:r>
    </w:p>
    <w:p w14:paraId="7FE64C01">
      <w:pPr>
        <w:pStyle w:val="3"/>
        <w:spacing w:before="132"/>
        <w:ind w:left="799"/>
      </w:pPr>
      <w:r>
        <w:rPr>
          <w:sz w:val="24"/>
          <w:szCs w:val="24"/>
        </w:rPr>
        <w:t xml:space="preserve">② </w:t>
      </w:r>
      <w:r>
        <w:t>当承包人提出费用索赔的理由同时满足以下条件时，项目监理机构应予以受理：</w:t>
      </w:r>
    </w:p>
    <w:p w14:paraId="5A878A7C">
      <w:pPr>
        <w:pStyle w:val="43"/>
        <w:numPr>
          <w:ilvl w:val="0"/>
          <w:numId w:val="0"/>
        </w:numPr>
        <w:tabs>
          <w:tab w:val="left" w:pos="1150"/>
        </w:tabs>
        <w:spacing w:before="161" w:line="374" w:lineRule="auto"/>
        <w:ind w:leftChars="200" w:right="240" w:rightChars="0"/>
        <w:rPr>
          <w:sz w:val="24"/>
        </w:rPr>
      </w:pPr>
      <w:r>
        <w:rPr>
          <w:rFonts w:hint="eastAsia"/>
          <w:sz w:val="24"/>
          <w:lang w:val="en-US" w:eastAsia="zh-CN"/>
        </w:rPr>
        <w:t>a.</w:t>
      </w:r>
      <w:r>
        <w:rPr>
          <w:sz w:val="24"/>
        </w:rPr>
        <w:t>索赔事件造成了承包人直接经济损失；</w:t>
      </w:r>
    </w:p>
    <w:p w14:paraId="794C8BDF">
      <w:pPr>
        <w:pStyle w:val="43"/>
        <w:numPr>
          <w:ilvl w:val="0"/>
          <w:numId w:val="0"/>
        </w:numPr>
        <w:tabs>
          <w:tab w:val="left" w:pos="1150"/>
        </w:tabs>
        <w:spacing w:before="161" w:line="374" w:lineRule="auto"/>
        <w:ind w:leftChars="200" w:right="240" w:rightChars="0"/>
        <w:rPr>
          <w:sz w:val="24"/>
        </w:rPr>
      </w:pPr>
      <w:r>
        <w:rPr>
          <w:rFonts w:hint="eastAsia"/>
          <w:sz w:val="24"/>
          <w:lang w:val="en-US" w:eastAsia="zh-CN"/>
        </w:rPr>
        <w:t>b.</w:t>
      </w:r>
      <w:r>
        <w:rPr>
          <w:sz w:val="24"/>
        </w:rPr>
        <w:t>索赔事件是由于非承包人的责任发生的；</w:t>
      </w:r>
    </w:p>
    <w:p w14:paraId="179B3CC8">
      <w:pPr>
        <w:pStyle w:val="43"/>
        <w:numPr>
          <w:ilvl w:val="0"/>
          <w:numId w:val="0"/>
        </w:numPr>
        <w:tabs>
          <w:tab w:val="left" w:pos="1150"/>
        </w:tabs>
        <w:spacing w:before="173" w:line="374" w:lineRule="auto"/>
        <w:ind w:leftChars="200" w:right="240" w:rightChars="0"/>
        <w:rPr>
          <w:sz w:val="24"/>
        </w:rPr>
      </w:pPr>
      <w:r>
        <w:rPr>
          <w:rFonts w:hint="eastAsia"/>
          <w:sz w:val="24"/>
          <w:lang w:val="en-US" w:eastAsia="zh-CN"/>
        </w:rPr>
        <w:t>c.</w:t>
      </w:r>
      <w:r>
        <w:rPr>
          <w:sz w:val="24"/>
        </w:rPr>
        <w:t>承包人已按照施工合同规定的期限和程序提出费用索赔申请表，并附有索赔凭证材料。</w:t>
      </w:r>
    </w:p>
    <w:p w14:paraId="653FAA4E">
      <w:pPr>
        <w:pStyle w:val="3"/>
        <w:spacing w:line="319" w:lineRule="exact"/>
        <w:ind w:left="799"/>
      </w:pPr>
      <w:r>
        <w:rPr>
          <w:sz w:val="24"/>
          <w:szCs w:val="24"/>
        </w:rPr>
        <w:t xml:space="preserve">③ </w:t>
      </w:r>
      <w:r>
        <w:t>承包人向委托人提出费用索赔，项目监理机构应按下列程序处理：</w:t>
      </w:r>
    </w:p>
    <w:p w14:paraId="118426FB">
      <w:pPr>
        <w:pStyle w:val="43"/>
        <w:numPr>
          <w:ilvl w:val="0"/>
          <w:numId w:val="0"/>
        </w:numPr>
        <w:tabs>
          <w:tab w:val="left" w:pos="1150"/>
        </w:tabs>
        <w:spacing w:before="161" w:line="374" w:lineRule="auto"/>
        <w:ind w:leftChars="200" w:right="240" w:rightChars="0"/>
        <w:rPr>
          <w:sz w:val="24"/>
        </w:rPr>
      </w:pPr>
      <w:r>
        <w:rPr>
          <w:rFonts w:hint="eastAsia"/>
          <w:sz w:val="24"/>
          <w:lang w:val="en-US" w:eastAsia="zh-CN"/>
        </w:rPr>
        <w:t>a.</w:t>
      </w:r>
      <w:r>
        <w:rPr>
          <w:sz w:val="24"/>
        </w:rPr>
        <w:t>承包人在施工合同规定的期限内向项目监理机构提交对委托人的费用索赔意向通知书；</w:t>
      </w:r>
    </w:p>
    <w:p w14:paraId="32AB33FB">
      <w:pPr>
        <w:pStyle w:val="43"/>
        <w:numPr>
          <w:ilvl w:val="0"/>
          <w:numId w:val="0"/>
        </w:numPr>
        <w:tabs>
          <w:tab w:val="left" w:pos="1150"/>
        </w:tabs>
        <w:spacing w:before="161" w:line="374" w:lineRule="auto"/>
        <w:ind w:leftChars="200" w:right="240" w:rightChars="0"/>
        <w:rPr>
          <w:sz w:val="24"/>
        </w:rPr>
      </w:pPr>
      <w:r>
        <w:rPr>
          <w:rFonts w:hint="eastAsia"/>
          <w:sz w:val="24"/>
          <w:lang w:val="en-US" w:eastAsia="zh-CN"/>
        </w:rPr>
        <w:t>b.</w:t>
      </w:r>
      <w:r>
        <w:rPr>
          <w:sz w:val="24"/>
        </w:rPr>
        <w:t>总监理工程师指定专业监理工程师收集与索赔有关的资料；</w:t>
      </w:r>
    </w:p>
    <w:p w14:paraId="0C49F7C5">
      <w:pPr>
        <w:pStyle w:val="43"/>
        <w:numPr>
          <w:ilvl w:val="0"/>
          <w:numId w:val="0"/>
        </w:numPr>
        <w:tabs>
          <w:tab w:val="left" w:pos="1150"/>
        </w:tabs>
        <w:spacing w:before="161" w:line="374" w:lineRule="auto"/>
        <w:ind w:leftChars="200" w:right="240" w:rightChars="0"/>
        <w:rPr>
          <w:sz w:val="24"/>
        </w:rPr>
      </w:pPr>
      <w:r>
        <w:rPr>
          <w:rFonts w:hint="eastAsia"/>
          <w:sz w:val="24"/>
          <w:lang w:val="en-US" w:eastAsia="zh-CN"/>
        </w:rPr>
        <w:t>c</w:t>
      </w:r>
      <w:r>
        <w:rPr>
          <w:sz w:val="24"/>
        </w:rPr>
        <w:t>承包人在承包合同规定的期限内向项目监理机构提交对委托人的费用索赔申请表；</w:t>
      </w:r>
    </w:p>
    <w:p w14:paraId="63E026F7">
      <w:pPr>
        <w:pStyle w:val="43"/>
        <w:numPr>
          <w:ilvl w:val="0"/>
          <w:numId w:val="0"/>
        </w:numPr>
        <w:tabs>
          <w:tab w:val="left" w:pos="1150"/>
        </w:tabs>
        <w:spacing w:before="161" w:line="374" w:lineRule="auto"/>
        <w:ind w:leftChars="200" w:right="240" w:rightChars="0"/>
        <w:rPr>
          <w:sz w:val="24"/>
        </w:rPr>
      </w:pPr>
      <w:r>
        <w:rPr>
          <w:rFonts w:hint="eastAsia"/>
          <w:sz w:val="24"/>
          <w:lang w:val="en-US" w:eastAsia="zh-CN"/>
        </w:rPr>
        <w:t>d</w:t>
      </w:r>
      <w:r>
        <w:rPr>
          <w:sz w:val="24"/>
        </w:rPr>
        <w:t>总监理工程师初步审查费用索赔申请表，符合上述②款规定的条件时予以受理；</w:t>
      </w:r>
    </w:p>
    <w:p w14:paraId="1FDC4F92">
      <w:pPr>
        <w:pStyle w:val="43"/>
        <w:numPr>
          <w:ilvl w:val="0"/>
          <w:numId w:val="0"/>
        </w:numPr>
        <w:tabs>
          <w:tab w:val="left" w:pos="1150"/>
        </w:tabs>
        <w:spacing w:before="161" w:line="374" w:lineRule="auto"/>
        <w:ind w:leftChars="200" w:right="240" w:rightChars="0"/>
        <w:rPr>
          <w:sz w:val="24"/>
        </w:rPr>
      </w:pPr>
      <w:r>
        <w:rPr>
          <w:rFonts w:hint="eastAsia"/>
          <w:sz w:val="24"/>
          <w:lang w:val="en-US" w:eastAsia="zh-CN"/>
        </w:rPr>
        <w:t>e</w:t>
      </w:r>
      <w:r>
        <w:rPr>
          <w:sz w:val="24"/>
        </w:rPr>
        <w:t>总监理工程师进行费用索赔审查，并在初步确定一个额度后，与承包人和委托人进行协商；</w:t>
      </w:r>
    </w:p>
    <w:p w14:paraId="09BDDEF6">
      <w:pPr>
        <w:pStyle w:val="43"/>
        <w:numPr>
          <w:ilvl w:val="0"/>
          <w:numId w:val="0"/>
        </w:numPr>
        <w:tabs>
          <w:tab w:val="left" w:pos="1150"/>
        </w:tabs>
        <w:spacing w:before="161" w:line="374" w:lineRule="auto"/>
        <w:ind w:leftChars="200" w:right="240" w:rightChars="0"/>
        <w:rPr>
          <w:sz w:val="24"/>
        </w:rPr>
      </w:pPr>
      <w:r>
        <w:rPr>
          <w:rFonts w:hint="eastAsia"/>
          <w:sz w:val="24"/>
          <w:lang w:val="en-US" w:eastAsia="zh-CN"/>
        </w:rPr>
        <w:t>f</w:t>
      </w:r>
      <w:r>
        <w:rPr>
          <w:sz w:val="24"/>
        </w:rPr>
        <w:t>总监理工程师应在施工合同规定的期限内签署费用索赔审批表，或在施工合同规定的期限内发出要求承包人提交有关索赔报告的进一步详细资料的通知，待收到承包人提交的详细资料后，按上述的第 d、e 项的程序进行。</w:t>
      </w:r>
    </w:p>
    <w:p w14:paraId="7EB66FAE">
      <w:pPr>
        <w:pStyle w:val="3"/>
        <w:spacing w:line="319" w:lineRule="exact"/>
        <w:ind w:left="943"/>
        <w:rPr>
          <w:sz w:val="24"/>
          <w:szCs w:val="24"/>
        </w:rPr>
      </w:pPr>
      <w:r>
        <w:rPr>
          <w:sz w:val="24"/>
          <w:szCs w:val="24"/>
        </w:rPr>
        <w:t>④ 当承包人的费用索赔要求与工程延期要求相关联时，总监理工程师在作出费用</w:t>
      </w:r>
    </w:p>
    <w:p w14:paraId="4763B58A">
      <w:pPr>
        <w:pStyle w:val="3"/>
        <w:spacing w:before="161" w:line="374" w:lineRule="auto"/>
        <w:ind w:right="239"/>
        <w:rPr>
          <w:sz w:val="24"/>
          <w:szCs w:val="24"/>
        </w:rPr>
      </w:pPr>
      <w:r>
        <w:rPr>
          <w:sz w:val="24"/>
          <w:szCs w:val="24"/>
        </w:rPr>
        <w:t>索赔的批准决定时，应与工程延期的批准联系起来，综合作出费用索赔和工程延期的决定。</w:t>
      </w:r>
    </w:p>
    <w:p w14:paraId="510B6CB4">
      <w:pPr>
        <w:pStyle w:val="3"/>
        <w:spacing w:line="320" w:lineRule="exact"/>
        <w:ind w:left="943"/>
      </w:pPr>
      <w:r>
        <w:rPr>
          <w:sz w:val="24"/>
          <w:szCs w:val="24"/>
        </w:rPr>
        <w:t>⑤ 由</w:t>
      </w:r>
      <w:r>
        <w:t>于承包人的原因造成委托人的额外损失，委托人向承包人提出费用索赔时，</w:t>
      </w:r>
    </w:p>
    <w:p w14:paraId="5CC0BCC1">
      <w:pPr>
        <w:pStyle w:val="3"/>
        <w:spacing w:before="161" w:line="374" w:lineRule="auto"/>
        <w:ind w:right="239"/>
      </w:pPr>
      <w:r>
        <w:t>总监理工程师在审查索赔报告后，应公正地与委托人和承包人进行协商，并及时作出答复。</w:t>
      </w:r>
    </w:p>
    <w:p w14:paraId="699825D6">
      <w:pPr>
        <w:pStyle w:val="43"/>
        <w:numPr>
          <w:ilvl w:val="0"/>
          <w:numId w:val="0"/>
        </w:numPr>
        <w:tabs>
          <w:tab w:val="left" w:pos="1092"/>
        </w:tabs>
        <w:spacing w:before="1"/>
        <w:ind w:leftChars="200"/>
        <w:rPr>
          <w:sz w:val="24"/>
        </w:rPr>
      </w:pPr>
      <w:r>
        <w:rPr>
          <w:rFonts w:hint="eastAsia"/>
          <w:sz w:val="24"/>
          <w:lang w:val="en-US" w:eastAsia="zh-CN"/>
        </w:rPr>
        <w:t>2）</w:t>
      </w:r>
      <w:r>
        <w:rPr>
          <w:sz w:val="24"/>
        </w:rPr>
        <w:t>合同争议的调解</w:t>
      </w:r>
    </w:p>
    <w:p w14:paraId="35A8FE9D">
      <w:pPr>
        <w:pStyle w:val="3"/>
        <w:spacing w:before="132"/>
        <w:ind w:left="0" w:leftChars="0" w:firstLine="0" w:firstLineChars="0"/>
      </w:pPr>
      <w:r>
        <w:rPr>
          <w:sz w:val="24"/>
          <w:szCs w:val="24"/>
        </w:rPr>
        <w:t xml:space="preserve">① </w:t>
      </w:r>
      <w:r>
        <w:t>项目监理机构接到合同争议的调解要求后应进行以下工作：</w:t>
      </w:r>
    </w:p>
    <w:p w14:paraId="198C0ED7">
      <w:pPr>
        <w:pStyle w:val="43"/>
        <w:numPr>
          <w:ilvl w:val="0"/>
          <w:numId w:val="38"/>
        </w:numPr>
        <w:tabs>
          <w:tab w:val="left" w:pos="1162"/>
        </w:tabs>
        <w:spacing w:before="173" w:line="374" w:lineRule="auto"/>
        <w:ind w:left="223" w:right="242" w:firstLine="619"/>
        <w:rPr>
          <w:sz w:val="24"/>
        </w:rPr>
      </w:pPr>
      <w:r>
        <w:rPr>
          <w:sz w:val="24"/>
        </w:rPr>
        <w:t>及时了解合同争议的全部情况，包括进行调查和取证；</w:t>
      </w:r>
    </w:p>
    <w:p w14:paraId="5E9CA8EE">
      <w:pPr>
        <w:pStyle w:val="43"/>
        <w:numPr>
          <w:ilvl w:val="0"/>
          <w:numId w:val="38"/>
        </w:numPr>
        <w:tabs>
          <w:tab w:val="left" w:pos="1162"/>
        </w:tabs>
        <w:spacing w:before="173" w:line="374" w:lineRule="auto"/>
        <w:ind w:left="223" w:right="242" w:firstLine="619"/>
        <w:rPr>
          <w:sz w:val="24"/>
        </w:rPr>
      </w:pPr>
      <w:r>
        <w:rPr>
          <w:sz w:val="24"/>
        </w:rPr>
        <w:t>及时与合同争议的双方进行磋商；</w:t>
      </w:r>
    </w:p>
    <w:p w14:paraId="6DC32940">
      <w:pPr>
        <w:pStyle w:val="43"/>
        <w:numPr>
          <w:ilvl w:val="0"/>
          <w:numId w:val="38"/>
        </w:numPr>
        <w:tabs>
          <w:tab w:val="left" w:pos="1162"/>
        </w:tabs>
        <w:spacing w:before="173" w:line="374" w:lineRule="auto"/>
        <w:ind w:left="223" w:right="242" w:firstLine="619"/>
        <w:rPr>
          <w:sz w:val="24"/>
        </w:rPr>
      </w:pPr>
      <w:r>
        <w:rPr>
          <w:sz w:val="24"/>
        </w:rPr>
        <w:t>在项目监理机构提出调解方案后，由总监理工程师进行争议调解；</w:t>
      </w:r>
    </w:p>
    <w:p w14:paraId="1F9A27C8">
      <w:pPr>
        <w:pStyle w:val="43"/>
        <w:numPr>
          <w:ilvl w:val="0"/>
          <w:numId w:val="38"/>
        </w:numPr>
        <w:tabs>
          <w:tab w:val="left" w:pos="1162"/>
        </w:tabs>
        <w:spacing w:before="173" w:line="374" w:lineRule="auto"/>
        <w:ind w:left="223" w:right="242" w:firstLine="619"/>
        <w:rPr>
          <w:sz w:val="24"/>
        </w:rPr>
      </w:pPr>
      <w:r>
        <w:rPr>
          <w:sz w:val="24"/>
        </w:rPr>
        <w:t>当调解未能达成一致时，总监理工程师应在施工合同规定的期限内提出处理该合同争议的意见；</w:t>
      </w:r>
    </w:p>
    <w:p w14:paraId="4009ADD4">
      <w:pPr>
        <w:pStyle w:val="43"/>
        <w:numPr>
          <w:ilvl w:val="0"/>
          <w:numId w:val="38"/>
        </w:numPr>
        <w:tabs>
          <w:tab w:val="left" w:pos="1150"/>
        </w:tabs>
        <w:spacing w:line="374" w:lineRule="auto"/>
        <w:ind w:left="223" w:right="240" w:firstLine="619"/>
        <w:rPr>
          <w:sz w:val="24"/>
        </w:rPr>
      </w:pPr>
      <w:r>
        <w:rPr>
          <w:sz w:val="24"/>
        </w:rPr>
        <w:t>在争议调解过程中，除已达到了施工合同规定的暂停履行合同的条件之外，项目监理机构应要求施工合同的双方继续履行施工合同。</w:t>
      </w:r>
    </w:p>
    <w:p w14:paraId="76BB2B29">
      <w:pPr>
        <w:pStyle w:val="3"/>
        <w:spacing w:line="319" w:lineRule="exact"/>
        <w:ind w:left="0" w:leftChars="0" w:firstLine="0" w:firstLineChars="0"/>
      </w:pPr>
      <w:r>
        <w:rPr>
          <w:sz w:val="28"/>
        </w:rPr>
        <w:t xml:space="preserve">② </w:t>
      </w:r>
      <w:r>
        <w:t>在总监理工程师签发合同争议处理意见后，委托人或承包人在施工合同规定的</w:t>
      </w:r>
    </w:p>
    <w:p w14:paraId="05532168">
      <w:pPr>
        <w:pStyle w:val="3"/>
        <w:spacing w:before="162" w:line="374" w:lineRule="auto"/>
        <w:ind w:left="0" w:leftChars="0" w:right="239" w:firstLine="0" w:firstLineChars="0"/>
      </w:pPr>
      <w:r>
        <w:t>期限内未对合同争议处理决定提出异议，在符合施工合同的前提下，此意见应成为最后的决定，双方必须执行。</w:t>
      </w:r>
    </w:p>
    <w:p w14:paraId="4E3EA6BA">
      <w:pPr>
        <w:pStyle w:val="3"/>
        <w:spacing w:line="319" w:lineRule="exact"/>
        <w:ind w:left="0" w:leftChars="0" w:firstLine="0" w:firstLineChars="0"/>
      </w:pPr>
      <w:r>
        <w:rPr>
          <w:sz w:val="28"/>
        </w:rPr>
        <w:t xml:space="preserve">③ </w:t>
      </w:r>
      <w:r>
        <w:t>在合同争议的仲裁或诉讼过程中，项目监理机构接到仲裁机关或法院要求提供</w:t>
      </w:r>
    </w:p>
    <w:p w14:paraId="1985610E">
      <w:pPr>
        <w:pStyle w:val="3"/>
        <w:spacing w:before="161"/>
        <w:ind w:left="0" w:leftChars="0" w:firstLine="0" w:firstLineChars="0"/>
      </w:pPr>
      <w:r>
        <w:t>有关证据的通知后，应公正地向仲裁机关或法院提供与争议有关的证据。</w:t>
      </w:r>
    </w:p>
    <w:p w14:paraId="1E570DDF">
      <w:pPr>
        <w:pStyle w:val="43"/>
        <w:numPr>
          <w:ilvl w:val="0"/>
          <w:numId w:val="0"/>
        </w:numPr>
        <w:tabs>
          <w:tab w:val="left" w:pos="0"/>
        </w:tabs>
        <w:spacing w:before="172"/>
        <w:ind w:leftChars="-5"/>
        <w:rPr>
          <w:sz w:val="24"/>
        </w:rPr>
      </w:pPr>
      <w:r>
        <w:rPr>
          <w:rFonts w:hint="eastAsia"/>
          <w:sz w:val="24"/>
          <w:lang w:val="en-US" w:eastAsia="zh-CN"/>
        </w:rPr>
        <w:t>3）</w:t>
      </w:r>
      <w:r>
        <w:rPr>
          <w:sz w:val="24"/>
        </w:rPr>
        <w:t>合同解除的相关工作</w:t>
      </w:r>
    </w:p>
    <w:p w14:paraId="24CEC1BF">
      <w:pPr>
        <w:pStyle w:val="3"/>
        <w:spacing w:before="133"/>
        <w:ind w:left="0" w:leftChars="0" w:firstLine="0" w:firstLineChars="0"/>
      </w:pPr>
      <w:r>
        <w:rPr>
          <w:sz w:val="28"/>
        </w:rPr>
        <w:t xml:space="preserve">① </w:t>
      </w:r>
      <w:r>
        <w:t>施工合同的解除必须符合法律程序。</w:t>
      </w:r>
    </w:p>
    <w:p w14:paraId="7399F983">
      <w:pPr>
        <w:pStyle w:val="3"/>
        <w:spacing w:before="121" w:line="362" w:lineRule="auto"/>
        <w:ind w:left="0" w:leftChars="0" w:right="228" w:firstLine="0" w:firstLineChars="0"/>
        <w:jc w:val="both"/>
      </w:pPr>
      <w:r>
        <w:rPr>
          <w:sz w:val="28"/>
        </w:rPr>
        <w:t xml:space="preserve">② </w:t>
      </w:r>
      <w:r>
        <w:t>当委托人违约导致施工合同最终解除时，项目监理机构应就承包人按施工合同规定应得到的款项与委托人和承包人进行协商，并应按施工合同的规定从下列应得的款项中确定承包人应得到的全部款项，并书面通知委托人和承包人：</w:t>
      </w:r>
    </w:p>
    <w:p w14:paraId="56E67EF9">
      <w:pPr>
        <w:pStyle w:val="43"/>
        <w:numPr>
          <w:ilvl w:val="0"/>
          <w:numId w:val="39"/>
        </w:numPr>
        <w:spacing w:before="10"/>
        <w:ind w:left="1142" w:leftChars="95" w:hanging="943" w:hangingChars="393"/>
        <w:jc w:val="both"/>
        <w:rPr>
          <w:sz w:val="24"/>
        </w:rPr>
      </w:pPr>
      <w:r>
        <w:rPr>
          <w:sz w:val="24"/>
        </w:rPr>
        <w:t>承包人已完成的工程量表中所列的各项工作所应得的款项；</w:t>
      </w:r>
    </w:p>
    <w:p w14:paraId="0B9421F9">
      <w:pPr>
        <w:pStyle w:val="43"/>
        <w:numPr>
          <w:ilvl w:val="0"/>
          <w:numId w:val="39"/>
        </w:numPr>
        <w:spacing w:before="172"/>
        <w:ind w:left="1142" w:leftChars="95" w:hanging="943" w:hangingChars="393"/>
        <w:jc w:val="both"/>
        <w:rPr>
          <w:sz w:val="24"/>
        </w:rPr>
      </w:pPr>
      <w:r>
        <w:rPr>
          <w:sz w:val="24"/>
        </w:rPr>
        <w:t>按批准的采购计划订购工程材料、设备、构配件的款项；</w:t>
      </w:r>
    </w:p>
    <w:p w14:paraId="171E1EB2">
      <w:pPr>
        <w:pStyle w:val="43"/>
        <w:numPr>
          <w:ilvl w:val="0"/>
          <w:numId w:val="39"/>
        </w:numPr>
        <w:spacing w:before="173"/>
        <w:ind w:left="1142" w:leftChars="95" w:hanging="943" w:hangingChars="393"/>
        <w:jc w:val="both"/>
        <w:rPr>
          <w:sz w:val="24"/>
        </w:rPr>
      </w:pPr>
      <w:r>
        <w:rPr>
          <w:sz w:val="24"/>
        </w:rPr>
        <w:t>承包人撤离施工设备至原基地或其他目的地的合理费用；</w:t>
      </w:r>
    </w:p>
    <w:p w14:paraId="0047F881">
      <w:pPr>
        <w:pStyle w:val="43"/>
        <w:numPr>
          <w:ilvl w:val="0"/>
          <w:numId w:val="39"/>
        </w:numPr>
        <w:spacing w:before="173"/>
        <w:ind w:left="1142" w:leftChars="95" w:hanging="943" w:hangingChars="393"/>
        <w:jc w:val="both"/>
        <w:rPr>
          <w:sz w:val="24"/>
        </w:rPr>
      </w:pPr>
      <w:r>
        <w:rPr>
          <w:sz w:val="24"/>
        </w:rPr>
        <w:t>承包人所有人员的合理遣返费用；</w:t>
      </w:r>
    </w:p>
    <w:p w14:paraId="4677B0AD">
      <w:pPr>
        <w:pStyle w:val="43"/>
        <w:numPr>
          <w:ilvl w:val="0"/>
          <w:numId w:val="39"/>
        </w:numPr>
        <w:spacing w:before="173"/>
        <w:ind w:left="1142" w:leftChars="95" w:hanging="943" w:hangingChars="393"/>
        <w:rPr>
          <w:sz w:val="24"/>
        </w:rPr>
      </w:pPr>
      <w:r>
        <w:rPr>
          <w:sz w:val="24"/>
        </w:rPr>
        <w:t>合理的利润补偿；</w:t>
      </w:r>
    </w:p>
    <w:p w14:paraId="7A9BEB60">
      <w:pPr>
        <w:pStyle w:val="43"/>
        <w:numPr>
          <w:ilvl w:val="0"/>
          <w:numId w:val="39"/>
        </w:numPr>
        <w:spacing w:before="172"/>
        <w:ind w:left="1142" w:leftChars="95" w:hanging="943" w:hangingChars="393"/>
        <w:rPr>
          <w:sz w:val="24"/>
        </w:rPr>
      </w:pPr>
      <w:r>
        <w:rPr>
          <w:sz w:val="24"/>
        </w:rPr>
        <w:t>施工合同规定的委托人应支付的违约金。</w:t>
      </w:r>
    </w:p>
    <w:p w14:paraId="6282BD8D">
      <w:pPr>
        <w:pStyle w:val="3"/>
        <w:spacing w:before="133" w:line="348" w:lineRule="auto"/>
        <w:ind w:left="0" w:leftChars="0" w:right="228" w:firstLine="0" w:firstLineChars="0"/>
      </w:pPr>
      <w:r>
        <w:rPr>
          <w:sz w:val="28"/>
        </w:rPr>
        <w:t xml:space="preserve">③ </w:t>
      </w:r>
      <w:r>
        <w:t>由于承包人违约导致施工合同终止后，项目监理机构应按下列程序清理承包人的应得款项，或偿还委托人的相关款项，并书面通知委托人和承包人：</w:t>
      </w:r>
    </w:p>
    <w:p w14:paraId="6584BDC4">
      <w:pPr>
        <w:pStyle w:val="43"/>
        <w:numPr>
          <w:ilvl w:val="0"/>
          <w:numId w:val="40"/>
        </w:numPr>
        <w:tabs>
          <w:tab w:val="left" w:pos="1150"/>
        </w:tabs>
        <w:spacing w:before="34" w:line="374" w:lineRule="auto"/>
        <w:ind w:right="240" w:firstLine="619"/>
        <w:rPr>
          <w:sz w:val="24"/>
        </w:rPr>
      </w:pPr>
      <w:r>
        <w:rPr>
          <w:sz w:val="24"/>
        </w:rPr>
        <w:t>施工合同终止时，清理承包人已按施工合同规定实际完成的工作所应得的款项和已经得到支付的款项；</w:t>
      </w:r>
    </w:p>
    <w:p w14:paraId="3B0B5198">
      <w:pPr>
        <w:pStyle w:val="43"/>
        <w:numPr>
          <w:ilvl w:val="0"/>
          <w:numId w:val="40"/>
        </w:numPr>
        <w:tabs>
          <w:tab w:val="left" w:pos="1150"/>
        </w:tabs>
        <w:spacing w:before="34" w:line="374" w:lineRule="auto"/>
        <w:ind w:right="240" w:firstLine="619"/>
        <w:rPr>
          <w:sz w:val="24"/>
        </w:rPr>
      </w:pPr>
      <w:r>
        <w:rPr>
          <w:sz w:val="24"/>
        </w:rPr>
        <w:t>施工现场余留的材料、设备及临时工程的价值；</w:t>
      </w:r>
    </w:p>
    <w:p w14:paraId="3335472B">
      <w:pPr>
        <w:pStyle w:val="43"/>
        <w:numPr>
          <w:ilvl w:val="0"/>
          <w:numId w:val="40"/>
        </w:numPr>
        <w:tabs>
          <w:tab w:val="left" w:pos="1150"/>
        </w:tabs>
        <w:spacing w:before="34" w:line="374" w:lineRule="auto"/>
        <w:ind w:right="240" w:firstLine="619"/>
        <w:rPr>
          <w:sz w:val="24"/>
        </w:rPr>
      </w:pPr>
      <w:r>
        <w:rPr>
          <w:sz w:val="24"/>
        </w:rPr>
        <w:t>检查和验收已完工工程，移交工程资料和对该部分工程的清理、质量缺陷修复等所需的费用；</w:t>
      </w:r>
    </w:p>
    <w:p w14:paraId="0728B7DE">
      <w:pPr>
        <w:pStyle w:val="43"/>
        <w:numPr>
          <w:ilvl w:val="0"/>
          <w:numId w:val="40"/>
        </w:numPr>
        <w:tabs>
          <w:tab w:val="left" w:pos="1150"/>
        </w:tabs>
        <w:spacing w:before="34" w:line="374" w:lineRule="auto"/>
        <w:ind w:right="240" w:firstLine="619"/>
        <w:rPr>
          <w:sz w:val="24"/>
        </w:rPr>
      </w:pPr>
      <w:r>
        <w:rPr>
          <w:sz w:val="24"/>
        </w:rPr>
        <w:t>施工合同规定的承包人应支付的违约金；</w:t>
      </w:r>
    </w:p>
    <w:p w14:paraId="605F7C1D">
      <w:pPr>
        <w:pStyle w:val="43"/>
        <w:numPr>
          <w:ilvl w:val="0"/>
          <w:numId w:val="40"/>
        </w:numPr>
        <w:tabs>
          <w:tab w:val="left" w:pos="1150"/>
        </w:tabs>
        <w:spacing w:before="34" w:line="374" w:lineRule="auto"/>
        <w:ind w:right="240" w:firstLine="619"/>
        <w:rPr>
          <w:sz w:val="24"/>
        </w:rPr>
      </w:pPr>
      <w:r>
        <w:rPr>
          <w:sz w:val="24"/>
        </w:rPr>
        <w:t>总监理工程师按照施工合同的规定，在与委托人和承包人协商后，书面提交承包人应得款项或偿还委托人款项的证明。</w:t>
      </w:r>
    </w:p>
    <w:p w14:paraId="1D41ACB0">
      <w:pPr>
        <w:pStyle w:val="3"/>
        <w:spacing w:line="319" w:lineRule="exact"/>
        <w:ind w:left="0" w:leftChars="0" w:firstLine="0" w:firstLineChars="0"/>
      </w:pPr>
      <w:r>
        <w:rPr>
          <w:sz w:val="28"/>
        </w:rPr>
        <w:t xml:space="preserve">④ </w:t>
      </w:r>
      <w:r>
        <w:t>由于不可抗力或非委托人、承包人原因导致施工合同终止时，项目监理机构应</w:t>
      </w:r>
    </w:p>
    <w:p w14:paraId="51308408">
      <w:pPr>
        <w:pStyle w:val="3"/>
        <w:spacing w:before="161"/>
      </w:pPr>
      <w:r>
        <w:t>按施工合同规定处理合同解除后的有关事宜。</w:t>
      </w:r>
    </w:p>
    <w:p w14:paraId="765F0F90">
      <w:pPr>
        <w:pStyle w:val="14"/>
        <w:numPr>
          <w:ilvl w:val="3"/>
          <w:numId w:val="20"/>
        </w:numPr>
        <w:tabs>
          <w:tab w:val="left" w:pos="0"/>
        </w:tabs>
        <w:spacing w:before="172"/>
        <w:ind w:left="0" w:leftChars="0" w:firstLine="0" w:firstLineChars="0"/>
        <w:jc w:val="both"/>
      </w:pPr>
      <w:r>
        <w:t>工程信息管理工作</w:t>
      </w:r>
    </w:p>
    <w:p w14:paraId="5B1C3664">
      <w:pPr>
        <w:pStyle w:val="43"/>
        <w:numPr>
          <w:ilvl w:val="0"/>
          <w:numId w:val="41"/>
        </w:numPr>
        <w:spacing w:before="173" w:line="374" w:lineRule="auto"/>
        <w:ind w:left="0" w:leftChars="0" w:right="227" w:firstLine="0" w:firstLineChars="0"/>
        <w:jc w:val="both"/>
        <w:rPr>
          <w:sz w:val="24"/>
        </w:rPr>
      </w:pPr>
      <w:r>
        <w:rPr>
          <w:sz w:val="24"/>
        </w:rPr>
        <w:t>项目信息是预测项目未来、决策项目实施方案以及追溯项目实施过程的依据， 是项目管理的重要基础资源，监理人要全面掌握信息源，灵活运用信息处理工具，收集相关信息资料。监理人必须进行管理的工程信息资料包括但不限于：</w:t>
      </w:r>
    </w:p>
    <w:p w14:paraId="154D1B83">
      <w:pPr>
        <w:pStyle w:val="43"/>
        <w:numPr>
          <w:ilvl w:val="1"/>
          <w:numId w:val="41"/>
        </w:numPr>
        <w:spacing w:before="1"/>
        <w:ind w:left="0" w:leftChars="0" w:firstLine="0" w:firstLineChars="0"/>
        <w:rPr>
          <w:sz w:val="24"/>
        </w:rPr>
      </w:pPr>
      <w:r>
        <w:rPr>
          <w:sz w:val="24"/>
        </w:rPr>
        <w:t>有关政策文件、法规、技术规范、质量标准等；</w:t>
      </w:r>
    </w:p>
    <w:p w14:paraId="3666C278">
      <w:pPr>
        <w:pStyle w:val="43"/>
        <w:numPr>
          <w:ilvl w:val="1"/>
          <w:numId w:val="41"/>
        </w:numPr>
        <w:spacing w:before="1"/>
        <w:ind w:left="0" w:leftChars="0" w:firstLine="0" w:firstLineChars="0"/>
        <w:rPr>
          <w:sz w:val="24"/>
        </w:rPr>
      </w:pPr>
      <w:r>
        <w:rPr>
          <w:sz w:val="24"/>
        </w:rPr>
        <w:t>设计及有关批准文件、图纸会审记录、设计变更设计文件等；</w:t>
      </w:r>
    </w:p>
    <w:p w14:paraId="25B722F6">
      <w:pPr>
        <w:pStyle w:val="43"/>
        <w:numPr>
          <w:ilvl w:val="1"/>
          <w:numId w:val="41"/>
        </w:numPr>
        <w:spacing w:before="1"/>
        <w:ind w:left="0" w:leftChars="0" w:firstLine="0" w:firstLineChars="0"/>
        <w:rPr>
          <w:sz w:val="24"/>
        </w:rPr>
      </w:pPr>
      <w:r>
        <w:rPr>
          <w:sz w:val="24"/>
        </w:rPr>
        <w:t>招投标文件、工程建设合同、协议、补充协议等；</w:t>
      </w:r>
    </w:p>
    <w:p w14:paraId="07D5F82E">
      <w:pPr>
        <w:pStyle w:val="43"/>
        <w:numPr>
          <w:ilvl w:val="1"/>
          <w:numId w:val="41"/>
        </w:numPr>
        <w:spacing w:before="1"/>
        <w:ind w:left="0" w:leftChars="0" w:firstLine="0" w:firstLineChars="0"/>
        <w:rPr>
          <w:sz w:val="24"/>
        </w:rPr>
      </w:pPr>
      <w:r>
        <w:rPr>
          <w:sz w:val="24"/>
        </w:rPr>
        <w:t>与委托人、承包人及工程有关单位之间的往来文件；</w:t>
      </w:r>
    </w:p>
    <w:p w14:paraId="1D223400">
      <w:pPr>
        <w:pStyle w:val="43"/>
        <w:numPr>
          <w:ilvl w:val="1"/>
          <w:numId w:val="41"/>
        </w:numPr>
        <w:spacing w:before="1"/>
        <w:ind w:left="0" w:leftChars="0" w:firstLine="0" w:firstLineChars="0"/>
        <w:rPr>
          <w:sz w:val="24"/>
        </w:rPr>
      </w:pPr>
      <w:r>
        <w:rPr>
          <w:sz w:val="24"/>
        </w:rPr>
        <w:t>承包人施工组织设计、临时工程设计、方案等资料；</w:t>
      </w:r>
    </w:p>
    <w:p w14:paraId="689B3F57">
      <w:pPr>
        <w:pStyle w:val="43"/>
        <w:numPr>
          <w:ilvl w:val="1"/>
          <w:numId w:val="41"/>
        </w:numPr>
        <w:spacing w:before="1"/>
        <w:ind w:left="0" w:leftChars="0" w:firstLine="0" w:firstLineChars="0"/>
        <w:rPr>
          <w:sz w:val="24"/>
        </w:rPr>
      </w:pPr>
      <w:r>
        <w:rPr>
          <w:sz w:val="24"/>
        </w:rPr>
        <w:t>各种材料报验、材料、构配件、机械设备的技术资料、检测、试验报告等资料；</w:t>
      </w:r>
    </w:p>
    <w:p w14:paraId="36938D9C">
      <w:pPr>
        <w:pStyle w:val="43"/>
        <w:numPr>
          <w:ilvl w:val="1"/>
          <w:numId w:val="41"/>
        </w:numPr>
        <w:spacing w:before="1"/>
        <w:ind w:left="0" w:leftChars="0" w:firstLine="0" w:firstLineChars="0"/>
        <w:rPr>
          <w:sz w:val="24"/>
        </w:rPr>
      </w:pPr>
      <w:r>
        <w:rPr>
          <w:sz w:val="24"/>
        </w:rPr>
        <w:t>各种报验、验收、报告、报表、计量、支付、施工记录、现场签证、质量、进度状况记录等资料；</w:t>
      </w:r>
    </w:p>
    <w:p w14:paraId="22462976">
      <w:pPr>
        <w:pStyle w:val="43"/>
        <w:numPr>
          <w:ilvl w:val="1"/>
          <w:numId w:val="41"/>
        </w:numPr>
        <w:spacing w:before="1"/>
        <w:ind w:left="0" w:leftChars="0" w:firstLine="0" w:firstLineChars="0"/>
        <w:rPr>
          <w:sz w:val="24"/>
        </w:rPr>
      </w:pPr>
      <w:r>
        <w:rPr>
          <w:sz w:val="24"/>
        </w:rPr>
        <w:t>监理日记、巡查、旁站记录、工程照片、事故处理资料、关键的检查资料；</w:t>
      </w:r>
    </w:p>
    <w:p w14:paraId="52CC3E67">
      <w:pPr>
        <w:pStyle w:val="43"/>
        <w:numPr>
          <w:ilvl w:val="1"/>
          <w:numId w:val="41"/>
        </w:numPr>
        <w:spacing w:before="1"/>
        <w:ind w:left="0" w:leftChars="0" w:firstLine="0" w:firstLineChars="0"/>
        <w:rPr>
          <w:sz w:val="24"/>
        </w:rPr>
      </w:pPr>
      <w:r>
        <w:rPr>
          <w:sz w:val="24"/>
        </w:rPr>
        <w:t>监理通知、会议</w:t>
      </w:r>
      <w:r>
        <w:rPr>
          <w:rFonts w:hint="eastAsia"/>
          <w:sz w:val="24"/>
          <w:lang w:val="en-US" w:eastAsia="zh-CN"/>
        </w:rPr>
        <w:t>纪</w:t>
      </w:r>
      <w:r>
        <w:rPr>
          <w:sz w:val="24"/>
        </w:rPr>
        <w:t>要、备忘录、合同执行情况、监理月报、监理报告、总结、评估等；</w:t>
      </w:r>
    </w:p>
    <w:p w14:paraId="471A0470">
      <w:pPr>
        <w:pStyle w:val="43"/>
        <w:numPr>
          <w:ilvl w:val="1"/>
          <w:numId w:val="41"/>
        </w:numPr>
        <w:spacing w:before="1"/>
        <w:ind w:left="0" w:leftChars="0" w:firstLine="0" w:firstLineChars="0"/>
        <w:rPr>
          <w:sz w:val="24"/>
        </w:rPr>
      </w:pPr>
      <w:r>
        <w:rPr>
          <w:sz w:val="24"/>
        </w:rPr>
        <w:t>工序验收、检验批验收、分项验收、分部（或子分部）验收、中间验收、竣工验收资料；</w:t>
      </w:r>
    </w:p>
    <w:p w14:paraId="72DA700F">
      <w:pPr>
        <w:pStyle w:val="43"/>
        <w:numPr>
          <w:ilvl w:val="1"/>
          <w:numId w:val="41"/>
        </w:numPr>
        <w:spacing w:before="1"/>
        <w:ind w:left="0" w:leftChars="0" w:firstLine="0" w:firstLineChars="0"/>
        <w:rPr>
          <w:sz w:val="24"/>
        </w:rPr>
      </w:pPr>
      <w:r>
        <w:rPr>
          <w:sz w:val="24"/>
        </w:rPr>
        <w:t>消防验收、防疫验收、环保验收、装修室内辐射/空气等专项验收资料；</w:t>
      </w:r>
    </w:p>
    <w:p w14:paraId="236E8901">
      <w:pPr>
        <w:pStyle w:val="43"/>
        <w:numPr>
          <w:ilvl w:val="1"/>
          <w:numId w:val="41"/>
        </w:numPr>
        <w:spacing w:before="1"/>
        <w:ind w:left="0" w:leftChars="0" w:firstLine="0" w:firstLineChars="0"/>
        <w:rPr>
          <w:sz w:val="24"/>
        </w:rPr>
      </w:pPr>
      <w:r>
        <w:rPr>
          <w:sz w:val="24"/>
        </w:rPr>
        <w:t>监理制度、规定与管理办法等内部文件；</w:t>
      </w:r>
    </w:p>
    <w:p w14:paraId="2BE9B783">
      <w:pPr>
        <w:pStyle w:val="43"/>
        <w:numPr>
          <w:ilvl w:val="1"/>
          <w:numId w:val="41"/>
        </w:numPr>
        <w:spacing w:before="1"/>
        <w:ind w:left="0" w:leftChars="0" w:firstLine="0" w:firstLineChars="0"/>
        <w:rPr>
          <w:sz w:val="24"/>
        </w:rPr>
      </w:pPr>
      <w:r>
        <w:rPr>
          <w:sz w:val="24"/>
        </w:rPr>
        <w:t>安全、文明生产控制资料等。</w:t>
      </w:r>
    </w:p>
    <w:p w14:paraId="1F95A33D">
      <w:pPr>
        <w:pStyle w:val="43"/>
        <w:numPr>
          <w:ilvl w:val="0"/>
          <w:numId w:val="41"/>
        </w:numPr>
        <w:spacing w:before="172" w:line="374" w:lineRule="auto"/>
        <w:ind w:left="0" w:leftChars="0" w:right="227" w:firstLine="0" w:firstLineChars="0"/>
        <w:rPr>
          <w:sz w:val="24"/>
        </w:rPr>
      </w:pPr>
      <w:r>
        <w:rPr>
          <w:sz w:val="24"/>
        </w:rPr>
        <w:t>建立信息管理制度，严格信息采集、编排、查阅、归档保存的管理办法，由专人实施。监理资料的管理必须满足以下要求：</w:t>
      </w:r>
    </w:p>
    <w:p w14:paraId="25254E6D">
      <w:pPr>
        <w:pStyle w:val="43"/>
        <w:numPr>
          <w:ilvl w:val="1"/>
          <w:numId w:val="41"/>
        </w:numPr>
        <w:spacing w:before="1"/>
        <w:ind w:left="0" w:leftChars="0" w:firstLine="0" w:firstLineChars="0"/>
        <w:rPr>
          <w:sz w:val="24"/>
        </w:rPr>
      </w:pPr>
      <w:r>
        <w:rPr>
          <w:sz w:val="24"/>
        </w:rPr>
        <w:t>监理资料必须及时整理、真实完整、分类有序。</w:t>
      </w:r>
    </w:p>
    <w:p w14:paraId="0BEF932D">
      <w:pPr>
        <w:pStyle w:val="43"/>
        <w:numPr>
          <w:ilvl w:val="1"/>
          <w:numId w:val="41"/>
        </w:numPr>
        <w:spacing w:before="1"/>
        <w:ind w:left="0" w:leftChars="0" w:firstLine="0" w:firstLineChars="0"/>
        <w:rPr>
          <w:sz w:val="24"/>
        </w:rPr>
      </w:pPr>
      <w:r>
        <w:rPr>
          <w:sz w:val="24"/>
        </w:rPr>
        <w:t>监理资料的管理应由总监理工程师负责，并指定专人具体实施。</w:t>
      </w:r>
    </w:p>
    <w:p w14:paraId="24EBCE9F">
      <w:pPr>
        <w:pStyle w:val="43"/>
        <w:numPr>
          <w:ilvl w:val="1"/>
          <w:numId w:val="41"/>
        </w:numPr>
        <w:spacing w:before="1"/>
        <w:ind w:left="0" w:leftChars="0" w:firstLine="0" w:firstLineChars="0"/>
        <w:rPr>
          <w:sz w:val="24"/>
        </w:rPr>
      </w:pPr>
      <w:r>
        <w:rPr>
          <w:sz w:val="24"/>
        </w:rPr>
        <w:t>监理资料应在各阶段监理工作结束后及时整理归档。</w:t>
      </w:r>
    </w:p>
    <w:p w14:paraId="75068292">
      <w:pPr>
        <w:pStyle w:val="43"/>
        <w:numPr>
          <w:ilvl w:val="1"/>
          <w:numId w:val="41"/>
        </w:numPr>
        <w:spacing w:before="1"/>
        <w:ind w:left="0" w:leftChars="0" w:firstLine="0" w:firstLineChars="0"/>
        <w:rPr>
          <w:sz w:val="24"/>
        </w:rPr>
      </w:pPr>
      <w:r>
        <w:rPr>
          <w:sz w:val="24"/>
        </w:rPr>
        <w:t>监理档案的编制及保存应按有关规定执行。</w:t>
      </w:r>
    </w:p>
    <w:p w14:paraId="4E390996">
      <w:pPr>
        <w:pStyle w:val="43"/>
        <w:numPr>
          <w:ilvl w:val="0"/>
          <w:numId w:val="41"/>
        </w:numPr>
        <w:spacing w:before="173"/>
        <w:ind w:left="0" w:leftChars="0" w:firstLine="0" w:firstLineChars="0"/>
        <w:rPr>
          <w:sz w:val="24"/>
        </w:rPr>
      </w:pPr>
      <w:r>
        <w:rPr>
          <w:sz w:val="24"/>
        </w:rPr>
        <w:t>计算机信息管理</w:t>
      </w:r>
    </w:p>
    <w:p w14:paraId="17237D91">
      <w:pPr>
        <w:pStyle w:val="43"/>
        <w:numPr>
          <w:ilvl w:val="0"/>
          <w:numId w:val="42"/>
        </w:numPr>
        <w:spacing w:before="172"/>
        <w:ind w:left="0" w:leftChars="0" w:firstLine="0" w:firstLineChars="0"/>
        <w:rPr>
          <w:sz w:val="24"/>
        </w:rPr>
      </w:pPr>
      <w:r>
        <w:rPr>
          <w:sz w:val="24"/>
        </w:rPr>
        <w:t>计算机信息管理的内容和基本要求</w:t>
      </w:r>
    </w:p>
    <w:p w14:paraId="1A55B432">
      <w:pPr>
        <w:pStyle w:val="3"/>
        <w:spacing w:before="173" w:line="374" w:lineRule="auto"/>
        <w:ind w:right="227" w:firstLine="496"/>
      </w:pPr>
      <w:r>
        <w:t>监理人应运用计算机技术对合同项目进行科学管理，全面提高合同工程施工管理水平。</w:t>
      </w:r>
    </w:p>
    <w:p w14:paraId="53F038C0">
      <w:pPr>
        <w:pStyle w:val="43"/>
        <w:numPr>
          <w:ilvl w:val="0"/>
          <w:numId w:val="42"/>
        </w:numPr>
        <w:spacing w:before="172"/>
        <w:ind w:left="0" w:leftChars="0" w:firstLine="0" w:firstLineChars="0"/>
        <w:rPr>
          <w:sz w:val="24"/>
        </w:rPr>
      </w:pPr>
      <w:r>
        <w:rPr>
          <w:sz w:val="24"/>
        </w:rPr>
        <w:t>计算机硬件</w:t>
      </w:r>
    </w:p>
    <w:p w14:paraId="5115953C">
      <w:pPr>
        <w:pStyle w:val="3"/>
        <w:spacing w:before="173" w:line="374" w:lineRule="auto"/>
        <w:ind w:right="223" w:firstLine="496"/>
      </w:pPr>
      <w:r>
        <w:t>监理人应配置满足运行要求的计算机和工作站来支持日常的合同项目施工管理工作。</w:t>
      </w:r>
    </w:p>
    <w:p w14:paraId="75BFEA85">
      <w:pPr>
        <w:pStyle w:val="43"/>
        <w:numPr>
          <w:ilvl w:val="0"/>
          <w:numId w:val="42"/>
        </w:numPr>
        <w:spacing w:before="172"/>
        <w:ind w:left="0" w:leftChars="0" w:firstLine="0" w:firstLineChars="0"/>
        <w:rPr>
          <w:sz w:val="24"/>
        </w:rPr>
      </w:pPr>
      <w:r>
        <w:rPr>
          <w:sz w:val="24"/>
        </w:rPr>
        <w:t>计算机软件</w:t>
      </w:r>
    </w:p>
    <w:p w14:paraId="705DDC42">
      <w:pPr>
        <w:pStyle w:val="3"/>
        <w:spacing w:before="172" w:line="374" w:lineRule="auto"/>
        <w:ind w:right="239" w:firstLine="496"/>
      </w:pPr>
      <w:r>
        <w:t>计算机工程信息管理系统运行在 Windows2000 或更高版本的操作系统上，这部分软件由监理人自己负责。</w:t>
      </w:r>
    </w:p>
    <w:p w14:paraId="2EF700B9">
      <w:pPr>
        <w:pStyle w:val="43"/>
        <w:numPr>
          <w:ilvl w:val="0"/>
          <w:numId w:val="42"/>
        </w:numPr>
        <w:spacing w:before="1"/>
        <w:ind w:left="12" w:leftChars="0" w:hanging="12" w:hangingChars="5"/>
        <w:rPr>
          <w:sz w:val="24"/>
        </w:rPr>
      </w:pPr>
      <w:r>
        <w:rPr>
          <w:sz w:val="24"/>
        </w:rPr>
        <w:t>信息内容、格式及信息传递要求</w:t>
      </w:r>
    </w:p>
    <w:p w14:paraId="3788364D">
      <w:pPr>
        <w:pStyle w:val="3"/>
        <w:spacing w:before="172" w:line="374" w:lineRule="auto"/>
        <w:ind w:right="227" w:firstLine="496"/>
        <w:jc w:val="both"/>
      </w:pPr>
      <w:r>
        <w:t>监理人应及时准确地按委托人和监理工程师所要求的时限、内容和格式将相关工程信息录入并传递给委托人和监理工程师。监理人如未能按委托人的规定将信息录入或传递给委托人，可以成为委托人缓付或停付工程进度款的理由。</w:t>
      </w:r>
    </w:p>
    <w:p w14:paraId="7FDA3CB7">
      <w:pPr>
        <w:pStyle w:val="43"/>
        <w:numPr>
          <w:ilvl w:val="0"/>
          <w:numId w:val="41"/>
        </w:numPr>
        <w:tabs>
          <w:tab w:val="left" w:pos="1220"/>
        </w:tabs>
        <w:spacing w:before="1" w:line="374" w:lineRule="auto"/>
        <w:ind w:right="227" w:firstLine="372"/>
        <w:rPr>
          <w:sz w:val="24"/>
        </w:rPr>
      </w:pPr>
      <w:r>
        <w:rPr>
          <w:sz w:val="24"/>
        </w:rPr>
        <w:t>对所收集的信息必须进行分析，确保其准确、全面、来源可靠，且要求为正式资料。</w:t>
      </w:r>
    </w:p>
    <w:p w14:paraId="181951FF">
      <w:pPr>
        <w:pStyle w:val="43"/>
        <w:numPr>
          <w:ilvl w:val="0"/>
          <w:numId w:val="41"/>
        </w:numPr>
        <w:tabs>
          <w:tab w:val="left" w:pos="1220"/>
        </w:tabs>
        <w:spacing w:before="1" w:line="374" w:lineRule="auto"/>
        <w:ind w:right="227" w:firstLine="372"/>
        <w:rPr>
          <w:sz w:val="24"/>
        </w:rPr>
      </w:pPr>
      <w:r>
        <w:rPr>
          <w:sz w:val="24"/>
        </w:rPr>
        <w:t>及时将采集到的信息进行筛选分类，分别通报给有关领导、职能部门和有关人员审阅和签署意见。</w:t>
      </w:r>
    </w:p>
    <w:p w14:paraId="70CDE114">
      <w:pPr>
        <w:pStyle w:val="43"/>
        <w:numPr>
          <w:ilvl w:val="0"/>
          <w:numId w:val="41"/>
        </w:numPr>
        <w:tabs>
          <w:tab w:val="left" w:pos="1220"/>
        </w:tabs>
        <w:spacing w:before="1" w:line="374" w:lineRule="auto"/>
        <w:ind w:right="227" w:firstLine="372"/>
        <w:rPr>
          <w:sz w:val="24"/>
        </w:rPr>
      </w:pPr>
      <w:r>
        <w:rPr>
          <w:sz w:val="24"/>
        </w:rPr>
        <w:t>建立主体数据库系统结构，及时对信息分类保存、要求列</w:t>
      </w:r>
      <w:r>
        <w:rPr>
          <w:rFonts w:hint="eastAsia"/>
          <w:sz w:val="24"/>
          <w:lang w:val="en-US" w:eastAsia="zh-CN"/>
        </w:rPr>
        <w:t>明</w:t>
      </w:r>
      <w:r>
        <w:rPr>
          <w:sz w:val="24"/>
        </w:rPr>
        <w:t>事件、题目、来源、概要、经办人或其他基本情况。</w:t>
      </w:r>
    </w:p>
    <w:p w14:paraId="205C0EA4">
      <w:pPr>
        <w:pStyle w:val="43"/>
        <w:numPr>
          <w:ilvl w:val="0"/>
          <w:numId w:val="41"/>
        </w:numPr>
        <w:tabs>
          <w:tab w:val="left" w:pos="1220"/>
        </w:tabs>
        <w:spacing w:before="1" w:line="374" w:lineRule="auto"/>
        <w:ind w:right="227" w:firstLine="372"/>
        <w:rPr>
          <w:sz w:val="24"/>
        </w:rPr>
      </w:pPr>
      <w:r>
        <w:rPr>
          <w:sz w:val="24"/>
        </w:rPr>
        <w:t>对信息资料收集和反馈进行跟踪，对信息进行动态管理。</w:t>
      </w:r>
    </w:p>
    <w:p w14:paraId="2CF94926">
      <w:pPr>
        <w:pStyle w:val="43"/>
        <w:numPr>
          <w:ilvl w:val="0"/>
          <w:numId w:val="41"/>
        </w:numPr>
        <w:tabs>
          <w:tab w:val="left" w:pos="1220"/>
        </w:tabs>
        <w:spacing w:before="1" w:line="374" w:lineRule="auto"/>
        <w:ind w:right="227" w:firstLine="372"/>
        <w:rPr>
          <w:sz w:val="24"/>
        </w:rPr>
      </w:pPr>
      <w:r>
        <w:rPr>
          <w:sz w:val="24"/>
        </w:rPr>
        <w:t>涉及国家机密或各单位商业秘密的信息资料保管工作应制订保密管理细则，防止机密泄漏，避免造成经济损失和政治影响。</w:t>
      </w:r>
    </w:p>
    <w:p w14:paraId="762B0D93">
      <w:pPr>
        <w:pStyle w:val="43"/>
        <w:numPr>
          <w:ilvl w:val="0"/>
          <w:numId w:val="41"/>
        </w:numPr>
        <w:tabs>
          <w:tab w:val="left" w:pos="1220"/>
        </w:tabs>
        <w:spacing w:before="1" w:line="374" w:lineRule="auto"/>
        <w:ind w:right="227" w:firstLine="372"/>
        <w:rPr>
          <w:sz w:val="24"/>
        </w:rPr>
      </w:pPr>
      <w:r>
        <w:rPr>
          <w:sz w:val="24"/>
        </w:rPr>
        <w:t>有保留价值的信息，经请示有关领导后可以消除，但应做好登记。</w:t>
      </w:r>
    </w:p>
    <w:p w14:paraId="2FF1ED89">
      <w:pPr>
        <w:pStyle w:val="43"/>
        <w:numPr>
          <w:ilvl w:val="0"/>
          <w:numId w:val="41"/>
        </w:numPr>
        <w:tabs>
          <w:tab w:val="left" w:pos="0"/>
        </w:tabs>
        <w:spacing w:before="1" w:line="374" w:lineRule="auto"/>
        <w:ind w:left="0" w:leftChars="0" w:right="227" w:hanging="3" w:firstLineChars="0"/>
        <w:rPr>
          <w:sz w:val="24"/>
        </w:rPr>
      </w:pPr>
      <w:r>
        <w:rPr>
          <w:sz w:val="24"/>
        </w:rPr>
        <w:t>工程结束后，按有关规定进行信息整理存档、移交，并办理好移交签收手续。</w:t>
      </w:r>
    </w:p>
    <w:p w14:paraId="3121BEB8">
      <w:pPr>
        <w:pStyle w:val="43"/>
        <w:numPr>
          <w:ilvl w:val="0"/>
          <w:numId w:val="41"/>
        </w:numPr>
        <w:tabs>
          <w:tab w:val="left" w:pos="1220"/>
        </w:tabs>
        <w:spacing w:before="1" w:line="374" w:lineRule="auto"/>
        <w:ind w:right="227" w:firstLine="372"/>
        <w:rPr>
          <w:sz w:val="24"/>
        </w:rPr>
      </w:pPr>
      <w:r>
        <w:rPr>
          <w:sz w:val="24"/>
        </w:rPr>
        <w:t>监理人在提交相关信息的纸质文件的同时，须根据委托人的要求提交电子原版和纸质文件扫描版。</w:t>
      </w:r>
    </w:p>
    <w:p w14:paraId="7E77E8A2">
      <w:pPr>
        <w:pStyle w:val="14"/>
        <w:numPr>
          <w:ilvl w:val="3"/>
          <w:numId w:val="20"/>
        </w:numPr>
        <w:tabs>
          <w:tab w:val="left" w:pos="1536"/>
        </w:tabs>
        <w:ind w:left="1536" w:hanging="816"/>
      </w:pPr>
      <w:r>
        <w:t>工程项目沟通与协调</w:t>
      </w:r>
    </w:p>
    <w:p w14:paraId="474B0736">
      <w:pPr>
        <w:pStyle w:val="43"/>
        <w:numPr>
          <w:ilvl w:val="0"/>
          <w:numId w:val="43"/>
        </w:numPr>
        <w:tabs>
          <w:tab w:val="left" w:pos="1211"/>
        </w:tabs>
        <w:spacing w:before="173" w:line="374" w:lineRule="auto"/>
        <w:ind w:right="115" w:firstLine="372"/>
        <w:rPr>
          <w:sz w:val="24"/>
        </w:rPr>
      </w:pPr>
      <w:r>
        <w:rPr>
          <w:sz w:val="24"/>
        </w:rPr>
        <w:t>建立项目沟通与协调管理系统，健全各项制度，并本着“严格守法、遵守公德” 的原则，以维护各相关方的利益为前提，应用先进、实用的方法和手段，有效解决项目实施过程中的问题。</w:t>
      </w:r>
    </w:p>
    <w:p w14:paraId="2317FD87">
      <w:pPr>
        <w:pStyle w:val="43"/>
        <w:numPr>
          <w:ilvl w:val="0"/>
          <w:numId w:val="43"/>
        </w:numPr>
        <w:tabs>
          <w:tab w:val="left" w:pos="1220"/>
        </w:tabs>
        <w:spacing w:before="1" w:line="374" w:lineRule="auto"/>
        <w:ind w:right="227" w:firstLine="372"/>
        <w:jc w:val="both"/>
        <w:rPr>
          <w:sz w:val="24"/>
        </w:rPr>
      </w:pPr>
      <w:r>
        <w:rPr>
          <w:sz w:val="24"/>
        </w:rPr>
        <w:t>制定项目沟通管理计划，按内容划分主要有：施工进度、质量、安全、成本、资金、环保、设计变更、索赔、材料供应、设备使用、人力资源、文明工地建设等；按时间划分主要有：项目管理实施规划、年度计划、月计划、周计划等。</w:t>
      </w:r>
    </w:p>
    <w:p w14:paraId="540595F2">
      <w:pPr>
        <w:pStyle w:val="43"/>
        <w:numPr>
          <w:ilvl w:val="0"/>
          <w:numId w:val="43"/>
        </w:numPr>
        <w:tabs>
          <w:tab w:val="left" w:pos="1220"/>
        </w:tabs>
        <w:spacing w:before="1" w:line="374" w:lineRule="auto"/>
        <w:ind w:right="227" w:firstLine="372"/>
        <w:rPr>
          <w:sz w:val="24"/>
        </w:rPr>
      </w:pPr>
      <w:r>
        <w:rPr>
          <w:sz w:val="24"/>
        </w:rPr>
        <w:t>项目沟通管理计划明确沟通的具体内容、对象、方式、目标、责任人、完成时间、奖罚措施等，并定期或不定期地进行检查、考核和评价，确保沟通计划落到实处。</w:t>
      </w:r>
    </w:p>
    <w:p w14:paraId="2E4F18C1">
      <w:pPr>
        <w:pStyle w:val="43"/>
        <w:numPr>
          <w:ilvl w:val="0"/>
          <w:numId w:val="43"/>
        </w:numPr>
        <w:tabs>
          <w:tab w:val="left" w:pos="1220"/>
        </w:tabs>
        <w:spacing w:line="374" w:lineRule="auto"/>
        <w:ind w:right="107" w:firstLine="372"/>
        <w:rPr>
          <w:sz w:val="24"/>
        </w:rPr>
      </w:pPr>
      <w:r>
        <w:rPr>
          <w:sz w:val="24"/>
        </w:rPr>
        <w:t>对项目实施各阶段出现的矛盾和问题，根据沟通与协调的进展情况和结果，按程序要求通过各种方式及时将信息反馈给各相关方，实现共享，提高沟通与协调的效果。通过有效地计划、组织和协调，监督相关各方履行各自的职责，协调参与工程建设各方关系，充分利用各方优势为本合同工程建设服务。</w:t>
      </w:r>
    </w:p>
    <w:p w14:paraId="53EB754F">
      <w:pPr>
        <w:pStyle w:val="43"/>
        <w:numPr>
          <w:ilvl w:val="0"/>
          <w:numId w:val="43"/>
        </w:numPr>
        <w:tabs>
          <w:tab w:val="left" w:pos="1220"/>
        </w:tabs>
        <w:spacing w:before="1" w:line="374" w:lineRule="auto"/>
        <w:ind w:right="108" w:firstLine="372"/>
        <w:rPr>
          <w:sz w:val="24"/>
        </w:rPr>
      </w:pPr>
      <w:r>
        <w:rPr>
          <w:sz w:val="24"/>
        </w:rPr>
        <w:t>定期组织召开建设单位、设计、监理、质监站、安监站、承包人参加的工地现场会，协调施工过程中出现的各种矛盾和问题，会前一天，就质量、安全、进度、资金、技术、材料等需要协调的问题等议题征求意见，分送有关单位，以便会前做好充分准备， 会后写出会议纪要发与会各单位，并督促执行。</w:t>
      </w:r>
    </w:p>
    <w:p w14:paraId="190A2853">
      <w:pPr>
        <w:pStyle w:val="43"/>
        <w:numPr>
          <w:ilvl w:val="0"/>
          <w:numId w:val="43"/>
        </w:numPr>
        <w:tabs>
          <w:tab w:val="left" w:pos="1220"/>
        </w:tabs>
        <w:spacing w:before="2" w:line="374" w:lineRule="auto"/>
        <w:ind w:right="227" w:firstLine="372"/>
        <w:jc w:val="both"/>
        <w:rPr>
          <w:sz w:val="24"/>
        </w:rPr>
      </w:pPr>
      <w:r>
        <w:rPr>
          <w:sz w:val="24"/>
        </w:rPr>
        <w:t>妥善处理各分项工程之间的施工配合，要求各承包人提出需要配合的问题，如施工场地的要求、施工用水、用电、交叉作业的相互影响，施工收口处理、建筑成品保护要求及需要采取的配合措施等。</w:t>
      </w:r>
    </w:p>
    <w:p w14:paraId="7D7E3067">
      <w:pPr>
        <w:pStyle w:val="14"/>
        <w:numPr>
          <w:ilvl w:val="3"/>
          <w:numId w:val="20"/>
        </w:numPr>
        <w:tabs>
          <w:tab w:val="left" w:pos="1665"/>
          <w:tab w:val="left" w:pos="1666"/>
        </w:tabs>
      </w:pPr>
      <w:r>
        <w:t>环境管理工作</w:t>
      </w:r>
    </w:p>
    <w:p w14:paraId="2B721DE4">
      <w:pPr>
        <w:pStyle w:val="3"/>
        <w:spacing w:before="173" w:line="360" w:lineRule="auto"/>
        <w:ind w:firstLine="480" w:firstLineChars="200"/>
      </w:pPr>
      <w:r>
        <w:t>监理人应对施工过程中影响环境的活动进行监督管理，以满足相关的法律法规对环境保护的要求。监理人环境管理工作的主要工作内容如下：</w:t>
      </w:r>
    </w:p>
    <w:p w14:paraId="60AEE609">
      <w:pPr>
        <w:pStyle w:val="43"/>
        <w:numPr>
          <w:ilvl w:val="0"/>
          <w:numId w:val="0"/>
        </w:numPr>
        <w:tabs>
          <w:tab w:val="left" w:pos="1220"/>
        </w:tabs>
        <w:spacing w:before="2" w:line="374" w:lineRule="auto"/>
        <w:ind w:leftChars="200" w:right="227" w:rightChars="0"/>
        <w:jc w:val="both"/>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制定相关的监督检查工作的程序及制度提交委托人及政府相关部门核准；</w:t>
      </w:r>
    </w:p>
    <w:p w14:paraId="1F782DA8">
      <w:pPr>
        <w:pStyle w:val="43"/>
        <w:numPr>
          <w:ilvl w:val="0"/>
          <w:numId w:val="0"/>
        </w:numPr>
        <w:tabs>
          <w:tab w:val="left" w:pos="1220"/>
        </w:tabs>
        <w:spacing w:before="2" w:line="374" w:lineRule="auto"/>
        <w:ind w:leftChars="200" w:right="227" w:rightChars="0"/>
        <w:jc w:val="both"/>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根据相关的法律、法规、制度及程序等，对工程建设过程中污染环境、破坏生态的行为进行监督管理，如噪声、废气、污水等污染物排放应达标、粉尘控制达标、减少水土流失和生态环境破坏；</w:t>
      </w:r>
    </w:p>
    <w:p w14:paraId="3F22518A">
      <w:pPr>
        <w:pStyle w:val="43"/>
        <w:numPr>
          <w:ilvl w:val="0"/>
          <w:numId w:val="0"/>
        </w:numPr>
        <w:tabs>
          <w:tab w:val="left" w:pos="1220"/>
        </w:tabs>
        <w:spacing w:before="2" w:line="374" w:lineRule="auto"/>
        <w:ind w:leftChars="200" w:right="227" w:rightChars="0"/>
        <w:jc w:val="both"/>
        <w:rPr>
          <w:sz w:val="24"/>
        </w:rPr>
      </w:pPr>
      <w:r>
        <w:rPr>
          <w:rFonts w:hint="eastAsia" w:ascii="宋体" w:hAnsi="宋体" w:eastAsia="宋体" w:cs="宋体"/>
          <w:sz w:val="24"/>
          <w:lang w:val="en-US" w:eastAsia="zh-CN"/>
        </w:rPr>
        <w:t>(3)</w:t>
      </w:r>
      <w:r>
        <w:rPr>
          <w:rFonts w:hint="eastAsia" w:ascii="宋体" w:hAnsi="宋体" w:eastAsia="宋体" w:cs="宋体"/>
          <w:sz w:val="24"/>
        </w:rPr>
        <w:t>对配</w:t>
      </w:r>
      <w:r>
        <w:rPr>
          <w:sz w:val="24"/>
        </w:rPr>
        <w:t>套的环保工程进行施工监理，如对水处理设施、声屏障、绿化工程、水源保护区的保护等进行监理。</w:t>
      </w:r>
    </w:p>
    <w:p w14:paraId="42224251">
      <w:pPr>
        <w:pStyle w:val="14"/>
        <w:numPr>
          <w:ilvl w:val="3"/>
          <w:numId w:val="20"/>
        </w:numPr>
        <w:tabs>
          <w:tab w:val="left" w:pos="1661"/>
        </w:tabs>
        <w:spacing w:before="1"/>
        <w:ind w:left="1660" w:hanging="941"/>
      </w:pPr>
      <w:r>
        <w:t>提交监理月报</w:t>
      </w:r>
    </w:p>
    <w:p w14:paraId="1D2F6894">
      <w:pPr>
        <w:pStyle w:val="3"/>
        <w:spacing w:before="172"/>
        <w:ind w:left="720"/>
      </w:pPr>
      <w:r>
        <w:t>监理月报应包括以下内容：</w:t>
      </w:r>
    </w:p>
    <w:p w14:paraId="49A05F0B">
      <w:pPr>
        <w:pStyle w:val="43"/>
        <w:numPr>
          <w:ilvl w:val="0"/>
          <w:numId w:val="44"/>
        </w:numPr>
        <w:spacing w:before="173"/>
        <w:ind w:left="996" w:leftChars="0" w:hanging="996" w:hangingChars="415"/>
        <w:rPr>
          <w:sz w:val="24"/>
        </w:rPr>
      </w:pPr>
      <w:r>
        <w:rPr>
          <w:sz w:val="24"/>
        </w:rPr>
        <w:t>本月工程概况；</w:t>
      </w:r>
    </w:p>
    <w:p w14:paraId="584D5A9C">
      <w:pPr>
        <w:pStyle w:val="43"/>
        <w:numPr>
          <w:ilvl w:val="0"/>
          <w:numId w:val="44"/>
        </w:numPr>
        <w:spacing w:before="172"/>
        <w:ind w:left="996" w:leftChars="0" w:hanging="996" w:hangingChars="415"/>
        <w:rPr>
          <w:sz w:val="24"/>
        </w:rPr>
      </w:pPr>
      <w:r>
        <w:rPr>
          <w:sz w:val="24"/>
        </w:rPr>
        <w:t>本月工程形象进度；</w:t>
      </w:r>
    </w:p>
    <w:p w14:paraId="45731DEF">
      <w:pPr>
        <w:pStyle w:val="43"/>
        <w:numPr>
          <w:ilvl w:val="0"/>
          <w:numId w:val="44"/>
        </w:numPr>
        <w:spacing w:before="173"/>
        <w:ind w:left="996" w:leftChars="0" w:hanging="996" w:hangingChars="415"/>
        <w:rPr>
          <w:sz w:val="24"/>
        </w:rPr>
      </w:pPr>
      <w:r>
        <w:rPr>
          <w:sz w:val="24"/>
        </w:rPr>
        <w:t>工程进度，包括：</w:t>
      </w:r>
    </w:p>
    <w:p w14:paraId="3E9FEA5D">
      <w:pPr>
        <w:pStyle w:val="43"/>
        <w:numPr>
          <w:ilvl w:val="1"/>
          <w:numId w:val="44"/>
        </w:numPr>
        <w:spacing w:before="172"/>
        <w:ind w:left="1092" w:leftChars="0" w:hanging="1092" w:hangingChars="455"/>
        <w:rPr>
          <w:sz w:val="24"/>
        </w:rPr>
      </w:pPr>
      <w:r>
        <w:rPr>
          <w:sz w:val="24"/>
        </w:rPr>
        <w:t>本月实际完成情况与计划进度比较；</w:t>
      </w:r>
    </w:p>
    <w:p w14:paraId="15C98090">
      <w:pPr>
        <w:pStyle w:val="43"/>
        <w:numPr>
          <w:ilvl w:val="1"/>
          <w:numId w:val="44"/>
        </w:numPr>
        <w:spacing w:before="173"/>
        <w:ind w:left="1092" w:leftChars="0" w:hanging="1092" w:hangingChars="455"/>
        <w:rPr>
          <w:sz w:val="24"/>
        </w:rPr>
      </w:pPr>
      <w:r>
        <w:rPr>
          <w:sz w:val="24"/>
        </w:rPr>
        <w:t>对进度完成情况及采取措施效果的分析。</w:t>
      </w:r>
    </w:p>
    <w:p w14:paraId="108B2271">
      <w:pPr>
        <w:pStyle w:val="43"/>
        <w:numPr>
          <w:ilvl w:val="0"/>
          <w:numId w:val="44"/>
        </w:numPr>
        <w:spacing w:before="172"/>
        <w:ind w:left="1214" w:leftChars="0" w:hanging="1214" w:hangingChars="506"/>
        <w:rPr>
          <w:sz w:val="24"/>
        </w:rPr>
      </w:pPr>
      <w:r>
        <w:rPr>
          <w:sz w:val="24"/>
        </w:rPr>
        <w:t>工程质量，包括：</w:t>
      </w:r>
    </w:p>
    <w:p w14:paraId="782F81E9">
      <w:pPr>
        <w:pStyle w:val="43"/>
        <w:numPr>
          <w:ilvl w:val="1"/>
          <w:numId w:val="44"/>
        </w:numPr>
        <w:spacing w:before="172"/>
        <w:ind w:left="1092" w:leftChars="0" w:hanging="1092" w:hangingChars="455"/>
        <w:rPr>
          <w:sz w:val="24"/>
        </w:rPr>
      </w:pPr>
      <w:r>
        <w:rPr>
          <w:sz w:val="24"/>
        </w:rPr>
        <w:t>本月工程质量情况分析；</w:t>
      </w:r>
    </w:p>
    <w:p w14:paraId="4D1FB6FE">
      <w:pPr>
        <w:pStyle w:val="43"/>
        <w:numPr>
          <w:ilvl w:val="1"/>
          <w:numId w:val="44"/>
        </w:numPr>
        <w:spacing w:before="172"/>
        <w:ind w:left="1092" w:leftChars="0" w:hanging="1092" w:hangingChars="455"/>
        <w:rPr>
          <w:sz w:val="24"/>
        </w:rPr>
      </w:pPr>
      <w:r>
        <w:rPr>
          <w:sz w:val="24"/>
        </w:rPr>
        <w:t>本月采取的工程质量措施及效果。</w:t>
      </w:r>
    </w:p>
    <w:p w14:paraId="6CECF165">
      <w:pPr>
        <w:pStyle w:val="43"/>
        <w:numPr>
          <w:ilvl w:val="0"/>
          <w:numId w:val="44"/>
        </w:numPr>
        <w:spacing w:before="173"/>
        <w:ind w:left="0" w:leftChars="0" w:firstLine="0" w:firstLineChars="0"/>
        <w:rPr>
          <w:sz w:val="24"/>
        </w:rPr>
      </w:pPr>
      <w:r>
        <w:rPr>
          <w:sz w:val="24"/>
        </w:rPr>
        <w:t>工程计量与工程款支付，包括：</w:t>
      </w:r>
    </w:p>
    <w:p w14:paraId="0B8D1326">
      <w:pPr>
        <w:pStyle w:val="43"/>
        <w:numPr>
          <w:ilvl w:val="1"/>
          <w:numId w:val="44"/>
        </w:numPr>
        <w:spacing w:before="172"/>
        <w:ind w:left="1092" w:leftChars="0" w:hanging="1092" w:hangingChars="455"/>
        <w:rPr>
          <w:sz w:val="24"/>
        </w:rPr>
      </w:pPr>
      <w:r>
        <w:rPr>
          <w:sz w:val="24"/>
        </w:rPr>
        <w:t>工程量审核情况；</w:t>
      </w:r>
    </w:p>
    <w:p w14:paraId="61FDEF3C">
      <w:pPr>
        <w:pStyle w:val="43"/>
        <w:numPr>
          <w:ilvl w:val="1"/>
          <w:numId w:val="44"/>
        </w:numPr>
        <w:spacing w:before="172"/>
        <w:ind w:left="1092" w:leftChars="0" w:hanging="1092" w:hangingChars="455"/>
        <w:rPr>
          <w:sz w:val="24"/>
        </w:rPr>
      </w:pPr>
      <w:r>
        <w:rPr>
          <w:sz w:val="24"/>
        </w:rPr>
        <w:t>工程款审批情况及月支付情况；</w:t>
      </w:r>
    </w:p>
    <w:p w14:paraId="39ACAD8D">
      <w:pPr>
        <w:pStyle w:val="43"/>
        <w:numPr>
          <w:ilvl w:val="1"/>
          <w:numId w:val="44"/>
        </w:numPr>
        <w:spacing w:before="172"/>
        <w:ind w:left="1092" w:leftChars="0" w:hanging="1092" w:hangingChars="455"/>
        <w:rPr>
          <w:sz w:val="24"/>
        </w:rPr>
      </w:pPr>
      <w:r>
        <w:rPr>
          <w:sz w:val="24"/>
        </w:rPr>
        <w:t>工程款支付情况分析；</w:t>
      </w:r>
    </w:p>
    <w:p w14:paraId="1880DC45">
      <w:pPr>
        <w:pStyle w:val="43"/>
        <w:numPr>
          <w:ilvl w:val="1"/>
          <w:numId w:val="44"/>
        </w:numPr>
        <w:spacing w:before="172"/>
        <w:ind w:left="1092" w:leftChars="0" w:hanging="1092" w:hangingChars="455"/>
        <w:rPr>
          <w:sz w:val="24"/>
        </w:rPr>
      </w:pPr>
      <w:r>
        <w:rPr>
          <w:sz w:val="24"/>
        </w:rPr>
        <w:t>本月采取的措施及效果。</w:t>
      </w:r>
    </w:p>
    <w:p w14:paraId="0795789D">
      <w:pPr>
        <w:pStyle w:val="43"/>
        <w:numPr>
          <w:ilvl w:val="0"/>
          <w:numId w:val="44"/>
        </w:numPr>
        <w:spacing w:before="173"/>
        <w:ind w:left="0" w:leftChars="0" w:firstLine="0" w:firstLineChars="0"/>
        <w:rPr>
          <w:sz w:val="24"/>
        </w:rPr>
      </w:pPr>
      <w:r>
        <w:rPr>
          <w:sz w:val="24"/>
        </w:rPr>
        <w:t>合同其他事项的处理情况，包括：</w:t>
      </w:r>
    </w:p>
    <w:p w14:paraId="0F4EAB8F">
      <w:pPr>
        <w:pStyle w:val="43"/>
        <w:numPr>
          <w:ilvl w:val="1"/>
          <w:numId w:val="44"/>
        </w:numPr>
        <w:spacing w:before="172"/>
        <w:ind w:left="1092" w:leftChars="0" w:hanging="1092" w:hangingChars="455"/>
        <w:rPr>
          <w:sz w:val="24"/>
        </w:rPr>
      </w:pPr>
      <w:r>
        <w:rPr>
          <w:sz w:val="24"/>
        </w:rPr>
        <w:t>工程变更；</w:t>
      </w:r>
    </w:p>
    <w:p w14:paraId="08E65E99">
      <w:pPr>
        <w:pStyle w:val="43"/>
        <w:numPr>
          <w:ilvl w:val="1"/>
          <w:numId w:val="44"/>
        </w:numPr>
        <w:spacing w:before="172"/>
        <w:ind w:left="1092" w:leftChars="0" w:hanging="1092" w:hangingChars="455"/>
        <w:rPr>
          <w:sz w:val="24"/>
        </w:rPr>
      </w:pPr>
      <w:r>
        <w:rPr>
          <w:sz w:val="24"/>
        </w:rPr>
        <w:t>工程延期；</w:t>
      </w:r>
    </w:p>
    <w:p w14:paraId="5F99DC68">
      <w:pPr>
        <w:pStyle w:val="43"/>
        <w:numPr>
          <w:ilvl w:val="1"/>
          <w:numId w:val="44"/>
        </w:numPr>
        <w:spacing w:before="172"/>
        <w:ind w:left="1092" w:leftChars="0" w:hanging="1092" w:hangingChars="455"/>
        <w:rPr>
          <w:sz w:val="24"/>
        </w:rPr>
      </w:pPr>
      <w:r>
        <w:rPr>
          <w:sz w:val="24"/>
        </w:rPr>
        <w:t>费用索赔。</w:t>
      </w:r>
    </w:p>
    <w:p w14:paraId="4CFBDE6E">
      <w:pPr>
        <w:pStyle w:val="43"/>
        <w:numPr>
          <w:ilvl w:val="0"/>
          <w:numId w:val="44"/>
        </w:numPr>
        <w:spacing w:before="173"/>
        <w:ind w:left="0" w:leftChars="0" w:firstLine="0" w:firstLineChars="0"/>
        <w:rPr>
          <w:sz w:val="24"/>
        </w:rPr>
      </w:pPr>
      <w:r>
        <w:rPr>
          <w:sz w:val="24"/>
        </w:rPr>
        <w:t>本月职业健康安全及环境等情况的综合评价及相关意见或建议。</w:t>
      </w:r>
    </w:p>
    <w:p w14:paraId="578E5129">
      <w:pPr>
        <w:pStyle w:val="43"/>
        <w:numPr>
          <w:ilvl w:val="0"/>
          <w:numId w:val="44"/>
        </w:numPr>
        <w:spacing w:before="173"/>
        <w:ind w:left="0" w:leftChars="0" w:firstLine="0" w:firstLineChars="0"/>
        <w:rPr>
          <w:sz w:val="24"/>
        </w:rPr>
      </w:pPr>
      <w:r>
        <w:rPr>
          <w:sz w:val="24"/>
        </w:rPr>
        <w:t>本月监理工作小结，包括：</w:t>
      </w:r>
    </w:p>
    <w:p w14:paraId="3DB03555">
      <w:pPr>
        <w:pStyle w:val="43"/>
        <w:numPr>
          <w:ilvl w:val="1"/>
          <w:numId w:val="44"/>
        </w:numPr>
        <w:spacing w:before="172"/>
        <w:ind w:left="1092" w:leftChars="0" w:hanging="1092" w:hangingChars="455"/>
        <w:rPr>
          <w:sz w:val="24"/>
        </w:rPr>
      </w:pPr>
      <w:r>
        <w:rPr>
          <w:sz w:val="24"/>
        </w:rPr>
        <w:t>对本月进度、质量、工程款支付、安全文明施工等方面情况的综合评价；</w:t>
      </w:r>
    </w:p>
    <w:p w14:paraId="5265BC8C">
      <w:pPr>
        <w:pStyle w:val="43"/>
        <w:numPr>
          <w:ilvl w:val="1"/>
          <w:numId w:val="44"/>
        </w:numPr>
        <w:spacing w:before="172"/>
        <w:ind w:left="1092" w:leftChars="0" w:hanging="1092" w:hangingChars="455"/>
        <w:rPr>
          <w:sz w:val="24"/>
        </w:rPr>
      </w:pPr>
      <w:r>
        <w:rPr>
          <w:sz w:val="24"/>
        </w:rPr>
        <w:t>本月监理工作情况；</w:t>
      </w:r>
    </w:p>
    <w:p w14:paraId="2A9FC6D0">
      <w:pPr>
        <w:pStyle w:val="43"/>
        <w:numPr>
          <w:ilvl w:val="1"/>
          <w:numId w:val="44"/>
        </w:numPr>
        <w:spacing w:before="172"/>
        <w:ind w:left="1092" w:leftChars="0" w:hanging="1092" w:hangingChars="455"/>
        <w:rPr>
          <w:sz w:val="24"/>
        </w:rPr>
      </w:pPr>
      <w:r>
        <w:rPr>
          <w:sz w:val="24"/>
        </w:rPr>
        <w:t>有关本工程的意见和建议；</w:t>
      </w:r>
    </w:p>
    <w:p w14:paraId="630B6163">
      <w:pPr>
        <w:pStyle w:val="43"/>
        <w:numPr>
          <w:ilvl w:val="1"/>
          <w:numId w:val="44"/>
        </w:numPr>
        <w:spacing w:before="172"/>
        <w:ind w:left="1092" w:leftChars="0" w:hanging="1092" w:hangingChars="455"/>
        <w:rPr>
          <w:sz w:val="24"/>
        </w:rPr>
      </w:pPr>
      <w:r>
        <w:rPr>
          <w:sz w:val="24"/>
        </w:rPr>
        <w:t>下月监理工作的重点。</w:t>
      </w:r>
    </w:p>
    <w:p w14:paraId="39756A57">
      <w:pPr>
        <w:pStyle w:val="3"/>
        <w:spacing w:before="172"/>
        <w:ind w:left="720"/>
      </w:pPr>
      <w:r>
        <w:t>监理月报应由总监理工程师组织编制及签认，签认后报委托人和本监理人总部。</w:t>
      </w:r>
    </w:p>
    <w:p w14:paraId="3654B3BA">
      <w:pPr>
        <w:pStyle w:val="14"/>
        <w:numPr>
          <w:ilvl w:val="3"/>
          <w:numId w:val="20"/>
        </w:numPr>
        <w:tabs>
          <w:tab w:val="left" w:pos="1787"/>
          <w:tab w:val="left" w:pos="1788"/>
        </w:tabs>
        <w:spacing w:before="173"/>
        <w:ind w:left="1788" w:hanging="1068"/>
      </w:pPr>
      <w:r>
        <w:t>施工阶段的其他监理工作</w:t>
      </w:r>
    </w:p>
    <w:p w14:paraId="1BF82318">
      <w:pPr>
        <w:pStyle w:val="43"/>
        <w:numPr>
          <w:ilvl w:val="0"/>
          <w:numId w:val="45"/>
        </w:numPr>
        <w:spacing w:before="172"/>
        <w:ind w:left="576" w:leftChars="0" w:hanging="576" w:hangingChars="240"/>
        <w:rPr>
          <w:sz w:val="24"/>
        </w:rPr>
      </w:pPr>
      <w:r>
        <w:rPr>
          <w:sz w:val="24"/>
        </w:rPr>
        <w:t>工地例会</w:t>
      </w:r>
    </w:p>
    <w:p w14:paraId="2195E3C4">
      <w:pPr>
        <w:pStyle w:val="43"/>
        <w:numPr>
          <w:ilvl w:val="1"/>
          <w:numId w:val="45"/>
        </w:numPr>
        <w:tabs>
          <w:tab w:val="left" w:pos="1086"/>
        </w:tabs>
        <w:spacing w:before="173" w:line="374" w:lineRule="auto"/>
        <w:ind w:right="239" w:firstLine="496"/>
        <w:rPr>
          <w:sz w:val="24"/>
        </w:rPr>
      </w:pPr>
      <w:r>
        <w:rPr>
          <w:sz w:val="24"/>
        </w:rPr>
        <w:t>在施工过程中，总监理工程师应定期主持召开工地例会。工地例会应按委托人提供的例会细则执行。会议纪要应由项目监理机构负责起草，并经与会各方代表会签。</w:t>
      </w:r>
    </w:p>
    <w:p w14:paraId="4E5D2D95">
      <w:pPr>
        <w:pStyle w:val="43"/>
        <w:numPr>
          <w:ilvl w:val="1"/>
          <w:numId w:val="45"/>
        </w:numPr>
        <w:tabs>
          <w:tab w:val="left" w:pos="1086"/>
        </w:tabs>
        <w:spacing w:before="173" w:line="374" w:lineRule="auto"/>
        <w:ind w:right="239" w:firstLine="496"/>
        <w:rPr>
          <w:sz w:val="24"/>
        </w:rPr>
      </w:pPr>
      <w:r>
        <w:rPr>
          <w:sz w:val="24"/>
        </w:rPr>
        <w:t>工地例会应包括以下主要内容：</w:t>
      </w:r>
    </w:p>
    <w:p w14:paraId="32CE5600">
      <w:pPr>
        <w:pStyle w:val="3"/>
        <w:spacing w:before="173"/>
        <w:ind w:left="720"/>
      </w:pPr>
      <w:r>
        <w:t>① 检查上次例会议定事项的落实情况，分析未完事项原因；</w:t>
      </w:r>
    </w:p>
    <w:p w14:paraId="2494877C">
      <w:pPr>
        <w:pStyle w:val="3"/>
        <w:spacing w:before="172"/>
        <w:ind w:left="720"/>
      </w:pPr>
      <w:r>
        <w:t>② 检查分析工程项目进度计划完成情况，提出下一阶段进度目标及其落实措施；</w:t>
      </w:r>
    </w:p>
    <w:p w14:paraId="2381E8A2">
      <w:pPr>
        <w:pStyle w:val="3"/>
        <w:spacing w:before="173"/>
        <w:ind w:left="720"/>
      </w:pPr>
      <w:r>
        <w:t>③ 检查分析工程项目质量状况，针对存在的质量问题提出改进措施；</w:t>
      </w:r>
    </w:p>
    <w:p w14:paraId="0B28CE6C">
      <w:pPr>
        <w:pStyle w:val="3"/>
        <w:spacing w:before="172"/>
        <w:ind w:left="720"/>
      </w:pPr>
      <w:r>
        <w:t>④ 检查工程量核定及工程款支付情况；</w:t>
      </w:r>
    </w:p>
    <w:p w14:paraId="22E63DCB">
      <w:pPr>
        <w:pStyle w:val="3"/>
        <w:spacing w:before="173"/>
        <w:ind w:left="720"/>
      </w:pPr>
      <w:r>
        <w:t>⑤ 检讨工作联系单的相关内容的执行情况，解决需要协调的有关事项；</w:t>
      </w:r>
    </w:p>
    <w:p w14:paraId="0BFC39B7">
      <w:pPr>
        <w:pStyle w:val="3"/>
        <w:spacing w:before="172" w:line="374" w:lineRule="auto"/>
        <w:ind w:right="233" w:firstLine="496"/>
      </w:pPr>
      <w:r>
        <w:t>⑥ 本月职业健康安全及环境、文明施工等方面的综合情况，解决需要协调的有关事项。</w:t>
      </w:r>
    </w:p>
    <w:p w14:paraId="45E5DE38">
      <w:pPr>
        <w:pStyle w:val="3"/>
        <w:spacing w:before="1"/>
        <w:ind w:left="720"/>
      </w:pPr>
      <w:r>
        <w:t>⑦ 其他有关事宜。</w:t>
      </w:r>
    </w:p>
    <w:p w14:paraId="59E005C8">
      <w:pPr>
        <w:pStyle w:val="43"/>
        <w:numPr>
          <w:ilvl w:val="1"/>
          <w:numId w:val="45"/>
        </w:numPr>
        <w:tabs>
          <w:tab w:val="left" w:pos="1086"/>
        </w:tabs>
        <w:spacing w:before="172" w:line="374" w:lineRule="auto"/>
        <w:ind w:right="233" w:firstLine="496"/>
        <w:rPr>
          <w:sz w:val="24"/>
        </w:rPr>
      </w:pPr>
      <w:r>
        <w:rPr>
          <w:sz w:val="24"/>
        </w:rPr>
        <w:t>总监理工程师或专业监理工程师应根据需要及时组织专题会议，解决施工过程中的各种专项问题。</w:t>
      </w:r>
    </w:p>
    <w:p w14:paraId="1D852485">
      <w:pPr>
        <w:pStyle w:val="43"/>
        <w:numPr>
          <w:ilvl w:val="1"/>
          <w:numId w:val="45"/>
        </w:numPr>
        <w:tabs>
          <w:tab w:val="left" w:pos="1086"/>
        </w:tabs>
        <w:spacing w:before="1" w:line="374" w:lineRule="auto"/>
        <w:ind w:right="233" w:firstLine="496"/>
        <w:rPr>
          <w:sz w:val="24"/>
        </w:rPr>
      </w:pPr>
      <w:r>
        <w:rPr>
          <w:sz w:val="24"/>
        </w:rPr>
        <w:t>对于工地例会上提出的有关设计问题，监理人应积极把关控制，不应随意对相关问题做出定论。工地例会上的相关结论必须以设计变更的方式确定后方可实施。</w:t>
      </w:r>
    </w:p>
    <w:p w14:paraId="6F258F01">
      <w:pPr>
        <w:pStyle w:val="43"/>
        <w:numPr>
          <w:ilvl w:val="0"/>
          <w:numId w:val="45"/>
        </w:numPr>
        <w:spacing w:before="1"/>
        <w:ind w:left="0" w:leftChars="0" w:firstLine="0" w:firstLineChars="0"/>
        <w:rPr>
          <w:sz w:val="24"/>
        </w:rPr>
      </w:pPr>
      <w:r>
        <w:rPr>
          <w:sz w:val="24"/>
        </w:rPr>
        <w:t>工程暂停及复工的相关工作</w:t>
      </w:r>
    </w:p>
    <w:p w14:paraId="4590470E">
      <w:pPr>
        <w:pStyle w:val="43"/>
        <w:numPr>
          <w:ilvl w:val="0"/>
          <w:numId w:val="46"/>
        </w:numPr>
        <w:tabs>
          <w:tab w:val="left" w:pos="1086"/>
        </w:tabs>
        <w:spacing w:before="172" w:line="374" w:lineRule="auto"/>
        <w:ind w:right="239" w:firstLine="496"/>
        <w:rPr>
          <w:sz w:val="24"/>
        </w:rPr>
      </w:pPr>
      <w:r>
        <w:rPr>
          <w:sz w:val="24"/>
        </w:rPr>
        <w:t>总监理工程师在签发工程暂停令时，应根据暂停工程的影响范围和影响程度， 按照施工合同和委托监理合同的约定签发。</w:t>
      </w:r>
    </w:p>
    <w:p w14:paraId="0E3B70AA">
      <w:pPr>
        <w:pStyle w:val="43"/>
        <w:numPr>
          <w:ilvl w:val="0"/>
          <w:numId w:val="46"/>
        </w:numPr>
        <w:tabs>
          <w:tab w:val="left" w:pos="1086"/>
        </w:tabs>
        <w:spacing w:before="172" w:line="374" w:lineRule="auto"/>
        <w:ind w:right="239" w:firstLine="496"/>
        <w:rPr>
          <w:sz w:val="24"/>
        </w:rPr>
      </w:pPr>
      <w:r>
        <w:rPr>
          <w:sz w:val="24"/>
        </w:rPr>
        <w:t>在发生下列情况之一时，总监理工程师可签发工程暂停令：</w:t>
      </w:r>
    </w:p>
    <w:p w14:paraId="1B77B810">
      <w:pPr>
        <w:pStyle w:val="3"/>
        <w:spacing w:before="172"/>
        <w:ind w:left="719"/>
      </w:pPr>
      <w:r>
        <w:t>① 委托人要求暂停施工且工程需要暂停施工；</w:t>
      </w:r>
    </w:p>
    <w:p w14:paraId="09620760">
      <w:pPr>
        <w:pStyle w:val="3"/>
        <w:spacing w:before="173"/>
        <w:ind w:left="719"/>
      </w:pPr>
      <w:r>
        <w:t>② 为了保证工程质量而需要进行停工处理；</w:t>
      </w:r>
    </w:p>
    <w:p w14:paraId="3D5E060B">
      <w:pPr>
        <w:pStyle w:val="3"/>
        <w:spacing w:before="172"/>
        <w:ind w:left="719"/>
      </w:pPr>
      <w:r>
        <w:t>③ 施工出现了安全隐患，总监理工程师认为有必要停工以消除隐患；</w:t>
      </w:r>
    </w:p>
    <w:p w14:paraId="78B5ECB5">
      <w:pPr>
        <w:pStyle w:val="3"/>
        <w:spacing w:before="173"/>
        <w:ind w:left="719"/>
      </w:pPr>
      <w:r>
        <w:t>④ 发生了必须暂时停止施工的紧急事件；</w:t>
      </w:r>
    </w:p>
    <w:p w14:paraId="7EEF50EC">
      <w:pPr>
        <w:pStyle w:val="3"/>
        <w:spacing w:before="172"/>
        <w:ind w:left="719"/>
      </w:pPr>
      <w:r>
        <w:t>⑤ 承包人未经许可擅自施工或拒绝项目监理机构管理。</w:t>
      </w:r>
    </w:p>
    <w:p w14:paraId="641E2326">
      <w:pPr>
        <w:pStyle w:val="43"/>
        <w:numPr>
          <w:ilvl w:val="0"/>
          <w:numId w:val="46"/>
        </w:numPr>
        <w:tabs>
          <w:tab w:val="left" w:pos="1086"/>
        </w:tabs>
        <w:spacing w:before="172" w:line="374" w:lineRule="auto"/>
        <w:ind w:right="239" w:firstLine="496"/>
        <w:rPr>
          <w:sz w:val="24"/>
        </w:rPr>
      </w:pPr>
      <w:r>
        <w:rPr>
          <w:sz w:val="24"/>
        </w:rPr>
        <w:t>总监理工程师在签发工程暂停令时，应根据停工原因的影响范围和影响程度，确定工程项目停工范围。</w:t>
      </w:r>
    </w:p>
    <w:p w14:paraId="6DA1F228">
      <w:pPr>
        <w:pStyle w:val="43"/>
        <w:numPr>
          <w:ilvl w:val="0"/>
          <w:numId w:val="46"/>
        </w:numPr>
        <w:tabs>
          <w:tab w:val="left" w:pos="1095"/>
        </w:tabs>
        <w:spacing w:before="173" w:line="374" w:lineRule="auto"/>
        <w:ind w:right="227" w:firstLine="496"/>
        <w:jc w:val="both"/>
        <w:rPr>
          <w:sz w:val="24"/>
        </w:rPr>
      </w:pPr>
      <w:r>
        <w:rPr>
          <w:sz w:val="24"/>
        </w:rPr>
        <w:t xml:space="preserve">由于非承包人且非上述第 </w:t>
      </w:r>
      <w:r>
        <w:rPr>
          <w:rFonts w:ascii="Times New Roman" w:hAnsi="Times New Roman" w:eastAsia="Times New Roman"/>
          <w:sz w:val="24"/>
        </w:rPr>
        <w:t>2</w:t>
      </w:r>
      <w:r>
        <w:rPr>
          <w:sz w:val="24"/>
        </w:rPr>
        <w:t>）-②、③、④、⑤项原因时，总监理工程师在签发工程暂停令之前，应就有关工期和费用等事宜与承包人进行协商。</w:t>
      </w:r>
    </w:p>
    <w:p w14:paraId="6E47CDCA">
      <w:pPr>
        <w:pStyle w:val="43"/>
        <w:numPr>
          <w:ilvl w:val="0"/>
          <w:numId w:val="46"/>
        </w:numPr>
        <w:tabs>
          <w:tab w:val="left" w:pos="1086"/>
        </w:tabs>
        <w:spacing w:line="374" w:lineRule="auto"/>
        <w:ind w:right="239" w:firstLine="496"/>
        <w:jc w:val="both"/>
        <w:rPr>
          <w:sz w:val="24"/>
        </w:rPr>
      </w:pPr>
      <w:r>
        <w:rPr>
          <w:sz w:val="24"/>
        </w:rPr>
        <w:t>由于委托人原因或其他非承包人原因导致工程暂停时，项目监理机构应如实记录所发生的实际情况。总监理工程师应在施工暂停原因消失、具备复工条件时，及时签署工程复工报审表，指令承包人继续施工。</w:t>
      </w:r>
    </w:p>
    <w:p w14:paraId="38B0C471">
      <w:pPr>
        <w:pStyle w:val="43"/>
        <w:numPr>
          <w:ilvl w:val="0"/>
          <w:numId w:val="46"/>
        </w:numPr>
        <w:tabs>
          <w:tab w:val="left" w:pos="1086"/>
        </w:tabs>
        <w:spacing w:before="1" w:line="374" w:lineRule="auto"/>
        <w:ind w:right="233" w:firstLine="496"/>
        <w:jc w:val="both"/>
        <w:rPr>
          <w:sz w:val="24"/>
        </w:rPr>
      </w:pPr>
      <w:r>
        <w:rPr>
          <w:sz w:val="24"/>
        </w:rPr>
        <w:t>由于承包人原因导致工程暂停，在具备恢复施工条件时，项目监理机构应审查承包人报送的复工申请及有关材料，同意后由总监理工程师签署工程复工报审表，指令承包人继续施工。</w:t>
      </w:r>
    </w:p>
    <w:p w14:paraId="75D5CB94">
      <w:pPr>
        <w:pStyle w:val="43"/>
        <w:numPr>
          <w:ilvl w:val="0"/>
          <w:numId w:val="46"/>
        </w:numPr>
        <w:tabs>
          <w:tab w:val="left" w:pos="1086"/>
        </w:tabs>
        <w:spacing w:before="1" w:line="374" w:lineRule="auto"/>
        <w:ind w:right="233" w:firstLine="496"/>
        <w:rPr>
          <w:sz w:val="24"/>
        </w:rPr>
      </w:pPr>
      <w:r>
        <w:rPr>
          <w:sz w:val="24"/>
        </w:rPr>
        <w:t>总监理工程师在签发工程暂停令到签发工程复工报审表之间的时间内，应会同有关各方按照施工合同的约定，处理因工程暂停引起的与工期、费用等有关的问题。</w:t>
      </w:r>
    </w:p>
    <w:p w14:paraId="3B163835">
      <w:pPr>
        <w:pStyle w:val="43"/>
        <w:numPr>
          <w:ilvl w:val="0"/>
          <w:numId w:val="45"/>
        </w:numPr>
        <w:spacing w:before="1"/>
        <w:ind w:left="0" w:leftChars="0" w:firstLine="0" w:firstLineChars="0"/>
        <w:rPr>
          <w:sz w:val="24"/>
        </w:rPr>
      </w:pPr>
      <w:r>
        <w:rPr>
          <w:sz w:val="24"/>
        </w:rPr>
        <w:t>工程延期及工程延误的处理工作</w:t>
      </w:r>
    </w:p>
    <w:p w14:paraId="07E2A6D2">
      <w:pPr>
        <w:pStyle w:val="43"/>
        <w:numPr>
          <w:ilvl w:val="0"/>
          <w:numId w:val="47"/>
        </w:numPr>
        <w:tabs>
          <w:tab w:val="left" w:pos="1086"/>
        </w:tabs>
        <w:spacing w:before="172" w:line="374" w:lineRule="auto"/>
        <w:ind w:right="238" w:firstLine="496"/>
        <w:rPr>
          <w:rFonts w:ascii="Times New Roman" w:eastAsia="Times New Roman"/>
        </w:rPr>
      </w:pPr>
      <w:r>
        <w:rPr>
          <w:sz w:val="24"/>
        </w:rPr>
        <w:t>当承包人提出工程延期要求符合施工合同文件的规定条件时，项目监理机构应予以受理。</w:t>
      </w:r>
    </w:p>
    <w:p w14:paraId="5A145F5F">
      <w:pPr>
        <w:pStyle w:val="43"/>
        <w:numPr>
          <w:ilvl w:val="0"/>
          <w:numId w:val="47"/>
        </w:numPr>
        <w:tabs>
          <w:tab w:val="left" w:pos="1086"/>
        </w:tabs>
        <w:spacing w:before="1" w:line="374" w:lineRule="auto"/>
        <w:ind w:right="115" w:firstLine="496"/>
        <w:rPr>
          <w:rFonts w:ascii="Times New Roman" w:eastAsia="Times New Roman"/>
        </w:rPr>
      </w:pPr>
      <w:r>
        <w:rPr>
          <w:sz w:val="24"/>
        </w:rPr>
        <w:t>当影响工期事件具有持续性时，项目监理机构可在收到承包人提交的阶段性工程延期申请表并经过审查后，先由总监理工程师签署工程临时延期审批表并通报委托人。当承包人提交最终的工程延期申请表后，项目监理机构应复查工程延期及临时延期情况， 并由总监理工程师签署工程最终延期审批表。</w:t>
      </w:r>
    </w:p>
    <w:p w14:paraId="78F19D75">
      <w:pPr>
        <w:pStyle w:val="43"/>
        <w:numPr>
          <w:ilvl w:val="0"/>
          <w:numId w:val="47"/>
        </w:numPr>
        <w:tabs>
          <w:tab w:val="left" w:pos="1086"/>
        </w:tabs>
        <w:spacing w:before="1" w:line="374" w:lineRule="auto"/>
        <w:ind w:right="233" w:firstLine="496"/>
        <w:rPr>
          <w:sz w:val="24"/>
        </w:rPr>
      </w:pPr>
      <w:r>
        <w:rPr>
          <w:sz w:val="24"/>
        </w:rPr>
        <w:t>项目监理机构在作出临时工程延期批准或最终的工程延期批准之前，均应与委托人和承包人进行协商。</w:t>
      </w:r>
    </w:p>
    <w:p w14:paraId="0E343841">
      <w:pPr>
        <w:pStyle w:val="43"/>
        <w:numPr>
          <w:ilvl w:val="0"/>
          <w:numId w:val="47"/>
        </w:numPr>
        <w:tabs>
          <w:tab w:val="left" w:pos="1086"/>
        </w:tabs>
        <w:spacing w:before="1" w:line="374" w:lineRule="auto"/>
        <w:ind w:right="233" w:firstLine="496"/>
        <w:rPr>
          <w:sz w:val="24"/>
        </w:rPr>
      </w:pPr>
      <w:r>
        <w:rPr>
          <w:sz w:val="24"/>
        </w:rPr>
        <w:t>项目监理机构在审查工程延期时，应依下列情况确定批准工程延期的时间：</w:t>
      </w:r>
    </w:p>
    <w:p w14:paraId="52C6B038">
      <w:pPr>
        <w:pStyle w:val="3"/>
        <w:spacing w:before="172"/>
        <w:ind w:left="720"/>
      </w:pPr>
      <w:r>
        <w:t>① 施工合同中有关工程延期的约定；</w:t>
      </w:r>
    </w:p>
    <w:p w14:paraId="508BCD7E">
      <w:pPr>
        <w:pStyle w:val="3"/>
        <w:spacing w:before="172"/>
        <w:ind w:left="720"/>
      </w:pPr>
      <w:r>
        <w:t>② 工期拖延和影响工期事件的事实和程度；</w:t>
      </w:r>
    </w:p>
    <w:p w14:paraId="4BBD1241">
      <w:pPr>
        <w:pStyle w:val="3"/>
        <w:spacing w:before="173"/>
        <w:ind w:left="720"/>
      </w:pPr>
      <w:r>
        <w:t>③ 影响工期事件对工期影响的量化程度。</w:t>
      </w:r>
    </w:p>
    <w:p w14:paraId="6F5A24D5">
      <w:pPr>
        <w:pStyle w:val="43"/>
        <w:numPr>
          <w:ilvl w:val="0"/>
          <w:numId w:val="47"/>
        </w:numPr>
        <w:tabs>
          <w:tab w:val="left" w:pos="1086"/>
        </w:tabs>
        <w:spacing w:before="172" w:line="374" w:lineRule="auto"/>
        <w:ind w:right="238" w:firstLine="496"/>
        <w:rPr>
          <w:rFonts w:ascii="Times New Roman" w:eastAsia="Times New Roman"/>
        </w:rPr>
      </w:pPr>
      <w:r>
        <w:rPr>
          <w:sz w:val="24"/>
        </w:rPr>
        <w:t xml:space="preserve">工程延期造成承包人提出费用索赔时，项目监理机构应按本条第 </w:t>
      </w:r>
      <w:r>
        <w:rPr>
          <w:rFonts w:ascii="Times New Roman" w:eastAsia="Times New Roman"/>
          <w:sz w:val="24"/>
        </w:rPr>
        <w:t>2.1.3.6</w:t>
      </w:r>
      <w:r>
        <w:rPr>
          <w:sz w:val="24"/>
        </w:rPr>
        <w:t>（</w:t>
      </w:r>
      <w:r>
        <w:rPr>
          <w:rFonts w:ascii="Times New Roman" w:eastAsia="Times New Roman"/>
          <w:sz w:val="24"/>
        </w:rPr>
        <w:t>10</w:t>
      </w:r>
      <w:r>
        <w:rPr>
          <w:sz w:val="24"/>
        </w:rPr>
        <w:t>）项的约定处理。</w:t>
      </w:r>
    </w:p>
    <w:p w14:paraId="0EDE4F58">
      <w:pPr>
        <w:pStyle w:val="43"/>
        <w:numPr>
          <w:ilvl w:val="0"/>
          <w:numId w:val="47"/>
        </w:numPr>
        <w:tabs>
          <w:tab w:val="left" w:pos="1086"/>
        </w:tabs>
        <w:spacing w:before="1" w:line="374" w:lineRule="auto"/>
        <w:ind w:right="233" w:firstLine="496"/>
      </w:pPr>
      <w:r>
        <w:rPr>
          <w:sz w:val="24"/>
        </w:rPr>
        <w:t>当承包人未能按照施工合同要求的工期竣工交付造成工期延误时，项目监理机构应按施工合同规定从承包人应得款项中扣除误期损害赔偿费。</w:t>
      </w:r>
    </w:p>
    <w:p w14:paraId="705C4FC9">
      <w:pPr>
        <w:pStyle w:val="14"/>
        <w:numPr>
          <w:ilvl w:val="2"/>
          <w:numId w:val="20"/>
        </w:numPr>
        <w:tabs>
          <w:tab w:val="left" w:pos="1349"/>
        </w:tabs>
        <w:spacing w:before="1"/>
        <w:ind w:left="1348" w:hanging="629"/>
        <w:rPr>
          <w:rFonts w:ascii="Times New Roman" w:eastAsia="Times New Roman"/>
        </w:rPr>
      </w:pPr>
      <w:r>
        <w:t>工程收尾阶段的监理工作（包括但不限于以下内容）</w:t>
      </w:r>
    </w:p>
    <w:p w14:paraId="20CD216D">
      <w:pPr>
        <w:pStyle w:val="43"/>
        <w:numPr>
          <w:ilvl w:val="3"/>
          <w:numId w:val="20"/>
        </w:numPr>
        <w:tabs>
          <w:tab w:val="left" w:pos="0"/>
          <w:tab w:val="left" w:pos="1671"/>
        </w:tabs>
        <w:spacing w:before="172" w:line="360" w:lineRule="auto"/>
        <w:ind w:left="10" w:firstLine="709"/>
        <w:rPr>
          <w:sz w:val="24"/>
          <w:szCs w:val="24"/>
        </w:rPr>
      </w:pPr>
      <w:r>
        <w:rPr>
          <w:sz w:val="24"/>
          <w:szCs w:val="24"/>
        </w:rPr>
        <w:t>工程收尾阶段包括竣工扫尾、验收、整改、移交、结算、考核评价等方面的管理。监理人应制定工作计划，提出各项管理要求。工程收尾阶段管理应包括以下内容：</w:t>
      </w:r>
    </w:p>
    <w:p w14:paraId="64D8E653">
      <w:pPr>
        <w:pStyle w:val="43"/>
        <w:numPr>
          <w:ilvl w:val="0"/>
          <w:numId w:val="48"/>
        </w:numPr>
        <w:spacing w:before="1"/>
        <w:ind w:left="576" w:leftChars="0" w:hanging="576" w:hangingChars="240"/>
        <w:rPr>
          <w:sz w:val="24"/>
        </w:rPr>
      </w:pPr>
      <w:r>
        <w:rPr>
          <w:sz w:val="24"/>
        </w:rPr>
        <w:t>项目的竣工扫尾；</w:t>
      </w:r>
    </w:p>
    <w:p w14:paraId="0D31520D">
      <w:pPr>
        <w:pStyle w:val="43"/>
        <w:numPr>
          <w:ilvl w:val="0"/>
          <w:numId w:val="48"/>
        </w:numPr>
        <w:spacing w:before="172"/>
        <w:ind w:left="576" w:leftChars="0" w:hanging="576" w:hangingChars="240"/>
        <w:rPr>
          <w:sz w:val="24"/>
        </w:rPr>
      </w:pPr>
      <w:r>
        <w:rPr>
          <w:sz w:val="24"/>
        </w:rPr>
        <w:t>项目的竣工验收、整改及移交；</w:t>
      </w:r>
    </w:p>
    <w:p w14:paraId="422C4A40">
      <w:pPr>
        <w:pStyle w:val="43"/>
        <w:numPr>
          <w:ilvl w:val="0"/>
          <w:numId w:val="48"/>
        </w:numPr>
        <w:spacing w:before="173"/>
        <w:ind w:left="576" w:leftChars="0" w:hanging="576" w:hangingChars="240"/>
        <w:rPr>
          <w:sz w:val="24"/>
        </w:rPr>
      </w:pPr>
      <w:r>
        <w:rPr>
          <w:sz w:val="24"/>
        </w:rPr>
        <w:t>项目的竣工结算；</w:t>
      </w:r>
    </w:p>
    <w:p w14:paraId="3BA9BDC4">
      <w:pPr>
        <w:pStyle w:val="43"/>
        <w:numPr>
          <w:ilvl w:val="0"/>
          <w:numId w:val="48"/>
        </w:numPr>
        <w:spacing w:before="172"/>
        <w:ind w:left="576" w:leftChars="0" w:hanging="576" w:hangingChars="240"/>
        <w:rPr>
          <w:sz w:val="24"/>
        </w:rPr>
      </w:pPr>
      <w:r>
        <w:rPr>
          <w:sz w:val="24"/>
        </w:rPr>
        <w:t>项目的回访维护；</w:t>
      </w:r>
    </w:p>
    <w:p w14:paraId="4C770E89">
      <w:pPr>
        <w:pStyle w:val="43"/>
        <w:numPr>
          <w:ilvl w:val="0"/>
          <w:numId w:val="48"/>
        </w:numPr>
        <w:spacing w:before="173"/>
        <w:ind w:left="576" w:leftChars="0" w:hanging="576" w:hangingChars="240"/>
        <w:rPr>
          <w:sz w:val="24"/>
        </w:rPr>
      </w:pPr>
      <w:r>
        <w:rPr>
          <w:sz w:val="24"/>
        </w:rPr>
        <w:t>项目的考核评价。</w:t>
      </w:r>
    </w:p>
    <w:p w14:paraId="4AE07486">
      <w:pPr>
        <w:pStyle w:val="14"/>
        <w:numPr>
          <w:ilvl w:val="3"/>
          <w:numId w:val="20"/>
        </w:numPr>
        <w:tabs>
          <w:tab w:val="left" w:pos="1665"/>
          <w:tab w:val="left" w:pos="1666"/>
        </w:tabs>
        <w:spacing w:before="172"/>
      </w:pPr>
      <w:r>
        <w:t>竣工验收</w:t>
      </w:r>
    </w:p>
    <w:p w14:paraId="57C05F23">
      <w:pPr>
        <w:pStyle w:val="43"/>
        <w:numPr>
          <w:ilvl w:val="0"/>
          <w:numId w:val="49"/>
        </w:numPr>
        <w:tabs>
          <w:tab w:val="left" w:pos="1220"/>
        </w:tabs>
        <w:spacing w:before="173" w:line="374" w:lineRule="auto"/>
        <w:ind w:right="227" w:firstLine="372"/>
        <w:jc w:val="both"/>
        <w:rPr>
          <w:sz w:val="24"/>
        </w:rPr>
      </w:pPr>
      <w:r>
        <w:rPr>
          <w:sz w:val="24"/>
        </w:rPr>
        <w:t>总监理工程师应组织专业监理工程师，依据有关法律、法规、工程建设强制性标准、设计文件及施工合同，对承包人报送的竣工资料进行审查，并对工程质量进行竣工预验收。对存在的问题，应及时要求承包人整改。整改完毕由总监理工程师签署工程竣工报验单，并应在此基础上提出工程质量评估报告。工程质量评估报告应经总监理工程师和监理人技术负责人审核签字。</w:t>
      </w:r>
    </w:p>
    <w:p w14:paraId="3EAA06C9">
      <w:pPr>
        <w:pStyle w:val="43"/>
        <w:numPr>
          <w:ilvl w:val="0"/>
          <w:numId w:val="49"/>
        </w:numPr>
        <w:tabs>
          <w:tab w:val="left" w:pos="1220"/>
        </w:tabs>
        <w:spacing w:before="1" w:line="374" w:lineRule="auto"/>
        <w:ind w:right="227" w:firstLine="372"/>
        <w:jc w:val="both"/>
        <w:rPr>
          <w:sz w:val="24"/>
        </w:rPr>
      </w:pPr>
      <w:r>
        <w:rPr>
          <w:sz w:val="24"/>
        </w:rPr>
        <w:t>监理人应负责组织系统联动调试、试运行及各专项验收及检测。项目监理机构应参加由委托人组织的竣工验收，并提供相关监理资料。对验收中提出的整改问题，项目监理机构应要求承包人进行整改。工程质量符合要求，由总监理工程师会同参加验收的各方签署竣工验收报告。</w:t>
      </w:r>
    </w:p>
    <w:p w14:paraId="0FD1F68C">
      <w:pPr>
        <w:pStyle w:val="43"/>
        <w:numPr>
          <w:ilvl w:val="0"/>
          <w:numId w:val="49"/>
        </w:numPr>
        <w:tabs>
          <w:tab w:val="left" w:pos="1220"/>
        </w:tabs>
        <w:spacing w:before="1" w:line="374" w:lineRule="auto"/>
        <w:ind w:right="227" w:firstLine="372"/>
        <w:jc w:val="both"/>
        <w:rPr>
          <w:sz w:val="24"/>
        </w:rPr>
      </w:pPr>
      <w:r>
        <w:rPr>
          <w:sz w:val="24"/>
        </w:rPr>
        <w:t>组织或协助委托人、承包人对项目进行移交。</w:t>
      </w:r>
    </w:p>
    <w:p w14:paraId="72867A22">
      <w:pPr>
        <w:pStyle w:val="43"/>
        <w:numPr>
          <w:ilvl w:val="0"/>
          <w:numId w:val="49"/>
        </w:numPr>
        <w:tabs>
          <w:tab w:val="left" w:pos="1220"/>
        </w:tabs>
        <w:spacing w:before="1" w:line="374" w:lineRule="auto"/>
        <w:ind w:right="227" w:firstLine="372"/>
        <w:jc w:val="both"/>
        <w:rPr>
          <w:sz w:val="24"/>
        </w:rPr>
      </w:pPr>
      <w:r>
        <w:rPr>
          <w:sz w:val="24"/>
        </w:rPr>
        <w:t>根据现场的实际竣工情况对承包人提交的竣工图纸（包括设备移交资料等）进行复核确认。</w:t>
      </w:r>
    </w:p>
    <w:p w14:paraId="468F9CBA">
      <w:pPr>
        <w:pStyle w:val="14"/>
        <w:numPr>
          <w:ilvl w:val="3"/>
          <w:numId w:val="20"/>
        </w:numPr>
        <w:tabs>
          <w:tab w:val="left" w:pos="1665"/>
          <w:tab w:val="left" w:pos="1666"/>
        </w:tabs>
        <w:spacing w:before="1"/>
      </w:pPr>
      <w:r>
        <w:t>审核竣工结算</w:t>
      </w:r>
    </w:p>
    <w:p w14:paraId="539F4261">
      <w:pPr>
        <w:pStyle w:val="43"/>
        <w:numPr>
          <w:ilvl w:val="0"/>
          <w:numId w:val="50"/>
        </w:numPr>
        <w:spacing w:before="172"/>
        <w:ind w:left="1214" w:leftChars="0" w:hanging="1214" w:hangingChars="506"/>
        <w:rPr>
          <w:sz w:val="24"/>
        </w:rPr>
      </w:pPr>
      <w:r>
        <w:rPr>
          <w:sz w:val="24"/>
        </w:rPr>
        <w:t>结算的总体要求</w:t>
      </w:r>
    </w:p>
    <w:p w14:paraId="75DF3475">
      <w:pPr>
        <w:pStyle w:val="3"/>
        <w:spacing w:before="172" w:line="374" w:lineRule="auto"/>
        <w:ind w:right="115" w:firstLine="496"/>
      </w:pPr>
      <w:r>
        <w:t>监理人应根据有关合同约定及工程进展的实际情况，于竣工后 2 周内编制工程竣工结算计划报委托人批准后实施。监理人负责组织有关单位按核准的结算计划中的时间要求提交竣工结算书及竣工结算资料。监理人须根据委托人的要求审核承包人提交的工程结算书，确保工程结算资料的完整性，并对其提交给委托人的结算审核结果负责。工程结算以单个施工合同为结算对象，监理人应在完成全部合同结算的审核后形成结算汇总。总监理工程师应对监理人提交的《竣工结算审核意见书》进行签认并对由其审核的结算金额的准确性负责。</w:t>
      </w:r>
    </w:p>
    <w:p w14:paraId="082866C8">
      <w:pPr>
        <w:pStyle w:val="43"/>
        <w:numPr>
          <w:ilvl w:val="0"/>
          <w:numId w:val="50"/>
        </w:numPr>
        <w:spacing w:before="172"/>
        <w:ind w:left="1214" w:leftChars="0" w:hanging="1214" w:hangingChars="506"/>
        <w:rPr>
          <w:sz w:val="24"/>
        </w:rPr>
      </w:pPr>
      <w:r>
        <w:rPr>
          <w:sz w:val="24"/>
        </w:rPr>
        <w:t>工程结算资料必须实事求是、完整、真实准确，工程资料的主要内容包括：</w:t>
      </w:r>
    </w:p>
    <w:p w14:paraId="0BEE6F11">
      <w:pPr>
        <w:pStyle w:val="43"/>
        <w:numPr>
          <w:ilvl w:val="1"/>
          <w:numId w:val="50"/>
        </w:numPr>
        <w:tabs>
          <w:tab w:val="left" w:pos="1086"/>
        </w:tabs>
        <w:spacing w:before="58" w:line="374" w:lineRule="auto"/>
        <w:ind w:right="230" w:firstLine="496"/>
        <w:jc w:val="both"/>
        <w:rPr>
          <w:sz w:val="24"/>
        </w:rPr>
      </w:pPr>
      <w:r>
        <w:rPr>
          <w:sz w:val="24"/>
        </w:rPr>
        <w:t>合同（组成包括：协议书、中标通知书或委托书、投标文件澄清纪要、投标文件及其附件、合同专用条款、合同通用条款、招标文件及补遗书、本合同履行期间合同各方间签订的补充合同（协议）、其</w:t>
      </w:r>
      <w:r>
        <w:rPr>
          <w:rFonts w:hint="eastAsia"/>
          <w:sz w:val="24"/>
          <w:lang w:val="en-US" w:eastAsia="zh-CN"/>
        </w:rPr>
        <w:t>他</w:t>
      </w:r>
      <w:r>
        <w:rPr>
          <w:sz w:val="24"/>
        </w:rPr>
        <w:t>）；</w:t>
      </w:r>
    </w:p>
    <w:p w14:paraId="556F5FE9">
      <w:pPr>
        <w:pStyle w:val="43"/>
        <w:numPr>
          <w:ilvl w:val="1"/>
          <w:numId w:val="50"/>
        </w:numPr>
        <w:tabs>
          <w:tab w:val="left" w:pos="1086"/>
        </w:tabs>
        <w:spacing w:before="58" w:line="374" w:lineRule="auto"/>
        <w:ind w:right="230" w:firstLine="496"/>
        <w:jc w:val="both"/>
        <w:rPr>
          <w:sz w:val="24"/>
        </w:rPr>
      </w:pPr>
      <w:r>
        <w:rPr>
          <w:sz w:val="24"/>
        </w:rPr>
        <w:t>结算书及电子文档；</w:t>
      </w:r>
    </w:p>
    <w:p w14:paraId="43DE9287">
      <w:pPr>
        <w:pStyle w:val="43"/>
        <w:numPr>
          <w:ilvl w:val="1"/>
          <w:numId w:val="50"/>
        </w:numPr>
        <w:tabs>
          <w:tab w:val="left" w:pos="1086"/>
        </w:tabs>
        <w:spacing w:before="58" w:line="374" w:lineRule="auto"/>
        <w:ind w:right="230" w:firstLine="496"/>
        <w:jc w:val="both"/>
        <w:rPr>
          <w:sz w:val="24"/>
        </w:rPr>
      </w:pPr>
      <w:r>
        <w:rPr>
          <w:sz w:val="24"/>
        </w:rPr>
        <w:t>招标图纸及竣工图纸；</w:t>
      </w:r>
    </w:p>
    <w:p w14:paraId="07CAF518">
      <w:pPr>
        <w:pStyle w:val="43"/>
        <w:numPr>
          <w:ilvl w:val="1"/>
          <w:numId w:val="50"/>
        </w:numPr>
        <w:tabs>
          <w:tab w:val="left" w:pos="1086"/>
        </w:tabs>
        <w:spacing w:before="58" w:line="374" w:lineRule="auto"/>
        <w:ind w:right="230" w:firstLine="496"/>
        <w:jc w:val="both"/>
        <w:rPr>
          <w:sz w:val="24"/>
        </w:rPr>
      </w:pPr>
      <w:r>
        <w:rPr>
          <w:sz w:val="24"/>
        </w:rPr>
        <w:t>图纸会审（交底）的会议纪要；</w:t>
      </w:r>
    </w:p>
    <w:p w14:paraId="20D362FB">
      <w:pPr>
        <w:pStyle w:val="43"/>
        <w:numPr>
          <w:ilvl w:val="1"/>
          <w:numId w:val="50"/>
        </w:numPr>
        <w:tabs>
          <w:tab w:val="left" w:pos="1086"/>
        </w:tabs>
        <w:spacing w:before="58" w:line="374" w:lineRule="auto"/>
        <w:ind w:right="230" w:firstLine="496"/>
        <w:jc w:val="both"/>
        <w:rPr>
          <w:sz w:val="24"/>
        </w:rPr>
      </w:pPr>
      <w:r>
        <w:rPr>
          <w:sz w:val="24"/>
        </w:rPr>
        <w:t>工程量计算书（或钢筋抽料表）及电子文档；</w:t>
      </w:r>
    </w:p>
    <w:p w14:paraId="24B26738">
      <w:pPr>
        <w:pStyle w:val="43"/>
        <w:numPr>
          <w:ilvl w:val="1"/>
          <w:numId w:val="50"/>
        </w:numPr>
        <w:tabs>
          <w:tab w:val="left" w:pos="1086"/>
        </w:tabs>
        <w:spacing w:before="58" w:line="374" w:lineRule="auto"/>
        <w:ind w:right="230" w:firstLine="496"/>
        <w:jc w:val="both"/>
        <w:rPr>
          <w:sz w:val="24"/>
        </w:rPr>
      </w:pPr>
      <w:r>
        <w:rPr>
          <w:sz w:val="24"/>
        </w:rPr>
        <w:t>工程变更图纸、变更指令及工程变更申报审批表；</w:t>
      </w:r>
    </w:p>
    <w:p w14:paraId="6112E6F8">
      <w:pPr>
        <w:pStyle w:val="43"/>
        <w:numPr>
          <w:ilvl w:val="1"/>
          <w:numId w:val="50"/>
        </w:numPr>
        <w:tabs>
          <w:tab w:val="left" w:pos="1086"/>
        </w:tabs>
        <w:spacing w:before="58" w:line="374" w:lineRule="auto"/>
        <w:ind w:right="230" w:firstLine="496"/>
        <w:jc w:val="both"/>
        <w:rPr>
          <w:sz w:val="24"/>
        </w:rPr>
      </w:pPr>
      <w:r>
        <w:rPr>
          <w:sz w:val="24"/>
        </w:rPr>
        <w:t>施工现场变更签证及工程变更申报审批表；</w:t>
      </w:r>
    </w:p>
    <w:p w14:paraId="1AC4A19A">
      <w:pPr>
        <w:pStyle w:val="43"/>
        <w:numPr>
          <w:ilvl w:val="1"/>
          <w:numId w:val="50"/>
        </w:numPr>
        <w:tabs>
          <w:tab w:val="left" w:pos="1086"/>
        </w:tabs>
        <w:spacing w:before="58" w:line="374" w:lineRule="auto"/>
        <w:ind w:right="230" w:firstLine="496"/>
        <w:jc w:val="both"/>
        <w:rPr>
          <w:sz w:val="24"/>
        </w:rPr>
      </w:pPr>
      <w:r>
        <w:rPr>
          <w:sz w:val="24"/>
        </w:rPr>
        <w:t>工程竣工验收证明；</w:t>
      </w:r>
    </w:p>
    <w:p w14:paraId="6D8111D0">
      <w:pPr>
        <w:pStyle w:val="43"/>
        <w:numPr>
          <w:ilvl w:val="1"/>
          <w:numId w:val="50"/>
        </w:numPr>
        <w:tabs>
          <w:tab w:val="left" w:pos="1086"/>
        </w:tabs>
        <w:spacing w:before="58" w:line="374" w:lineRule="auto"/>
        <w:ind w:right="230" w:firstLine="496"/>
        <w:jc w:val="both"/>
        <w:rPr>
          <w:sz w:val="24"/>
        </w:rPr>
      </w:pPr>
      <w:r>
        <w:rPr>
          <w:sz w:val="24"/>
        </w:rPr>
        <w:t>开、竣工报告；</w:t>
      </w:r>
    </w:p>
    <w:p w14:paraId="4A4BAE2B">
      <w:pPr>
        <w:pStyle w:val="43"/>
        <w:numPr>
          <w:ilvl w:val="1"/>
          <w:numId w:val="50"/>
        </w:numPr>
        <w:tabs>
          <w:tab w:val="left" w:pos="1086"/>
        </w:tabs>
        <w:spacing w:before="58" w:line="374" w:lineRule="auto"/>
        <w:ind w:right="230" w:firstLine="496"/>
        <w:jc w:val="both"/>
        <w:rPr>
          <w:sz w:val="24"/>
        </w:rPr>
      </w:pPr>
      <w:r>
        <w:rPr>
          <w:sz w:val="24"/>
        </w:rPr>
        <w:t>中间计量资料；</w:t>
      </w:r>
    </w:p>
    <w:p w14:paraId="202DEF12">
      <w:pPr>
        <w:pStyle w:val="43"/>
        <w:numPr>
          <w:ilvl w:val="1"/>
          <w:numId w:val="50"/>
        </w:numPr>
        <w:tabs>
          <w:tab w:val="left" w:pos="1086"/>
        </w:tabs>
        <w:spacing w:before="58" w:line="374" w:lineRule="auto"/>
        <w:ind w:right="230" w:firstLine="496"/>
        <w:jc w:val="both"/>
        <w:rPr>
          <w:sz w:val="24"/>
        </w:rPr>
      </w:pPr>
      <w:r>
        <w:rPr>
          <w:sz w:val="24"/>
        </w:rPr>
        <w:t>其</w:t>
      </w:r>
      <w:r>
        <w:rPr>
          <w:rFonts w:hint="eastAsia"/>
          <w:sz w:val="24"/>
          <w:lang w:val="en-US" w:eastAsia="zh-CN"/>
        </w:rPr>
        <w:t>他</w:t>
      </w:r>
      <w:r>
        <w:rPr>
          <w:sz w:val="24"/>
        </w:rPr>
        <w:t>竣工结算资料。</w:t>
      </w:r>
    </w:p>
    <w:p w14:paraId="03C7386F">
      <w:pPr>
        <w:pStyle w:val="43"/>
        <w:numPr>
          <w:ilvl w:val="0"/>
          <w:numId w:val="50"/>
        </w:numPr>
        <w:spacing w:before="172"/>
        <w:ind w:left="0" w:leftChars="0" w:firstLine="0" w:firstLineChars="0"/>
        <w:rPr>
          <w:sz w:val="24"/>
        </w:rPr>
      </w:pPr>
      <w:r>
        <w:rPr>
          <w:sz w:val="24"/>
        </w:rPr>
        <w:t>政府有权审核部门结算审核过程中的相关工作</w:t>
      </w:r>
    </w:p>
    <w:p w14:paraId="4BA71905">
      <w:pPr>
        <w:pStyle w:val="43"/>
        <w:numPr>
          <w:ilvl w:val="0"/>
          <w:numId w:val="51"/>
        </w:numPr>
        <w:tabs>
          <w:tab w:val="left" w:pos="1086"/>
        </w:tabs>
        <w:spacing w:before="173" w:line="374" w:lineRule="auto"/>
        <w:ind w:right="233" w:firstLine="496"/>
        <w:rPr>
          <w:sz w:val="24"/>
        </w:rPr>
      </w:pPr>
      <w:r>
        <w:rPr>
          <w:sz w:val="24"/>
        </w:rPr>
        <w:t>监理人应积极组织并督促承包人配合政府主管部门对本合同工程结算书（结算资料）的审核工作，以推动结算工作的顺利进行。</w:t>
      </w:r>
    </w:p>
    <w:p w14:paraId="0FC273E2">
      <w:pPr>
        <w:pStyle w:val="43"/>
        <w:numPr>
          <w:ilvl w:val="0"/>
          <w:numId w:val="51"/>
        </w:numPr>
        <w:tabs>
          <w:tab w:val="left" w:pos="1086"/>
        </w:tabs>
        <w:spacing w:line="374" w:lineRule="auto"/>
        <w:ind w:right="239" w:firstLine="496"/>
        <w:rPr>
          <w:sz w:val="24"/>
        </w:rPr>
      </w:pPr>
      <w:r>
        <w:rPr>
          <w:sz w:val="24"/>
        </w:rPr>
        <w:t>监理人应按委托人要求，派出相关人员参加政府主管部门组织的针对本合同工程结算审核工作的相关会议（如结算工作会议、结算工程量核对会议等）。</w:t>
      </w:r>
    </w:p>
    <w:p w14:paraId="3A8FCB7A">
      <w:pPr>
        <w:pStyle w:val="43"/>
        <w:numPr>
          <w:ilvl w:val="0"/>
          <w:numId w:val="51"/>
        </w:numPr>
        <w:tabs>
          <w:tab w:val="left" w:pos="1086"/>
        </w:tabs>
        <w:spacing w:before="1" w:line="374" w:lineRule="auto"/>
        <w:ind w:right="239" w:firstLine="496"/>
        <w:rPr>
          <w:sz w:val="24"/>
        </w:rPr>
      </w:pPr>
      <w:r>
        <w:rPr>
          <w:sz w:val="24"/>
        </w:rPr>
        <w:t>监理人应根据政府主管部门对本合同工程结算提出的意见，向委托人提出解决本合同工程结算争议的合理建议。</w:t>
      </w:r>
    </w:p>
    <w:p w14:paraId="63E8F99A">
      <w:pPr>
        <w:pStyle w:val="14"/>
        <w:numPr>
          <w:ilvl w:val="3"/>
          <w:numId w:val="20"/>
        </w:numPr>
        <w:tabs>
          <w:tab w:val="left" w:pos="1665"/>
          <w:tab w:val="left" w:pos="1666"/>
        </w:tabs>
      </w:pPr>
      <w:r>
        <w:t>提交监理工作总结</w:t>
      </w:r>
    </w:p>
    <w:p w14:paraId="65454922">
      <w:pPr>
        <w:pStyle w:val="3"/>
        <w:spacing w:before="173" w:line="374" w:lineRule="auto"/>
        <w:ind w:right="227" w:firstLine="496"/>
      </w:pPr>
      <w:r>
        <w:t>监理工作结束时，监理人应向委托人提交监理工作总结。监理工作总结包括但不限于以下内容：</w:t>
      </w:r>
    </w:p>
    <w:p w14:paraId="1EAA5AC9">
      <w:pPr>
        <w:pStyle w:val="43"/>
        <w:numPr>
          <w:ilvl w:val="0"/>
          <w:numId w:val="52"/>
        </w:numPr>
        <w:tabs>
          <w:tab w:val="left" w:pos="0"/>
        </w:tabs>
        <w:ind w:left="0" w:leftChars="0" w:firstLine="0" w:firstLineChars="0"/>
        <w:rPr>
          <w:sz w:val="24"/>
        </w:rPr>
      </w:pPr>
      <w:r>
        <w:rPr>
          <w:sz w:val="24"/>
        </w:rPr>
        <w:t>工程概况；</w:t>
      </w:r>
    </w:p>
    <w:p w14:paraId="0FB9593E">
      <w:pPr>
        <w:pStyle w:val="43"/>
        <w:numPr>
          <w:ilvl w:val="0"/>
          <w:numId w:val="52"/>
        </w:numPr>
        <w:tabs>
          <w:tab w:val="left" w:pos="0"/>
        </w:tabs>
        <w:spacing w:before="173"/>
        <w:ind w:left="0" w:leftChars="0" w:firstLine="0" w:firstLineChars="0"/>
        <w:rPr>
          <w:sz w:val="24"/>
        </w:rPr>
      </w:pPr>
      <w:r>
        <w:rPr>
          <w:sz w:val="24"/>
        </w:rPr>
        <w:t>监理组织机构、监理人员和投入的监理设施；</w:t>
      </w:r>
    </w:p>
    <w:p w14:paraId="5701D757">
      <w:pPr>
        <w:pStyle w:val="43"/>
        <w:numPr>
          <w:ilvl w:val="0"/>
          <w:numId w:val="52"/>
        </w:numPr>
        <w:tabs>
          <w:tab w:val="left" w:pos="0"/>
        </w:tabs>
        <w:spacing w:before="172"/>
        <w:ind w:left="0" w:leftChars="0" w:firstLine="0" w:firstLineChars="0"/>
        <w:rPr>
          <w:sz w:val="24"/>
        </w:rPr>
      </w:pPr>
      <w:r>
        <w:rPr>
          <w:sz w:val="24"/>
        </w:rPr>
        <w:t>监理合同履行情况；</w:t>
      </w:r>
    </w:p>
    <w:p w14:paraId="51045904">
      <w:pPr>
        <w:pStyle w:val="43"/>
        <w:numPr>
          <w:ilvl w:val="0"/>
          <w:numId w:val="52"/>
        </w:numPr>
        <w:tabs>
          <w:tab w:val="left" w:pos="0"/>
        </w:tabs>
        <w:spacing w:before="173"/>
        <w:ind w:left="0" w:leftChars="0" w:firstLine="0" w:firstLineChars="0"/>
        <w:rPr>
          <w:sz w:val="24"/>
        </w:rPr>
      </w:pPr>
      <w:r>
        <w:rPr>
          <w:sz w:val="24"/>
        </w:rPr>
        <w:t>监理工作成效；</w:t>
      </w:r>
    </w:p>
    <w:p w14:paraId="34D594A9">
      <w:pPr>
        <w:pStyle w:val="43"/>
        <w:numPr>
          <w:ilvl w:val="0"/>
          <w:numId w:val="52"/>
        </w:numPr>
        <w:tabs>
          <w:tab w:val="left" w:pos="0"/>
        </w:tabs>
        <w:spacing w:before="172"/>
        <w:ind w:left="0" w:leftChars="0" w:firstLine="0" w:firstLineChars="0"/>
        <w:rPr>
          <w:sz w:val="24"/>
        </w:rPr>
      </w:pPr>
      <w:r>
        <w:rPr>
          <w:sz w:val="24"/>
        </w:rPr>
        <w:t>施工过程中出现的问题及其处理情况和建议；</w:t>
      </w:r>
    </w:p>
    <w:p w14:paraId="23BF6A2A">
      <w:pPr>
        <w:pStyle w:val="43"/>
        <w:numPr>
          <w:ilvl w:val="0"/>
          <w:numId w:val="52"/>
        </w:numPr>
        <w:tabs>
          <w:tab w:val="left" w:pos="0"/>
        </w:tabs>
        <w:spacing w:before="173"/>
        <w:ind w:left="0" w:leftChars="0" w:firstLine="0" w:firstLineChars="0"/>
        <w:rPr>
          <w:sz w:val="24"/>
        </w:rPr>
      </w:pPr>
      <w:r>
        <w:rPr>
          <w:sz w:val="24"/>
        </w:rPr>
        <w:t>工程照片（有必要时）。</w:t>
      </w:r>
    </w:p>
    <w:p w14:paraId="297FDD2B">
      <w:pPr>
        <w:pStyle w:val="14"/>
        <w:numPr>
          <w:ilvl w:val="2"/>
          <w:numId w:val="20"/>
        </w:numPr>
        <w:tabs>
          <w:tab w:val="left" w:pos="1552"/>
          <w:tab w:val="left" w:pos="1553"/>
        </w:tabs>
        <w:spacing w:before="172" w:line="360" w:lineRule="auto"/>
        <w:ind w:left="1552" w:hanging="848"/>
      </w:pPr>
      <w:r>
        <w:t>工程质量保修期的监理工作</w:t>
      </w:r>
    </w:p>
    <w:p w14:paraId="5C5D5288">
      <w:pPr>
        <w:pStyle w:val="43"/>
        <w:numPr>
          <w:ilvl w:val="0"/>
          <w:numId w:val="53"/>
        </w:numPr>
        <w:tabs>
          <w:tab w:val="left" w:pos="1305"/>
        </w:tabs>
        <w:spacing w:before="38" w:line="360" w:lineRule="auto"/>
        <w:ind w:right="233" w:firstLine="480"/>
        <w:rPr>
          <w:sz w:val="24"/>
        </w:rPr>
      </w:pPr>
      <w:r>
        <w:rPr>
          <w:sz w:val="24"/>
        </w:rPr>
        <w:t>监理人应依据委托监理合同约定的工程质量保修期监理工作的时间、范围和内容开展工作。</w:t>
      </w:r>
    </w:p>
    <w:p w14:paraId="5F09E12C">
      <w:pPr>
        <w:pStyle w:val="43"/>
        <w:numPr>
          <w:ilvl w:val="0"/>
          <w:numId w:val="53"/>
        </w:numPr>
        <w:tabs>
          <w:tab w:val="left" w:pos="1305"/>
        </w:tabs>
        <w:spacing w:before="38" w:line="360" w:lineRule="auto"/>
        <w:ind w:right="233" w:firstLine="480"/>
        <w:rPr>
          <w:sz w:val="24"/>
        </w:rPr>
      </w:pPr>
      <w:r>
        <w:rPr>
          <w:sz w:val="24"/>
        </w:rPr>
        <w:t>承担质量保修期监理工作时，监理人应安排监理人员对委托人提出的工程质量缺</w:t>
      </w:r>
    </w:p>
    <w:p w14:paraId="2F1E2FC4">
      <w:pPr>
        <w:pStyle w:val="3"/>
        <w:spacing w:before="172" w:line="360" w:lineRule="auto"/>
      </w:pPr>
      <w:r>
        <w:t>陷进行检查和记录，对承包人进行修复的工程质量进行验收，合格后予以签认。</w:t>
      </w:r>
    </w:p>
    <w:p w14:paraId="48C33B72">
      <w:pPr>
        <w:pStyle w:val="43"/>
        <w:numPr>
          <w:ilvl w:val="0"/>
          <w:numId w:val="53"/>
        </w:numPr>
        <w:tabs>
          <w:tab w:val="left" w:pos="1220"/>
        </w:tabs>
        <w:spacing w:before="29" w:line="360" w:lineRule="auto"/>
        <w:ind w:right="227" w:firstLine="372"/>
        <w:jc w:val="both"/>
        <w:rPr>
          <w:sz w:val="24"/>
        </w:rPr>
      </w:pPr>
      <w:r>
        <w:rPr>
          <w:sz w:val="24"/>
        </w:rPr>
        <w:t>监理人员应对工程质量缺陷原因进行调查分析并确定责任归属，对非承包人原因造成的工程质量缺陷，监理人员应核实修复工程的费用和签署工程款支付证书，并报委托人。</w:t>
      </w:r>
    </w:p>
    <w:p w14:paraId="60F6260D">
      <w:pPr>
        <w:pStyle w:val="14"/>
        <w:numPr>
          <w:ilvl w:val="1"/>
          <w:numId w:val="16"/>
        </w:numPr>
        <w:tabs>
          <w:tab w:val="left" w:pos="1131"/>
        </w:tabs>
        <w:spacing w:line="307" w:lineRule="exact"/>
        <w:ind w:hanging="426"/>
        <w:jc w:val="both"/>
      </w:pPr>
      <w:r>
        <w:t>监理与相关服务依据</w:t>
      </w:r>
    </w:p>
    <w:p w14:paraId="501334E0">
      <w:pPr>
        <w:pStyle w:val="43"/>
        <w:numPr>
          <w:ilvl w:val="2"/>
          <w:numId w:val="16"/>
        </w:numPr>
        <w:spacing w:before="160"/>
        <w:ind w:left="712" w:leftChars="0" w:hanging="712" w:hangingChars="297"/>
        <w:rPr>
          <w:sz w:val="24"/>
        </w:rPr>
      </w:pPr>
      <w:r>
        <w:rPr>
          <w:sz w:val="24"/>
        </w:rPr>
        <w:t>本合同适用的法律法规及监理依据</w:t>
      </w:r>
    </w:p>
    <w:p w14:paraId="393D1D50">
      <w:pPr>
        <w:pStyle w:val="3"/>
        <w:spacing w:before="158" w:line="364" w:lineRule="auto"/>
        <w:ind w:left="0" w:leftChars="0" w:right="235" w:firstLine="0" w:firstLineChars="0"/>
      </w:pPr>
      <w:r>
        <w:t>（1）中华人民共和国的法律、法规、本合同约定的部门规章及工程所在地的地方性法规和规章；</w:t>
      </w:r>
    </w:p>
    <w:p w14:paraId="21B5EC27">
      <w:pPr>
        <w:pStyle w:val="3"/>
        <w:spacing w:line="306" w:lineRule="exact"/>
        <w:ind w:left="0" w:leftChars="0" w:firstLine="0" w:firstLineChars="0"/>
      </w:pPr>
      <w:r>
        <w:t>（2）《建设工程监理规范》（GB/T50319—2013）；</w:t>
      </w:r>
    </w:p>
    <w:p w14:paraId="158D7AAE">
      <w:pPr>
        <w:pStyle w:val="43"/>
        <w:numPr>
          <w:ilvl w:val="0"/>
          <w:numId w:val="54"/>
        </w:numPr>
        <w:spacing w:before="161"/>
        <w:ind w:left="0" w:leftChars="0" w:firstLine="0" w:firstLineChars="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国家和地方现行的建设工程质量评定标准、设计及施工验收规范；</w:t>
      </w:r>
    </w:p>
    <w:p w14:paraId="40C9CE15">
      <w:pPr>
        <w:pStyle w:val="43"/>
        <w:numPr>
          <w:ilvl w:val="0"/>
          <w:numId w:val="54"/>
        </w:numPr>
        <w:spacing w:before="158"/>
        <w:ind w:left="0" w:leftChars="0" w:firstLine="0" w:firstLineChars="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经批准的施工图纸及说明，以及经图纸会审确定的修改设计通知书；</w:t>
      </w:r>
    </w:p>
    <w:p w14:paraId="71A72783">
      <w:pPr>
        <w:pStyle w:val="43"/>
        <w:numPr>
          <w:ilvl w:val="0"/>
          <w:numId w:val="54"/>
        </w:numPr>
        <w:spacing w:before="160"/>
        <w:ind w:left="0" w:leftChars="0" w:firstLine="0" w:firstLineChars="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本合同工程的设计、施工、安装、招投标文件及合同；</w:t>
      </w:r>
    </w:p>
    <w:p w14:paraId="156456F5">
      <w:pPr>
        <w:pStyle w:val="43"/>
        <w:numPr>
          <w:ilvl w:val="0"/>
          <w:numId w:val="54"/>
        </w:numPr>
        <w:spacing w:before="158"/>
        <w:ind w:left="0" w:leftChars="0" w:firstLine="0" w:firstLineChars="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委托人发出的有关本合同工程建设的指令；</w:t>
      </w:r>
    </w:p>
    <w:p w14:paraId="77BA0812">
      <w:pPr>
        <w:pStyle w:val="43"/>
        <w:numPr>
          <w:ilvl w:val="0"/>
          <w:numId w:val="54"/>
        </w:numPr>
        <w:spacing w:before="161"/>
        <w:ind w:left="0" w:leftChars="0" w:firstLine="0" w:firstLineChars="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委托人制定的有关本合同工程建设的管理制度。</w:t>
      </w:r>
    </w:p>
    <w:p w14:paraId="58F590AF">
      <w:pPr>
        <w:pStyle w:val="14"/>
        <w:numPr>
          <w:ilvl w:val="1"/>
          <w:numId w:val="16"/>
        </w:numPr>
        <w:tabs>
          <w:tab w:val="left" w:pos="1131"/>
        </w:tabs>
        <w:spacing w:before="158"/>
        <w:ind w:hanging="426"/>
      </w:pPr>
      <w:r>
        <w:t>项目监理机构和人员</w:t>
      </w:r>
    </w:p>
    <w:p w14:paraId="00A3FECA">
      <w:pPr>
        <w:pStyle w:val="43"/>
        <w:numPr>
          <w:ilvl w:val="2"/>
          <w:numId w:val="16"/>
        </w:numPr>
        <w:spacing w:before="161"/>
        <w:ind w:left="722" w:leftChars="0" w:hanging="722" w:hangingChars="301"/>
        <w:rPr>
          <w:sz w:val="24"/>
        </w:rPr>
      </w:pPr>
      <w:r>
        <w:rPr>
          <w:sz w:val="24"/>
        </w:rPr>
        <w:t>项目监理机构</w:t>
      </w:r>
    </w:p>
    <w:p w14:paraId="09394715">
      <w:pPr>
        <w:pStyle w:val="43"/>
        <w:numPr>
          <w:ilvl w:val="0"/>
          <w:numId w:val="55"/>
        </w:numPr>
        <w:tabs>
          <w:tab w:val="left" w:pos="1191"/>
        </w:tabs>
        <w:spacing w:before="158" w:line="364" w:lineRule="auto"/>
        <w:ind w:right="235" w:firstLine="360"/>
        <w:rPr>
          <w:sz w:val="24"/>
        </w:rPr>
      </w:pPr>
      <w:r>
        <w:rPr>
          <w:sz w:val="24"/>
        </w:rPr>
        <w:t>监理人必须在施工现场建立项目监理机构。项目监理机构在完成本合同约定的监理工作后方可撤离施工现场。</w:t>
      </w:r>
    </w:p>
    <w:p w14:paraId="3E16F861">
      <w:pPr>
        <w:pStyle w:val="43"/>
        <w:numPr>
          <w:ilvl w:val="0"/>
          <w:numId w:val="55"/>
        </w:numPr>
        <w:tabs>
          <w:tab w:val="left" w:pos="1191"/>
        </w:tabs>
        <w:spacing w:before="1" w:line="364" w:lineRule="auto"/>
        <w:ind w:right="230" w:firstLine="360"/>
        <w:jc w:val="both"/>
        <w:rPr>
          <w:sz w:val="24"/>
        </w:rPr>
      </w:pPr>
      <w:r>
        <w:rPr>
          <w:sz w:val="24"/>
        </w:rPr>
        <w:t>监理人必须在委托人发出进场通知后，按委托人具体的要求进场，并立即开始履行本合同约定的服务。监理人必须按照其投标文件和监理规划的承诺，足额、按时派驻监理人员和投入设备。</w:t>
      </w:r>
    </w:p>
    <w:p w14:paraId="3E3672E7">
      <w:pPr>
        <w:pStyle w:val="43"/>
        <w:numPr>
          <w:ilvl w:val="0"/>
          <w:numId w:val="55"/>
        </w:numPr>
        <w:tabs>
          <w:tab w:val="left" w:pos="1191"/>
        </w:tabs>
        <w:spacing w:line="364" w:lineRule="auto"/>
        <w:ind w:right="230" w:firstLine="360"/>
        <w:jc w:val="both"/>
        <w:rPr>
          <w:sz w:val="24"/>
          <w:u w:val="single"/>
        </w:rPr>
      </w:pPr>
      <w:r>
        <w:rPr>
          <w:sz w:val="24"/>
        </w:rPr>
        <w:t>监理人员应包括总监理工程师、总监代表、相关专业人员及服务人员，他们的基本要求</w:t>
      </w:r>
      <w:r>
        <w:rPr>
          <w:rFonts w:hint="eastAsia"/>
          <w:sz w:val="24"/>
        </w:rPr>
        <w:t>原则上不低于招标文件的要求。根据项目情况如需要增设总监代表的，应经委托人书面同意，且总监代表的资格条件需报委托人审核。</w:t>
      </w:r>
      <w:r>
        <w:rPr>
          <w:rFonts w:hint="eastAsia"/>
          <w:sz w:val="24"/>
          <w:u w:val="single"/>
        </w:rPr>
        <w:t>上述人员</w:t>
      </w:r>
      <w:r>
        <w:rPr>
          <w:sz w:val="24"/>
          <w:u w:val="single"/>
        </w:rPr>
        <w:t>没有被人民法院判决犯罪的记录（若不能开具证明， 监理人必须作出书面承诺）。</w:t>
      </w:r>
    </w:p>
    <w:p w14:paraId="7D79BF6F">
      <w:pPr>
        <w:pStyle w:val="43"/>
        <w:numPr>
          <w:ilvl w:val="0"/>
          <w:numId w:val="55"/>
        </w:numPr>
        <w:tabs>
          <w:tab w:val="left" w:pos="1191"/>
        </w:tabs>
        <w:spacing w:line="364" w:lineRule="auto"/>
        <w:ind w:right="230" w:firstLine="360"/>
        <w:jc w:val="both"/>
        <w:rPr>
          <w:sz w:val="24"/>
        </w:rPr>
      </w:pPr>
      <w:r>
        <w:rPr>
          <w:sz w:val="24"/>
        </w:rPr>
        <w:t>项目监理机构的监理人员应专业配套、数量满足工程项目监理工作的需要，保证足够的监理人员从事要求的施工准备期至工程收尾、工程整改、工程竣工、工程结算、工程竣工备案、工程质量保修期的监理工作。</w:t>
      </w:r>
    </w:p>
    <w:p w14:paraId="23F737E3">
      <w:pPr>
        <w:pStyle w:val="43"/>
        <w:numPr>
          <w:ilvl w:val="0"/>
          <w:numId w:val="55"/>
        </w:numPr>
        <w:tabs>
          <w:tab w:val="left" w:pos="1191"/>
        </w:tabs>
        <w:spacing w:line="364" w:lineRule="auto"/>
        <w:ind w:right="230" w:firstLine="360"/>
        <w:jc w:val="both"/>
        <w:rPr>
          <w:sz w:val="24"/>
        </w:rPr>
      </w:pPr>
      <w:r>
        <w:rPr>
          <w:sz w:val="24"/>
        </w:rPr>
        <w:t>监理人派驻到项目所在地履行监理服务的监理人员，必须常驻现场。</w:t>
      </w:r>
    </w:p>
    <w:p w14:paraId="426E89C6">
      <w:pPr>
        <w:pStyle w:val="43"/>
        <w:numPr>
          <w:ilvl w:val="0"/>
          <w:numId w:val="55"/>
        </w:numPr>
        <w:tabs>
          <w:tab w:val="left" w:pos="1191"/>
        </w:tabs>
        <w:spacing w:before="54" w:line="360" w:lineRule="auto"/>
        <w:ind w:right="113" w:firstLine="360"/>
        <w:rPr>
          <w:sz w:val="24"/>
          <w:szCs w:val="24"/>
        </w:rPr>
      </w:pPr>
      <w:r>
        <w:rPr>
          <w:sz w:val="24"/>
          <w:szCs w:val="24"/>
        </w:rPr>
        <w:t>考虑到本合同项目的重要性、特殊性、复杂性，委托人将监理人的人员落实、驻场人员的到位作为监理管理工作考核的内容之一。如监理人的人员投入、驻场工作的安排、落实，未能达到合同要求，委托人将严格按本合同的相关约定作出处理。</w:t>
      </w:r>
    </w:p>
    <w:p w14:paraId="19F332A3">
      <w:pPr>
        <w:pStyle w:val="43"/>
        <w:numPr>
          <w:ilvl w:val="0"/>
          <w:numId w:val="55"/>
        </w:numPr>
        <w:tabs>
          <w:tab w:val="left" w:pos="1191"/>
        </w:tabs>
        <w:spacing w:line="360" w:lineRule="auto"/>
        <w:ind w:right="230" w:firstLine="360"/>
        <w:jc w:val="both"/>
        <w:rPr>
          <w:sz w:val="24"/>
          <w:szCs w:val="24"/>
        </w:rPr>
      </w:pPr>
      <w:r>
        <w:rPr>
          <w:sz w:val="24"/>
          <w:szCs w:val="24"/>
        </w:rPr>
        <w:t>监理人必须保证参与本项目监理人员的稳定性，未征得委托人同意不可撤换，否则必须承担相应责任。监理人因工作安排或其他原因，需要更换派驻到项目所在地履行监理服务的主要监理人员的，应事先得到委托人的同意。</w:t>
      </w:r>
    </w:p>
    <w:p w14:paraId="60487302">
      <w:pPr>
        <w:pStyle w:val="43"/>
        <w:numPr>
          <w:ilvl w:val="0"/>
          <w:numId w:val="55"/>
        </w:numPr>
        <w:tabs>
          <w:tab w:val="left" w:pos="1185"/>
        </w:tabs>
        <w:spacing w:line="360" w:lineRule="auto"/>
        <w:ind w:right="110" w:firstLine="360"/>
        <w:rPr>
          <w:sz w:val="24"/>
          <w:szCs w:val="24"/>
        </w:rPr>
      </w:pPr>
      <w:r>
        <w:rPr>
          <w:sz w:val="24"/>
          <w:szCs w:val="24"/>
        </w:rPr>
        <w:t>委托人有权要求监理人更换不称职的管理人员。除因为死亡或严重疾病的原因外， 监理人更换主要管理人员（包括总监、总监代表）必须征得委托人的同意。委托人有权对监理人拟更换的总监进行考核。监理人拟更换的总监不能通过委托人考核的，不得任总监。</w:t>
      </w:r>
    </w:p>
    <w:p w14:paraId="50CC7713">
      <w:pPr>
        <w:pStyle w:val="43"/>
        <w:numPr>
          <w:ilvl w:val="0"/>
          <w:numId w:val="55"/>
        </w:numPr>
        <w:tabs>
          <w:tab w:val="left" w:pos="1191"/>
        </w:tabs>
        <w:spacing w:line="360" w:lineRule="auto"/>
        <w:ind w:right="230" w:firstLine="360"/>
        <w:jc w:val="both"/>
        <w:rPr>
          <w:sz w:val="24"/>
          <w:szCs w:val="24"/>
        </w:rPr>
      </w:pPr>
      <w:r>
        <w:rPr>
          <w:sz w:val="24"/>
          <w:szCs w:val="24"/>
        </w:rPr>
        <w:t>委托人有权以书面形式要求监理人更换不能按照本合同约定履行监理服务的派驻人员。即使是委托人要求或同意更换的监理人员，其替代人员的资质仍应得到委托人的认可。由于更换人员引起的费用由监理人承担。</w:t>
      </w:r>
    </w:p>
    <w:p w14:paraId="1D3230D6">
      <w:pPr>
        <w:pStyle w:val="43"/>
        <w:numPr>
          <w:ilvl w:val="0"/>
          <w:numId w:val="55"/>
        </w:numPr>
        <w:tabs>
          <w:tab w:val="left" w:pos="640"/>
        </w:tabs>
        <w:spacing w:line="360" w:lineRule="auto"/>
        <w:ind w:right="230" w:firstLine="360"/>
        <w:jc w:val="both"/>
        <w:rPr>
          <w:sz w:val="24"/>
          <w:szCs w:val="24"/>
        </w:rPr>
      </w:pPr>
      <w:r>
        <w:rPr>
          <w:sz w:val="24"/>
          <w:szCs w:val="24"/>
        </w:rPr>
        <w:t>如因监理人使用不称职管理人员给工程建设造成损失的，由监理人向委托人承担相应的赔偿责任。虽然征得委托人的同意，监理人如更换总监，委托人仍有权要求监理人按 30 万元/人/次承担违约赔偿，如更换总监代表，委托人仍有权要求监理人按 5 万元/人/次承担违约赔偿，如更换其他一般管理人员，委托人有权要求监理人按 1 万元/人/次承担违约赔偿。</w:t>
      </w:r>
    </w:p>
    <w:p w14:paraId="393FF8F8">
      <w:pPr>
        <w:pStyle w:val="43"/>
        <w:numPr>
          <w:ilvl w:val="0"/>
          <w:numId w:val="55"/>
        </w:numPr>
        <w:tabs>
          <w:tab w:val="left" w:pos="1191"/>
        </w:tabs>
        <w:spacing w:line="360" w:lineRule="auto"/>
        <w:ind w:right="230" w:firstLine="360"/>
        <w:jc w:val="both"/>
        <w:rPr>
          <w:sz w:val="24"/>
          <w:szCs w:val="24"/>
        </w:rPr>
      </w:pPr>
      <w:r>
        <w:rPr>
          <w:sz w:val="24"/>
          <w:szCs w:val="24"/>
        </w:rPr>
        <w:t>总监理工程师在本合同授权范围内行使合同规定的权利，履行相应的职责。</w:t>
      </w:r>
    </w:p>
    <w:p w14:paraId="55F55113">
      <w:pPr>
        <w:pStyle w:val="43"/>
        <w:numPr>
          <w:ilvl w:val="0"/>
          <w:numId w:val="55"/>
        </w:numPr>
        <w:tabs>
          <w:tab w:val="left" w:pos="1305"/>
        </w:tabs>
        <w:spacing w:before="152" w:line="364" w:lineRule="auto"/>
        <w:ind w:right="230" w:firstLine="360"/>
        <w:jc w:val="both"/>
        <w:rPr>
          <w:sz w:val="24"/>
        </w:rPr>
      </w:pPr>
      <w:r>
        <w:rPr>
          <w:sz w:val="24"/>
        </w:rPr>
        <w:t>如委托人认为监理人员的数量、监理人员的业务水平、监理人员的专业配置不能满足监理工作所需时，委托人有权另行聘请符合工作需要的监理人员；所聘请监理人员的工资已包括在本合同监理酬金内，此费用由监理人向所聘监理人员支付。必要时委托人有权直接从本合同监理酬金中扣取支付。</w:t>
      </w:r>
    </w:p>
    <w:p w14:paraId="22D0F5DE">
      <w:pPr>
        <w:pStyle w:val="43"/>
        <w:numPr>
          <w:ilvl w:val="0"/>
          <w:numId w:val="55"/>
        </w:numPr>
        <w:tabs>
          <w:tab w:val="left" w:pos="1305"/>
        </w:tabs>
        <w:spacing w:before="152" w:line="364" w:lineRule="auto"/>
        <w:ind w:right="230" w:firstLine="360"/>
        <w:jc w:val="both"/>
        <w:rPr>
          <w:sz w:val="24"/>
        </w:rPr>
      </w:pPr>
      <w:r>
        <w:rPr>
          <w:sz w:val="24"/>
        </w:rPr>
        <w:t>委托人根据工程推进实际情况，有权要求监理人的项目负责人必须调用其资源保证落实本项目监理工作。</w:t>
      </w:r>
    </w:p>
    <w:p w14:paraId="6EFC9F30">
      <w:pPr>
        <w:pStyle w:val="43"/>
        <w:numPr>
          <w:ilvl w:val="0"/>
          <w:numId w:val="55"/>
        </w:numPr>
        <w:tabs>
          <w:tab w:val="left" w:pos="1305"/>
        </w:tabs>
        <w:spacing w:before="152" w:line="364" w:lineRule="auto"/>
        <w:ind w:right="230" w:firstLine="360"/>
        <w:jc w:val="both"/>
        <w:rPr>
          <w:sz w:val="24"/>
        </w:rPr>
      </w:pPr>
      <w:r>
        <w:rPr>
          <w:sz w:val="24"/>
        </w:rPr>
        <w:t>监理人应对其驻地监理人员的人身安全承担责任。</w:t>
      </w:r>
    </w:p>
    <w:p w14:paraId="3A10DC6C">
      <w:pPr>
        <w:pStyle w:val="43"/>
        <w:numPr>
          <w:ilvl w:val="0"/>
          <w:numId w:val="55"/>
        </w:numPr>
        <w:tabs>
          <w:tab w:val="left" w:pos="1305"/>
        </w:tabs>
        <w:spacing w:before="158" w:line="364" w:lineRule="auto"/>
        <w:ind w:right="230" w:firstLine="360"/>
        <w:jc w:val="both"/>
        <w:rPr>
          <w:sz w:val="24"/>
        </w:rPr>
      </w:pPr>
      <w:r>
        <w:rPr>
          <w:sz w:val="24"/>
        </w:rPr>
        <w:t>监理人应于本合同签订后十天内将项目监理机构的组织形式、人员构成及对总监理工程师的任命书面通知委托人。当总监理工程师需要调整时，监理人应事先书面征得委托人的同意；当专业监理工程师需要调整时，总监理工程师应书面通知委托人和承包人。</w:t>
      </w:r>
    </w:p>
    <w:p w14:paraId="7A1F6F1B">
      <w:pPr>
        <w:pStyle w:val="43"/>
        <w:numPr>
          <w:ilvl w:val="0"/>
          <w:numId w:val="55"/>
        </w:numPr>
        <w:tabs>
          <w:tab w:val="left" w:pos="1305"/>
        </w:tabs>
        <w:spacing w:line="364" w:lineRule="auto"/>
        <w:ind w:right="221" w:firstLine="360"/>
        <w:jc w:val="both"/>
        <w:rPr>
          <w:sz w:val="24"/>
        </w:rPr>
      </w:pPr>
      <w:r>
        <w:rPr>
          <w:sz w:val="24"/>
        </w:rPr>
        <w:t>为发挥委托人工程管理人员对监理工作的直接参与和对监理人项目管理的掌控， 委托人的项目工作小组将与监理人的项目监理机构集中办公，督促监理人履行职责，并对项目监理机构的下列工作进行检查：</w:t>
      </w:r>
    </w:p>
    <w:p w14:paraId="489305A9">
      <w:pPr>
        <w:pStyle w:val="43"/>
        <w:numPr>
          <w:ilvl w:val="1"/>
          <w:numId w:val="55"/>
        </w:numPr>
        <w:tabs>
          <w:tab w:val="left" w:pos="1065"/>
        </w:tabs>
        <w:spacing w:before="54"/>
        <w:ind w:hanging="362"/>
        <w:rPr>
          <w:sz w:val="24"/>
        </w:rPr>
      </w:pPr>
      <w:r>
        <w:rPr>
          <w:sz w:val="24"/>
        </w:rPr>
        <w:t>监理人的日常监理工作；</w:t>
      </w:r>
    </w:p>
    <w:p w14:paraId="69EE0AE1">
      <w:pPr>
        <w:pStyle w:val="43"/>
        <w:numPr>
          <w:ilvl w:val="1"/>
          <w:numId w:val="55"/>
        </w:numPr>
        <w:tabs>
          <w:tab w:val="left" w:pos="1065"/>
        </w:tabs>
        <w:spacing w:before="161"/>
        <w:ind w:hanging="362"/>
        <w:rPr>
          <w:sz w:val="24"/>
        </w:rPr>
      </w:pPr>
      <w:r>
        <w:rPr>
          <w:sz w:val="24"/>
        </w:rPr>
        <w:t>监理人人员及仪器设备的投入；</w:t>
      </w:r>
    </w:p>
    <w:p w14:paraId="377E7261">
      <w:pPr>
        <w:pStyle w:val="43"/>
        <w:numPr>
          <w:ilvl w:val="1"/>
          <w:numId w:val="55"/>
        </w:numPr>
        <w:tabs>
          <w:tab w:val="left" w:pos="1065"/>
        </w:tabs>
        <w:spacing w:before="160"/>
        <w:ind w:hanging="362"/>
        <w:rPr>
          <w:sz w:val="24"/>
        </w:rPr>
      </w:pPr>
      <w:r>
        <w:rPr>
          <w:sz w:val="24"/>
        </w:rPr>
        <w:t>监理人的旁站计划及旁站工作记录；</w:t>
      </w:r>
    </w:p>
    <w:p w14:paraId="4B97FCAE">
      <w:pPr>
        <w:pStyle w:val="43"/>
        <w:numPr>
          <w:ilvl w:val="1"/>
          <w:numId w:val="55"/>
        </w:numPr>
        <w:tabs>
          <w:tab w:val="left" w:pos="1065"/>
        </w:tabs>
        <w:spacing w:before="158"/>
        <w:ind w:hanging="362"/>
        <w:rPr>
          <w:sz w:val="24"/>
        </w:rPr>
      </w:pPr>
      <w:r>
        <w:rPr>
          <w:sz w:val="24"/>
        </w:rPr>
        <w:t>监理人的监理日志及隐蔽工程验收记录；</w:t>
      </w:r>
    </w:p>
    <w:p w14:paraId="3ADF2290">
      <w:pPr>
        <w:pStyle w:val="43"/>
        <w:numPr>
          <w:ilvl w:val="1"/>
          <w:numId w:val="55"/>
        </w:numPr>
        <w:tabs>
          <w:tab w:val="left" w:pos="1065"/>
        </w:tabs>
        <w:spacing w:before="161"/>
        <w:ind w:hanging="362"/>
        <w:rPr>
          <w:sz w:val="24"/>
        </w:rPr>
      </w:pPr>
      <w:r>
        <w:rPr>
          <w:sz w:val="24"/>
        </w:rPr>
        <w:t>监理人编制的承包人人、材、机投入及实物工程量统计报表；</w:t>
      </w:r>
    </w:p>
    <w:p w14:paraId="41F72AA0">
      <w:pPr>
        <w:pStyle w:val="43"/>
        <w:numPr>
          <w:ilvl w:val="0"/>
          <w:numId w:val="55"/>
        </w:numPr>
        <w:tabs>
          <w:tab w:val="left" w:pos="1305"/>
        </w:tabs>
        <w:spacing w:before="158" w:line="364" w:lineRule="auto"/>
        <w:ind w:right="233" w:firstLine="360"/>
        <w:rPr>
          <w:sz w:val="24"/>
        </w:rPr>
      </w:pPr>
      <w:r>
        <w:rPr>
          <w:sz w:val="24"/>
        </w:rPr>
        <w:t>监理人应建立现场报到指纹打卡制度，对总监、总监代表及现场监理工程师到场情况进行考核。</w:t>
      </w:r>
    </w:p>
    <w:p w14:paraId="498520AB">
      <w:pPr>
        <w:pStyle w:val="43"/>
        <w:numPr>
          <w:ilvl w:val="2"/>
          <w:numId w:val="16"/>
        </w:numPr>
        <w:spacing w:line="306" w:lineRule="exact"/>
        <w:ind w:left="0" w:leftChars="0" w:firstLine="0" w:firstLineChars="0"/>
        <w:rPr>
          <w:sz w:val="24"/>
        </w:rPr>
      </w:pPr>
      <w:r>
        <w:rPr>
          <w:sz w:val="24"/>
        </w:rPr>
        <w:t>总监理工程师的委派和指令</w:t>
      </w:r>
    </w:p>
    <w:p w14:paraId="2BC7ED93">
      <w:pPr>
        <w:pStyle w:val="43"/>
        <w:numPr>
          <w:ilvl w:val="0"/>
          <w:numId w:val="56"/>
        </w:numPr>
        <w:tabs>
          <w:tab w:val="left" w:pos="1191"/>
        </w:tabs>
        <w:spacing w:before="160" w:line="364" w:lineRule="auto"/>
        <w:ind w:right="113" w:firstLine="360"/>
        <w:rPr>
          <w:sz w:val="24"/>
        </w:rPr>
      </w:pPr>
      <w:r>
        <w:rPr>
          <w:sz w:val="24"/>
        </w:rPr>
        <w:t>总监理工程师可以授权监理人员负责执行其指派的一项或多项监管工作。总监理工程师应将这些监理人员的姓名及其授权范围通知承包人。被授权的监理人员在授权范围内发出的指令视为已得到总监理工程师的同意，与总监理工程师发出的指令具有同等效力。总监理工程师撤销对监理人员某项授权的，应将撤销授权的决定及时通知承包人。</w:t>
      </w:r>
    </w:p>
    <w:p w14:paraId="2EC8C961">
      <w:pPr>
        <w:pStyle w:val="43"/>
        <w:numPr>
          <w:ilvl w:val="0"/>
          <w:numId w:val="56"/>
        </w:numPr>
        <w:tabs>
          <w:tab w:val="left" w:pos="1191"/>
        </w:tabs>
        <w:spacing w:line="364" w:lineRule="auto"/>
        <w:ind w:right="230" w:firstLine="360"/>
        <w:jc w:val="both"/>
        <w:rPr>
          <w:sz w:val="24"/>
        </w:rPr>
      </w:pPr>
      <w:r>
        <w:rPr>
          <w:sz w:val="24"/>
        </w:rPr>
        <w:t>除特别指明外，监理人员对承包人的任何工作、工程或其采用的材料和工程设备未提出否定意见的，不应视为已获批准，也不影响总监理工程师或监理人员在以后拒绝该项工作、工程、材料或工程设备的权利。</w:t>
      </w:r>
    </w:p>
    <w:p w14:paraId="27C4C7DA">
      <w:pPr>
        <w:pStyle w:val="43"/>
        <w:numPr>
          <w:ilvl w:val="0"/>
          <w:numId w:val="56"/>
        </w:numPr>
        <w:tabs>
          <w:tab w:val="left" w:pos="1191"/>
        </w:tabs>
        <w:spacing w:line="364" w:lineRule="auto"/>
        <w:ind w:right="221" w:firstLine="360"/>
        <w:jc w:val="both"/>
        <w:rPr>
          <w:sz w:val="24"/>
        </w:rPr>
      </w:pPr>
      <w:r>
        <w:rPr>
          <w:sz w:val="24"/>
        </w:rPr>
        <w:t>总监理工程师应按相关合同的约定向承包人发出指令，总监理工程师的指令应盖有监理人授权的施工场地项目监理机构章，并由总监理工程师或总监理工程师按上述（1） 项约定授权的监理人员签字。</w:t>
      </w:r>
    </w:p>
    <w:p w14:paraId="7A2B7956">
      <w:pPr>
        <w:pStyle w:val="43"/>
        <w:numPr>
          <w:ilvl w:val="0"/>
          <w:numId w:val="56"/>
        </w:numPr>
        <w:tabs>
          <w:tab w:val="left" w:pos="1185"/>
        </w:tabs>
        <w:spacing w:line="364" w:lineRule="auto"/>
        <w:ind w:right="230" w:firstLine="360"/>
        <w:jc w:val="both"/>
        <w:rPr>
          <w:sz w:val="24"/>
        </w:rPr>
      </w:pPr>
      <w:r>
        <w:rPr>
          <w:sz w:val="24"/>
        </w:rPr>
        <w:t>承包人收到总监理工程师按上述（3）项约定作出的指令后应遵照执行。承包人对总监理工程师的指令有异议的，可向总监理工程师提出书面意见，但应先遵照执行。总监理工程师研究承包人的书面意见后，应在 48 小时内对该指令予以确认、更改或撤销，并通知承包人。若总监理工程师再次决定继续执行原指令，承包人应遵照执行，承包人如仍有异议，可报委托人裁决。</w:t>
      </w:r>
    </w:p>
    <w:p w14:paraId="60D3A72F">
      <w:pPr>
        <w:pStyle w:val="43"/>
        <w:numPr>
          <w:ilvl w:val="0"/>
          <w:numId w:val="56"/>
        </w:numPr>
        <w:tabs>
          <w:tab w:val="left" w:pos="1191"/>
        </w:tabs>
        <w:spacing w:line="362" w:lineRule="auto"/>
        <w:ind w:right="235" w:firstLine="360"/>
        <w:jc w:val="both"/>
        <w:rPr>
          <w:sz w:val="24"/>
        </w:rPr>
      </w:pPr>
      <w:r>
        <w:rPr>
          <w:sz w:val="24"/>
        </w:rPr>
        <w:t>在紧急情况下，总监理工程师或被授权的监理人员可以当场发出口头指令，承包人应遵照执行。监理人应在发出口头指令后 24 小时内发出书面指令予以确认。</w:t>
      </w:r>
    </w:p>
    <w:p w14:paraId="6B5B3450">
      <w:pPr>
        <w:pStyle w:val="43"/>
        <w:numPr>
          <w:ilvl w:val="0"/>
          <w:numId w:val="56"/>
        </w:numPr>
        <w:tabs>
          <w:tab w:val="left" w:pos="1185"/>
        </w:tabs>
        <w:spacing w:line="362" w:lineRule="auto"/>
        <w:ind w:right="230" w:firstLine="360"/>
        <w:rPr>
          <w:sz w:val="24"/>
        </w:rPr>
      </w:pPr>
      <w:r>
        <w:rPr>
          <w:sz w:val="24"/>
        </w:rPr>
        <w:t>除合同另有约定外，承包人只从总监理工程师或按上述（1）项被授权的监理人员处取得指令。</w:t>
      </w:r>
    </w:p>
    <w:p w14:paraId="11114914">
      <w:pPr>
        <w:pStyle w:val="43"/>
        <w:numPr>
          <w:ilvl w:val="0"/>
          <w:numId w:val="56"/>
        </w:numPr>
        <w:tabs>
          <w:tab w:val="left" w:pos="1191"/>
        </w:tabs>
        <w:spacing w:before="2" w:line="362" w:lineRule="auto"/>
        <w:ind w:right="235" w:firstLine="360"/>
        <w:rPr>
          <w:sz w:val="24"/>
        </w:rPr>
      </w:pPr>
      <w:r>
        <w:rPr>
          <w:sz w:val="24"/>
        </w:rPr>
        <w:t>由于总监理工程师未能按合同约定履行职责或总监理工程师指令错误而延误工期的，工期顺延情形只适用于一般节点工期。</w:t>
      </w:r>
    </w:p>
    <w:p w14:paraId="1CB80090">
      <w:pPr>
        <w:pStyle w:val="14"/>
        <w:numPr>
          <w:ilvl w:val="-1"/>
          <w:numId w:val="0"/>
        </w:numPr>
        <w:tabs>
          <w:tab w:val="left" w:pos="1371"/>
        </w:tabs>
        <w:spacing w:before="5" w:line="362" w:lineRule="auto"/>
        <w:ind w:left="0" w:right="233" w:firstLine="240" w:firstLineChars="100"/>
      </w:pPr>
      <w:r>
        <w:rPr>
          <w:rFonts w:hint="eastAsia"/>
          <w:b w:val="0"/>
          <w:bCs w:val="0"/>
          <w:lang w:val="en-US" w:eastAsia="zh-CN"/>
        </w:rPr>
        <w:t>2.3.3</w:t>
      </w:r>
      <w:r>
        <w:rPr>
          <w:b w:val="0"/>
          <w:bCs w:val="0"/>
        </w:rPr>
        <w:t>监理人可根据工程进展和工作需要调整项目监理机构人员，应提前 7 天向委托人书面报告，并经委托人同意后方可更换。</w:t>
      </w:r>
    </w:p>
    <w:p w14:paraId="16607126">
      <w:pPr>
        <w:pStyle w:val="14"/>
        <w:spacing w:before="54"/>
        <w:ind w:left="705" w:firstLine="0"/>
        <w:jc w:val="both"/>
      </w:pPr>
      <w:r>
        <w:t>2.5 提交报告</w:t>
      </w:r>
    </w:p>
    <w:p w14:paraId="7A45BEAC">
      <w:pPr>
        <w:pStyle w:val="3"/>
        <w:spacing w:before="9"/>
        <w:ind w:left="0"/>
        <w:rPr>
          <w:b/>
          <w:sz w:val="18"/>
        </w:rPr>
      </w:pPr>
    </w:p>
    <w:p w14:paraId="40C2BABF">
      <w:pPr>
        <w:pStyle w:val="3"/>
        <w:spacing w:line="364" w:lineRule="auto"/>
        <w:ind w:right="230" w:firstLine="480"/>
        <w:jc w:val="both"/>
      </w:pPr>
      <w:r>
        <w:t>监理人应向委托人提交的监理与相关服务报告的种类、时间和份数,由委托人的项目工作小组与监理人的项目监理机构在监理服务过程中协商确定并按委托人项目工作小组的意见执行。</w:t>
      </w:r>
    </w:p>
    <w:p w14:paraId="295B6A0C">
      <w:pPr>
        <w:pStyle w:val="43"/>
        <w:numPr>
          <w:ilvl w:val="1"/>
          <w:numId w:val="57"/>
        </w:numPr>
        <w:tabs>
          <w:tab w:val="left" w:pos="1131"/>
        </w:tabs>
        <w:spacing w:before="158" w:line="364" w:lineRule="auto"/>
        <w:ind w:left="223" w:right="230" w:firstLine="482"/>
        <w:jc w:val="both"/>
        <w:rPr>
          <w:sz w:val="24"/>
        </w:rPr>
      </w:pPr>
      <w:r>
        <w:rPr>
          <w:sz w:val="24"/>
        </w:rPr>
        <w:t>监理人应对其派驻的项目监理机构在监理业务范围内的工作全面负责，并提供一切必要的支持。</w:t>
      </w:r>
    </w:p>
    <w:p w14:paraId="1F030F06">
      <w:pPr>
        <w:pStyle w:val="43"/>
        <w:numPr>
          <w:ilvl w:val="1"/>
          <w:numId w:val="57"/>
        </w:numPr>
        <w:tabs>
          <w:tab w:val="left" w:pos="1131"/>
        </w:tabs>
        <w:spacing w:before="158" w:line="364" w:lineRule="auto"/>
        <w:ind w:left="223" w:right="230" w:firstLine="482"/>
        <w:jc w:val="both"/>
        <w:rPr>
          <w:sz w:val="24"/>
        </w:rPr>
      </w:pPr>
      <w:r>
        <w:rPr>
          <w:sz w:val="24"/>
        </w:rPr>
        <w:t>监理人在本合同履行期内必须接受委托人有关项目管理机构职权规定的约束，监理人应对给本项目</w:t>
      </w:r>
      <w:r>
        <w:rPr>
          <w:rFonts w:hint="eastAsia"/>
          <w:sz w:val="24"/>
          <w:lang w:val="en-US" w:eastAsia="zh-CN"/>
        </w:rPr>
        <w:t>提供</w:t>
      </w:r>
      <w:r>
        <w:rPr>
          <w:sz w:val="24"/>
        </w:rPr>
        <w:t>服务的人员经常进行检查、指导、管理及后方支持，对他们完成的服务承担责任。</w:t>
      </w:r>
    </w:p>
    <w:p w14:paraId="3402C7FD">
      <w:pPr>
        <w:pStyle w:val="43"/>
        <w:numPr>
          <w:ilvl w:val="1"/>
          <w:numId w:val="57"/>
        </w:numPr>
        <w:tabs>
          <w:tab w:val="left" w:pos="1294"/>
        </w:tabs>
        <w:spacing w:line="362" w:lineRule="auto"/>
        <w:ind w:left="223" w:right="233" w:firstLine="482"/>
        <w:jc w:val="both"/>
        <w:rPr>
          <w:sz w:val="24"/>
        </w:rPr>
      </w:pPr>
      <w:r>
        <w:rPr>
          <w:sz w:val="24"/>
        </w:rPr>
        <w:t>监理工程师在本合同工程中，对工程质量、投资与进度进行控制，办理合同约定的各项手续。监理工程师在办理各种手续时，不得扣压和延误。</w:t>
      </w:r>
    </w:p>
    <w:p w14:paraId="555AAD26">
      <w:pPr>
        <w:pStyle w:val="43"/>
        <w:numPr>
          <w:ilvl w:val="1"/>
          <w:numId w:val="57"/>
        </w:numPr>
        <w:tabs>
          <w:tab w:val="left" w:pos="1294"/>
        </w:tabs>
        <w:spacing w:before="4" w:line="364" w:lineRule="auto"/>
        <w:ind w:left="223" w:right="230" w:firstLine="482"/>
        <w:jc w:val="both"/>
        <w:rPr>
          <w:sz w:val="24"/>
        </w:rPr>
      </w:pPr>
      <w:r>
        <w:rPr>
          <w:sz w:val="24"/>
        </w:rPr>
        <w:t>在任何情况下（包括合同另有约定的情况），凡涉及工程变更、工程量增减、议价、索赔、处理事故、改变工期、改变技术标准、改变重大施工方案及一切有关费用的问题，均需与委托人共同商定，报委托人批准。</w:t>
      </w:r>
    </w:p>
    <w:p w14:paraId="2BC350EB">
      <w:pPr>
        <w:pStyle w:val="43"/>
        <w:numPr>
          <w:ilvl w:val="1"/>
          <w:numId w:val="57"/>
        </w:numPr>
        <w:tabs>
          <w:tab w:val="left" w:pos="1294"/>
        </w:tabs>
        <w:spacing w:line="364" w:lineRule="auto"/>
        <w:ind w:left="223" w:right="230" w:firstLine="482"/>
        <w:jc w:val="both"/>
        <w:rPr>
          <w:sz w:val="24"/>
        </w:rPr>
      </w:pPr>
      <w:r>
        <w:rPr>
          <w:sz w:val="24"/>
        </w:rPr>
        <w:t>本合同工程质量实行承包人自检、监理人、委托人和政府监督的多级管理体制。对工程质量出现问题返工而造成的一切经济和工期损失，由承包人承担，并按合同约定承担相应的违约责任。监理人根据本合同约定承担相应的责任。监理人对某一分部或分项工程的认可不影响政府监督机构或委托人在事后的否定。</w:t>
      </w:r>
    </w:p>
    <w:p w14:paraId="38040DE4">
      <w:pPr>
        <w:pStyle w:val="43"/>
        <w:numPr>
          <w:ilvl w:val="1"/>
          <w:numId w:val="57"/>
        </w:numPr>
        <w:tabs>
          <w:tab w:val="left" w:pos="1294"/>
        </w:tabs>
        <w:spacing w:line="364" w:lineRule="auto"/>
        <w:ind w:left="223" w:right="115" w:firstLine="482"/>
        <w:rPr>
          <w:sz w:val="24"/>
        </w:rPr>
      </w:pPr>
      <w:r>
        <w:rPr>
          <w:sz w:val="24"/>
        </w:rPr>
        <w:t>监理人应尽一切努力，高效又经济地按照合同约定及行业通常接受的技术和惯例履行服务，遵守正确的管理和工程惯例，使用适当的先进技术和安全有效的设备、仪器、材料和方法，就与本合同约定服务有关的事宜，监理人始终作为委托人的忠实顾问，认真、充分履行其监理职责。在与承包人的交往中维护委托人的合法利益，力争使其服务达到委托人满意。</w:t>
      </w:r>
    </w:p>
    <w:p w14:paraId="52B54E64">
      <w:pPr>
        <w:pStyle w:val="43"/>
        <w:numPr>
          <w:ilvl w:val="1"/>
          <w:numId w:val="57"/>
        </w:numPr>
        <w:tabs>
          <w:tab w:val="left" w:pos="1294"/>
        </w:tabs>
        <w:spacing w:line="364" w:lineRule="auto"/>
        <w:ind w:left="223" w:right="233" w:firstLine="482"/>
        <w:rPr>
          <w:sz w:val="24"/>
        </w:rPr>
      </w:pPr>
      <w:r>
        <w:rPr>
          <w:sz w:val="24"/>
        </w:rPr>
        <w:t>监理人必须不折不扣地履行其工作职责，不得推</w:t>
      </w:r>
      <w:r>
        <w:rPr>
          <w:rFonts w:hint="eastAsia"/>
          <w:sz w:val="24"/>
          <w:lang w:val="en-US" w:eastAsia="zh-CN"/>
        </w:rPr>
        <w:t>脱</w:t>
      </w:r>
      <w:r>
        <w:rPr>
          <w:sz w:val="24"/>
        </w:rPr>
        <w:t>或耽误，不能有不履行或不完全履行职务的行为，否则，必须承担相应的违约责任。</w:t>
      </w:r>
    </w:p>
    <w:p w14:paraId="02498947">
      <w:pPr>
        <w:pStyle w:val="43"/>
        <w:numPr>
          <w:ilvl w:val="1"/>
          <w:numId w:val="57"/>
        </w:numPr>
        <w:tabs>
          <w:tab w:val="left" w:pos="1268"/>
        </w:tabs>
        <w:spacing w:line="364" w:lineRule="auto"/>
        <w:ind w:left="223" w:right="230" w:firstLine="482"/>
        <w:rPr>
          <w:sz w:val="24"/>
        </w:rPr>
      </w:pPr>
      <w:r>
        <w:rPr>
          <w:sz w:val="24"/>
        </w:rPr>
        <w:t>对于委托人及承包人书面提交并要求作出决定的事宜，监理人应在 3 日内作出书面答复，对影响施工现场进度的事项应在 24 小时内作出具有明确处理意见的书面答复。</w:t>
      </w:r>
    </w:p>
    <w:p w14:paraId="4E0FDA01">
      <w:pPr>
        <w:pStyle w:val="43"/>
        <w:numPr>
          <w:ilvl w:val="1"/>
          <w:numId w:val="57"/>
        </w:numPr>
        <w:tabs>
          <w:tab w:val="left" w:pos="1294"/>
        </w:tabs>
        <w:spacing w:before="158" w:line="364" w:lineRule="auto"/>
        <w:ind w:left="223" w:right="230" w:firstLine="482"/>
        <w:jc w:val="both"/>
        <w:rPr>
          <w:sz w:val="24"/>
        </w:rPr>
      </w:pPr>
      <w:r>
        <w:rPr>
          <w:sz w:val="24"/>
        </w:rPr>
        <w:t>监理人应在监理服务期内，办理派驻到项目所在地人员人身和自备财产的有关保险，保险时间应随服务时间的延长而顺延，并在出险后自行办理索赔。如果监理人不办理上述保险，则应对有关风险及后果自负其责。同时，监理人应尽一切合理的努力，按委托人可接受的条件对监理人的责任、第三方的责任以及委托人为监理服务提供的财产等进行保险。上述有关费用由监理人承担。</w:t>
      </w:r>
    </w:p>
    <w:p w14:paraId="6DFF29D2">
      <w:pPr>
        <w:pStyle w:val="3"/>
        <w:spacing w:line="306" w:lineRule="exact"/>
        <w:ind w:left="703"/>
      </w:pPr>
      <w:r>
        <w:t>监理人不按上述约定购买保险所产生的后果，由监理人自行承担。</w:t>
      </w:r>
    </w:p>
    <w:p w14:paraId="5B356887">
      <w:pPr>
        <w:pStyle w:val="13"/>
        <w:numPr>
          <w:ilvl w:val="0"/>
          <w:numId w:val="16"/>
        </w:numPr>
        <w:tabs>
          <w:tab w:val="left" w:pos="1209"/>
        </w:tabs>
        <w:ind w:hanging="425"/>
        <w:rPr>
          <w:rFonts w:hint="eastAsia" w:ascii="宋体" w:hAnsi="宋体" w:eastAsia="宋体" w:cs="宋体"/>
          <w:sz w:val="28"/>
          <w:szCs w:val="28"/>
        </w:rPr>
      </w:pPr>
      <w:r>
        <w:rPr>
          <w:rFonts w:hint="eastAsia" w:ascii="宋体" w:hAnsi="宋体" w:eastAsia="宋体" w:cs="宋体"/>
          <w:sz w:val="24"/>
          <w:szCs w:val="24"/>
        </w:rPr>
        <w:t>委托人的义务</w:t>
      </w:r>
    </w:p>
    <w:p w14:paraId="6D71C9DF">
      <w:pPr>
        <w:pStyle w:val="14"/>
        <w:numPr>
          <w:ilvl w:val="1"/>
          <w:numId w:val="58"/>
        </w:numPr>
        <w:tabs>
          <w:tab w:val="left" w:pos="1131"/>
        </w:tabs>
        <w:spacing w:before="188"/>
        <w:ind w:hanging="426"/>
        <w:jc w:val="both"/>
      </w:pPr>
      <w:r>
        <w:t>提供资料</w:t>
      </w:r>
    </w:p>
    <w:p w14:paraId="551CEEFF">
      <w:pPr>
        <w:pStyle w:val="3"/>
        <w:spacing w:before="158"/>
        <w:ind w:left="703"/>
      </w:pPr>
      <w:r>
        <w:t>委托人向监理人免费提供下列文件、资料：</w:t>
      </w:r>
    </w:p>
    <w:p w14:paraId="30D7935B">
      <w:pPr>
        <w:pStyle w:val="43"/>
        <w:numPr>
          <w:ilvl w:val="0"/>
          <w:numId w:val="59"/>
        </w:numPr>
        <w:tabs>
          <w:tab w:val="left" w:pos="1185"/>
        </w:tabs>
        <w:spacing w:before="161"/>
        <w:ind w:hanging="602"/>
        <w:rPr>
          <w:sz w:val="24"/>
        </w:rPr>
      </w:pPr>
      <w:r>
        <w:rPr>
          <w:sz w:val="24"/>
        </w:rPr>
        <w:t>委托人与承包人签订的施工合同文本 1 份；</w:t>
      </w:r>
    </w:p>
    <w:p w14:paraId="0A5FC8F0">
      <w:pPr>
        <w:pStyle w:val="43"/>
        <w:numPr>
          <w:ilvl w:val="0"/>
          <w:numId w:val="59"/>
        </w:numPr>
        <w:tabs>
          <w:tab w:val="left" w:pos="1185"/>
        </w:tabs>
        <w:spacing w:before="160"/>
        <w:ind w:hanging="602"/>
        <w:rPr>
          <w:sz w:val="24"/>
        </w:rPr>
      </w:pPr>
      <w:r>
        <w:rPr>
          <w:sz w:val="24"/>
        </w:rPr>
        <w:t>合同图纸和相关的标准图纸及说明 3 套；</w:t>
      </w:r>
    </w:p>
    <w:p w14:paraId="01049E2F">
      <w:pPr>
        <w:pStyle w:val="43"/>
        <w:numPr>
          <w:ilvl w:val="0"/>
          <w:numId w:val="59"/>
        </w:numPr>
        <w:tabs>
          <w:tab w:val="left" w:pos="1185"/>
        </w:tabs>
        <w:spacing w:before="158"/>
        <w:ind w:hanging="602"/>
        <w:rPr>
          <w:sz w:val="24"/>
        </w:rPr>
      </w:pPr>
      <w:r>
        <w:rPr>
          <w:sz w:val="24"/>
        </w:rPr>
        <w:t>施工图纸及说明 3 套；</w:t>
      </w:r>
    </w:p>
    <w:p w14:paraId="73E0691F">
      <w:pPr>
        <w:pStyle w:val="43"/>
        <w:numPr>
          <w:ilvl w:val="0"/>
          <w:numId w:val="59"/>
        </w:numPr>
        <w:tabs>
          <w:tab w:val="left" w:pos="1185"/>
        </w:tabs>
        <w:spacing w:before="161"/>
        <w:ind w:hanging="602"/>
        <w:rPr>
          <w:sz w:val="24"/>
        </w:rPr>
      </w:pPr>
      <w:r>
        <w:rPr>
          <w:sz w:val="24"/>
        </w:rPr>
        <w:t>监理人完成本合同监理工作所必</w:t>
      </w:r>
      <w:r>
        <w:rPr>
          <w:rFonts w:hint="eastAsia"/>
          <w:sz w:val="24"/>
          <w:lang w:val="en-US" w:eastAsia="zh-CN"/>
        </w:rPr>
        <w:t>需</w:t>
      </w:r>
      <w:r>
        <w:rPr>
          <w:sz w:val="24"/>
        </w:rPr>
        <w:t>的其他文件和资料。</w:t>
      </w:r>
    </w:p>
    <w:p w14:paraId="59F1AB15">
      <w:pPr>
        <w:pStyle w:val="14"/>
        <w:numPr>
          <w:ilvl w:val="1"/>
          <w:numId w:val="58"/>
        </w:numPr>
        <w:tabs>
          <w:tab w:val="left" w:pos="1131"/>
        </w:tabs>
        <w:spacing w:before="158"/>
        <w:ind w:hanging="426"/>
      </w:pPr>
      <w:r>
        <w:t>提供工作条件</w:t>
      </w:r>
    </w:p>
    <w:p w14:paraId="4A8BBB2A">
      <w:pPr>
        <w:pStyle w:val="43"/>
        <w:numPr>
          <w:ilvl w:val="2"/>
          <w:numId w:val="58"/>
        </w:numPr>
        <w:tabs>
          <w:tab w:val="left" w:pos="1364"/>
        </w:tabs>
        <w:spacing w:before="160" w:line="364" w:lineRule="auto"/>
        <w:ind w:right="110" w:firstLine="480"/>
        <w:rPr>
          <w:sz w:val="24"/>
        </w:rPr>
      </w:pPr>
      <w:r>
        <w:rPr>
          <w:sz w:val="24"/>
        </w:rPr>
        <w:t>在监理服务期间，委托人仅向监理人提供项目监理机构办公用房（不包括房内的设施）及接通水电，其他满足本合同约定监理工作需要的人员、办公、交通、通讯、生活等设施全部由监理人自行解决。监理人应安排专人负责监理人现场办公用房的保洁工作。上述费用已包含在监理酬金中。</w:t>
      </w:r>
    </w:p>
    <w:p w14:paraId="20050821">
      <w:pPr>
        <w:pStyle w:val="3"/>
        <w:spacing w:line="303" w:lineRule="exact"/>
        <w:ind w:left="703"/>
      </w:pPr>
      <w:r>
        <w:t>对监理人自备的设施，监理人不得向委托人索取任何经济补偿。</w:t>
      </w:r>
    </w:p>
    <w:p w14:paraId="0B0AE225">
      <w:pPr>
        <w:pStyle w:val="3"/>
        <w:spacing w:before="161"/>
        <w:ind w:left="703"/>
      </w:pPr>
      <w:r>
        <w:t>项目监理机构应根据工程项目类别、规模、技术复杂程度、工程项目所在地的环境条</w:t>
      </w:r>
    </w:p>
    <w:p w14:paraId="51361026">
      <w:pPr>
        <w:pStyle w:val="3"/>
        <w:spacing w:before="54" w:line="364" w:lineRule="auto"/>
        <w:ind w:left="703" w:right="2261" w:hanging="480"/>
      </w:pPr>
      <w:r>
        <w:t>件，按本合同的约定，配备满足监理工作需要的常规检测设备和工具。项目监理机构应配备足够实施监理工作的计算机辅助管理。</w:t>
      </w:r>
    </w:p>
    <w:p w14:paraId="26D7E3A9">
      <w:pPr>
        <w:pStyle w:val="43"/>
        <w:numPr>
          <w:ilvl w:val="2"/>
          <w:numId w:val="58"/>
        </w:numPr>
        <w:tabs>
          <w:tab w:val="left" w:pos="1364"/>
        </w:tabs>
        <w:spacing w:before="1" w:line="362" w:lineRule="auto"/>
        <w:ind w:right="233" w:firstLine="480"/>
        <w:rPr>
          <w:sz w:val="24"/>
        </w:rPr>
      </w:pPr>
      <w:r>
        <w:rPr>
          <w:sz w:val="24"/>
        </w:rPr>
        <w:t>委托人根据需要有权指令监理人协调部分外部关系，委托人对此无需支付任何酬金。</w:t>
      </w:r>
    </w:p>
    <w:p w14:paraId="6E14667D">
      <w:pPr>
        <w:pStyle w:val="14"/>
        <w:numPr>
          <w:ilvl w:val="1"/>
          <w:numId w:val="58"/>
        </w:numPr>
        <w:tabs>
          <w:tab w:val="left" w:pos="1131"/>
        </w:tabs>
        <w:spacing w:before="5"/>
        <w:ind w:hanging="426"/>
      </w:pPr>
      <w:r>
        <w:t>委托人代表</w:t>
      </w:r>
    </w:p>
    <w:p w14:paraId="1D30E26E">
      <w:pPr>
        <w:pStyle w:val="3"/>
        <w:spacing w:before="158"/>
        <w:ind w:left="703"/>
      </w:pPr>
      <w:r>
        <w:t>委托人代表由委托人项目工作小组委派。</w:t>
      </w:r>
    </w:p>
    <w:p w14:paraId="2A29F4B0">
      <w:pPr>
        <w:pStyle w:val="14"/>
        <w:spacing w:before="161"/>
        <w:ind w:left="705" w:firstLine="0"/>
      </w:pPr>
      <w:r>
        <w:t>3.6 答复</w:t>
      </w:r>
    </w:p>
    <w:p w14:paraId="417E4D5E">
      <w:pPr>
        <w:pStyle w:val="3"/>
        <w:spacing w:before="158"/>
        <w:ind w:left="703"/>
      </w:pPr>
      <w:r>
        <w:t>委托人应在 3 日内对监理人书面提交并要求作出决定的事宜作出书面答复。</w:t>
      </w:r>
    </w:p>
    <w:p w14:paraId="2442B5D5">
      <w:pPr>
        <w:pStyle w:val="13"/>
        <w:numPr>
          <w:ilvl w:val="0"/>
          <w:numId w:val="16"/>
        </w:numPr>
        <w:tabs>
          <w:tab w:val="left" w:pos="1068"/>
        </w:tabs>
        <w:ind w:left="1068" w:hanging="284"/>
        <w:rPr>
          <w:rFonts w:hint="eastAsia" w:ascii="宋体" w:hAnsi="宋体" w:eastAsia="宋体" w:cs="宋体"/>
          <w:sz w:val="28"/>
          <w:szCs w:val="28"/>
        </w:rPr>
      </w:pPr>
      <w:r>
        <w:rPr>
          <w:rFonts w:hint="eastAsia" w:ascii="宋体" w:hAnsi="宋体" w:eastAsia="宋体" w:cs="宋体"/>
          <w:sz w:val="28"/>
          <w:szCs w:val="28"/>
        </w:rPr>
        <w:t>违约责任</w:t>
      </w:r>
    </w:p>
    <w:p w14:paraId="0BABEF27">
      <w:pPr>
        <w:pStyle w:val="14"/>
        <w:numPr>
          <w:ilvl w:val="1"/>
          <w:numId w:val="16"/>
        </w:numPr>
        <w:tabs>
          <w:tab w:val="left" w:pos="1131"/>
        </w:tabs>
        <w:spacing w:before="188"/>
        <w:ind w:hanging="426"/>
      </w:pPr>
      <w:r>
        <w:t>监理人的违约责任</w:t>
      </w:r>
    </w:p>
    <w:p w14:paraId="5EA3315E">
      <w:pPr>
        <w:pStyle w:val="43"/>
        <w:numPr>
          <w:ilvl w:val="2"/>
          <w:numId w:val="16"/>
        </w:numPr>
        <w:spacing w:before="161"/>
        <w:ind w:left="722" w:leftChars="0" w:hanging="722" w:hangingChars="301"/>
        <w:rPr>
          <w:sz w:val="24"/>
        </w:rPr>
      </w:pPr>
      <w:r>
        <w:rPr>
          <w:sz w:val="24"/>
        </w:rPr>
        <w:t>监理人违反本合同的约定，应当按约定向委托人承担相应的违约责任。</w:t>
      </w:r>
    </w:p>
    <w:p w14:paraId="29CC8216">
      <w:pPr>
        <w:pStyle w:val="43"/>
        <w:numPr>
          <w:ilvl w:val="3"/>
          <w:numId w:val="16"/>
        </w:numPr>
        <w:spacing w:before="158"/>
        <w:ind w:left="962" w:leftChars="0" w:hanging="962" w:hangingChars="401"/>
        <w:jc w:val="both"/>
        <w:rPr>
          <w:sz w:val="24"/>
        </w:rPr>
      </w:pPr>
      <w:r>
        <w:rPr>
          <w:sz w:val="24"/>
        </w:rPr>
        <w:t>监理人承担违约责任的方式（包括但不限于）</w:t>
      </w:r>
    </w:p>
    <w:p w14:paraId="111025E9">
      <w:pPr>
        <w:pStyle w:val="43"/>
        <w:numPr>
          <w:ilvl w:val="0"/>
          <w:numId w:val="60"/>
        </w:numPr>
        <w:tabs>
          <w:tab w:val="left" w:pos="1191"/>
        </w:tabs>
        <w:spacing w:before="160" w:line="364" w:lineRule="auto"/>
        <w:ind w:right="230" w:firstLine="360"/>
        <w:jc w:val="both"/>
        <w:rPr>
          <w:sz w:val="24"/>
        </w:rPr>
      </w:pPr>
      <w:r>
        <w:rPr>
          <w:sz w:val="24"/>
        </w:rPr>
        <w:t>书面警告。监理人未履行或未按时履行或未按质履行义务或不执行委托人（含主管人员）的指令时，委托人有权向监理人发出书面警告。监理人必须在书面警告限定的时间内履行义务，否则应承担 1 次一般违约责任。</w:t>
      </w:r>
    </w:p>
    <w:p w14:paraId="78800C04">
      <w:pPr>
        <w:pStyle w:val="43"/>
        <w:numPr>
          <w:ilvl w:val="0"/>
          <w:numId w:val="60"/>
        </w:numPr>
        <w:tabs>
          <w:tab w:val="left" w:pos="1191"/>
        </w:tabs>
        <w:spacing w:line="364" w:lineRule="auto"/>
        <w:ind w:right="233" w:firstLine="360"/>
        <w:rPr>
          <w:sz w:val="24"/>
          <w:szCs w:val="24"/>
        </w:rPr>
      </w:pPr>
      <w:r>
        <w:rPr>
          <w:sz w:val="24"/>
        </w:rPr>
        <w:t>一般违约责任。监理人按本合同约定应当承担一般违约责任时，第一次必须向委托人交纳违约金 2000 元/次；第二次承担同一违约性质的一般违约责任时，监理人应向委</w:t>
      </w:r>
      <w:r>
        <w:rPr>
          <w:sz w:val="24"/>
          <w:szCs w:val="24"/>
        </w:rPr>
        <w:t>托人交纳的违约金为第一次交纳金额的 2 倍；第三次承担同一违约性质的一般违约责任时，监理人应向委托人交纳的违约金为第一次交纳金额的 3 倍；以此类推，但每次交纳的金额最高不超过第一次交纳金额的 5 倍。本合同另有约定的，从其约定。</w:t>
      </w:r>
    </w:p>
    <w:p w14:paraId="2354EEBA">
      <w:pPr>
        <w:pStyle w:val="43"/>
        <w:numPr>
          <w:ilvl w:val="0"/>
          <w:numId w:val="60"/>
        </w:numPr>
        <w:spacing w:before="158" w:line="364" w:lineRule="auto"/>
        <w:ind w:left="0" w:leftChars="0" w:right="235" w:firstLine="480" w:firstLineChars="200"/>
        <w:jc w:val="both"/>
        <w:rPr>
          <w:sz w:val="24"/>
        </w:rPr>
      </w:pPr>
      <w:r>
        <w:rPr>
          <w:sz w:val="24"/>
        </w:rPr>
        <w:t>严重违约责任。监理人按本合同约定应当承担严重违约责任时，必须向委托人交纳违约金 10000 元/次。</w:t>
      </w:r>
    </w:p>
    <w:p w14:paraId="08E0989E">
      <w:pPr>
        <w:pStyle w:val="43"/>
        <w:numPr>
          <w:ilvl w:val="0"/>
          <w:numId w:val="60"/>
        </w:numPr>
        <w:spacing w:before="158" w:line="364" w:lineRule="auto"/>
        <w:ind w:left="0" w:leftChars="0" w:right="235" w:firstLine="480" w:firstLineChars="200"/>
        <w:jc w:val="both"/>
        <w:rPr>
          <w:sz w:val="24"/>
        </w:rPr>
      </w:pPr>
      <w:r>
        <w:rPr>
          <w:sz w:val="24"/>
        </w:rPr>
        <w:t>部分解除合同。委托人依本合同约定向监理人发出部分解除合同的通知后，本合同部分解除即生效。于此情形下，监理人必须在收到委托人部分解除合同通知之日起 3 日内停止被解除部分的工作，5 日内配合委托人完成现场工作和有关资料的移交，所交接资料必须完整。监理人无特殊原因未在要求期限内完成移交和撤出，或交接资料不完整的，委托人有权处理其留在现场的材料、设备和其他物件，处理费用由监理人承担，且委托人有权视情况全部解除合同。因监理人拒交或延误交接现场工作和有关资料而引致委托人工期延误及其他方面的损失，委托人有权要求监理人赔偿有关损失。委托人在发出部分解除合同的通知后，委托人即可委托新的监理单位承接该部分工程的监理，监理人不得影响或阻碍新的监理单位办理进场手续和相关工作。</w:t>
      </w:r>
    </w:p>
    <w:p w14:paraId="4286025A">
      <w:pPr>
        <w:pStyle w:val="43"/>
        <w:numPr>
          <w:ilvl w:val="0"/>
          <w:numId w:val="60"/>
        </w:numPr>
        <w:spacing w:before="161" w:line="364" w:lineRule="auto"/>
        <w:ind w:left="0" w:leftChars="0" w:right="230" w:firstLine="480" w:firstLineChars="200"/>
        <w:jc w:val="both"/>
        <w:rPr>
          <w:sz w:val="24"/>
        </w:rPr>
      </w:pPr>
      <w:r>
        <w:rPr>
          <w:sz w:val="24"/>
        </w:rPr>
        <w:t>解除合同。委托人依本合同约定向监理人发出解除合同的通知后，本合同即宣告解除。于此情形下，监理人必须在收到委托人解除合同通知之日起 3 日内停止全部工作，5 日内配合委托人完成现场工作和有关资料的移交，并于完成交接工作当日内离场。监理人应保证所移交的资料齐全完整，监理人无特殊原因未在要求期限内完成移交和离场或所移交的资料不完整的，委托人有权处理其留在现场的材料、设备和其他物件，处理费用由监理人承担，如果引致委托人工期延误和其他方面的损失，委托人将要求监理人赔偿有关损失。委托人在发出解除合同的通知后，委托人即可委托新的监理单位承接本合同工程的监理，监理人不得影响或阻碍新的监理单位办理进场手续和相关工作。</w:t>
      </w:r>
    </w:p>
    <w:p w14:paraId="4A72BF84">
      <w:pPr>
        <w:pStyle w:val="43"/>
        <w:numPr>
          <w:ilvl w:val="0"/>
          <w:numId w:val="60"/>
        </w:numPr>
        <w:spacing w:line="364" w:lineRule="auto"/>
        <w:ind w:left="0" w:leftChars="0" w:right="230" w:firstLine="480" w:firstLineChars="200"/>
        <w:jc w:val="both"/>
        <w:rPr>
          <w:sz w:val="24"/>
        </w:rPr>
      </w:pPr>
      <w:r>
        <w:rPr>
          <w:sz w:val="24"/>
        </w:rPr>
        <w:t>赔偿损失。因监理人违约或工作失误给委托人造成损失的，监理人应向委托人赔偿经济损失，赔偿总金额不应超过本合同监理酬金暂定金额；但如果损失是由于监理人故意或严重渎职造成的，监理人应承担全部赔偿责任。</w:t>
      </w:r>
    </w:p>
    <w:p w14:paraId="19EAF706">
      <w:pPr>
        <w:pStyle w:val="43"/>
        <w:numPr>
          <w:ilvl w:val="3"/>
          <w:numId w:val="16"/>
        </w:numPr>
        <w:spacing w:line="364" w:lineRule="auto"/>
        <w:ind w:left="0" w:leftChars="0" w:right="230" w:firstLine="480" w:firstLineChars="200"/>
        <w:jc w:val="both"/>
        <w:rPr>
          <w:sz w:val="24"/>
        </w:rPr>
      </w:pPr>
      <w:r>
        <w:rPr>
          <w:sz w:val="24"/>
        </w:rPr>
        <w:t>监理人累计承担书面警告达 3 次的，则另行追加一般违约责任 1 次；监理人累计承担一般违约责任达 3 次的，则另行追加严重违约责任 1 次；监理人累计承担严重违约责任达 3 次或者工程进度严重滞后的，委托人有权要求监理人的法定代表人驻场办公，代行总监理工程师职责，直至委托人满意其监理工作时方可离场。</w:t>
      </w:r>
    </w:p>
    <w:p w14:paraId="2EA82071">
      <w:pPr>
        <w:pStyle w:val="43"/>
        <w:numPr>
          <w:ilvl w:val="3"/>
          <w:numId w:val="16"/>
        </w:numPr>
        <w:tabs>
          <w:tab w:val="left" w:pos="1480"/>
        </w:tabs>
        <w:spacing w:line="364" w:lineRule="auto"/>
        <w:ind w:left="0" w:leftChars="0" w:right="230" w:firstLine="480" w:firstLineChars="200"/>
        <w:jc w:val="both"/>
        <w:rPr>
          <w:sz w:val="24"/>
        </w:rPr>
      </w:pPr>
      <w:r>
        <w:rPr>
          <w:sz w:val="24"/>
        </w:rPr>
        <w:t>当监理人违约需向委托人支付违约金或赔偿金时，委托人有权从应支付给监理人的监理酬金中直接扣除，扣除款项计入累计监理酬金进度款，结算时不予退还，监理人不得有异议。同时，委托人保留进一步依法追究监理人及其保证人有关责任的权利。</w:t>
      </w:r>
    </w:p>
    <w:p w14:paraId="695A8D0E">
      <w:pPr>
        <w:pStyle w:val="43"/>
        <w:numPr>
          <w:ilvl w:val="3"/>
          <w:numId w:val="16"/>
        </w:numPr>
        <w:spacing w:line="364" w:lineRule="auto"/>
        <w:ind w:left="0" w:leftChars="0" w:right="230" w:firstLine="480" w:firstLineChars="200"/>
        <w:jc w:val="both"/>
        <w:rPr>
          <w:sz w:val="24"/>
        </w:rPr>
      </w:pPr>
      <w:r>
        <w:rPr>
          <w:sz w:val="24"/>
        </w:rPr>
        <w:t>当监理人无正当理由而不履行或没有全面且适当履行其相关承诺及监理义务时，委托人有权书面通知监理人，指明其未能履约的内容和委托人要求其承担违约责任的等级。</w:t>
      </w:r>
    </w:p>
    <w:p w14:paraId="2869C2C2">
      <w:pPr>
        <w:pStyle w:val="43"/>
        <w:numPr>
          <w:ilvl w:val="4"/>
          <w:numId w:val="16"/>
        </w:numPr>
        <w:spacing w:line="305" w:lineRule="exact"/>
        <w:ind w:left="-1" w:leftChars="0" w:firstLine="0" w:firstLineChars="0"/>
        <w:jc w:val="both"/>
        <w:rPr>
          <w:sz w:val="24"/>
        </w:rPr>
      </w:pPr>
      <w:r>
        <w:rPr>
          <w:sz w:val="24"/>
        </w:rPr>
        <w:t>监理组织管理方面的违约责任</w:t>
      </w:r>
    </w:p>
    <w:p w14:paraId="212B4E00">
      <w:pPr>
        <w:pStyle w:val="43"/>
        <w:numPr>
          <w:ilvl w:val="0"/>
          <w:numId w:val="61"/>
        </w:numPr>
        <w:tabs>
          <w:tab w:val="left" w:pos="1191"/>
        </w:tabs>
        <w:spacing w:before="152" w:line="364" w:lineRule="auto"/>
        <w:ind w:right="230" w:firstLine="360"/>
        <w:jc w:val="both"/>
        <w:rPr>
          <w:sz w:val="24"/>
        </w:rPr>
      </w:pPr>
      <w:r>
        <w:rPr>
          <w:sz w:val="24"/>
        </w:rPr>
        <w:t>监理人承诺主动支持委托人的工作，若无正当理由又未提前向委托人报告且未得到委托人同意的，而对委托人的指令和书面通知，公开或变相拒不执行的，属于违约，监理人承担一般违约责任 1 次；监理人因此而再次违约的，每违约一次，监理人承担严重违约责任 1 次；情节特别严重的，委托人有权单方面部分解除合同或解除合同。同时，监理人还须承担由此造成的经济损失。</w:t>
      </w:r>
    </w:p>
    <w:p w14:paraId="55711609">
      <w:pPr>
        <w:pStyle w:val="43"/>
        <w:numPr>
          <w:ilvl w:val="0"/>
          <w:numId w:val="61"/>
        </w:numPr>
        <w:tabs>
          <w:tab w:val="left" w:pos="1191"/>
        </w:tabs>
        <w:spacing w:line="364" w:lineRule="auto"/>
        <w:ind w:right="113" w:firstLine="360"/>
        <w:rPr>
          <w:sz w:val="24"/>
        </w:rPr>
      </w:pPr>
      <w:r>
        <w:rPr>
          <w:sz w:val="24"/>
        </w:rPr>
        <w:t>监理人不遵守委托人依据专用条款总则第六条约定所制订的各项制度、规定的， 由监理人按所违反制度、规定的有关规定承担违约责任。相应制度、规定没有明确规定的， 由委托人参照专用条款第 4.1.1.4.1（1）款的约定处理。</w:t>
      </w:r>
    </w:p>
    <w:p w14:paraId="166EBCF1">
      <w:pPr>
        <w:pStyle w:val="43"/>
        <w:numPr>
          <w:ilvl w:val="0"/>
          <w:numId w:val="61"/>
        </w:numPr>
        <w:tabs>
          <w:tab w:val="left" w:pos="1191"/>
        </w:tabs>
        <w:spacing w:before="54" w:line="364" w:lineRule="auto"/>
        <w:ind w:right="235" w:firstLine="360"/>
        <w:rPr>
          <w:sz w:val="24"/>
        </w:rPr>
      </w:pPr>
      <w:r>
        <w:rPr>
          <w:sz w:val="24"/>
        </w:rPr>
        <w:t>监理人未按承诺建立组织架构、派驻监理人员和投入设备，监理人必须按委托人要求限期整改，并承担相应违约责任，具体约定为：</w:t>
      </w:r>
    </w:p>
    <w:p w14:paraId="57704836">
      <w:pPr>
        <w:pStyle w:val="3"/>
        <w:spacing w:before="1" w:line="364" w:lineRule="auto"/>
        <w:ind w:right="110" w:firstLine="480"/>
      </w:pPr>
      <w:r>
        <w:t>在委托人书面通知监理人进场后 3 日内，监理人在投标文件中承诺的主要监理人员未能足额到位，或到位后又离开，造成该岗位空缺，或未按承诺依时、足额投入有关设备的， 监理人应向委托人书面解释并保证人员、设备限期到位；如果监理人拒不配合，未在委托人提出限期改正的期限内进行整改的，监理人承担严重违约责任 1 次。于此情形下，委托人有权单方面解除合同，并要求监理人承担由此造成的损失。</w:t>
      </w:r>
    </w:p>
    <w:p w14:paraId="635D5CFB">
      <w:pPr>
        <w:pStyle w:val="43"/>
        <w:numPr>
          <w:ilvl w:val="0"/>
          <w:numId w:val="61"/>
        </w:numPr>
        <w:tabs>
          <w:tab w:val="left" w:pos="1191"/>
        </w:tabs>
        <w:spacing w:line="364" w:lineRule="auto"/>
        <w:ind w:right="230" w:firstLine="360"/>
        <w:jc w:val="both"/>
        <w:rPr>
          <w:sz w:val="24"/>
        </w:rPr>
      </w:pPr>
      <w:r>
        <w:rPr>
          <w:sz w:val="24"/>
        </w:rPr>
        <w:t>监理人必须严格按照投标承诺投入监理人员，调换监理人员必须提出书面报告并附上替代人员的所有证明资料，经委托人审核书面同意后才能调换。委托人要求监理人更换监理人员时，监理人在接到委托人通知后三天内安排更换到位，否则，委托人有权延期支付监理酬金，并由委托人直接另行聘请监理人员，聘请人员所需费用按专用条款第 2.3.1</w:t>
      </w:r>
      <w:r>
        <w:rPr>
          <w:rFonts w:hint="eastAsia"/>
          <w:sz w:val="24"/>
          <w:lang w:eastAsia="zh-CN"/>
        </w:rPr>
        <w:t>（</w:t>
      </w:r>
      <w:r>
        <w:rPr>
          <w:rFonts w:hint="eastAsia"/>
          <w:sz w:val="24"/>
          <w:lang w:val="en-US" w:eastAsia="zh-CN"/>
        </w:rPr>
        <w:t>12）</w:t>
      </w:r>
      <w:r>
        <w:rPr>
          <w:sz w:val="24"/>
        </w:rPr>
        <w:t>款的约定执行。同时，监理人按下表的约定承担违约责任；情节严重的，委托人有权单方面解除合同。</w:t>
      </w:r>
    </w:p>
    <w:tbl>
      <w:tblPr>
        <w:tblStyle w:val="29"/>
        <w:tblW w:w="0" w:type="auto"/>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4500"/>
        <w:gridCol w:w="4073"/>
      </w:tblGrid>
      <w:tr w14:paraId="1FC4D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0" w:type="dxa"/>
            <w:noWrap w:val="0"/>
            <w:vAlign w:val="center"/>
          </w:tcPr>
          <w:p w14:paraId="3C0D036C">
            <w:pPr>
              <w:pStyle w:val="42"/>
              <w:spacing w:line="302" w:lineRule="exact"/>
              <w:ind w:left="99" w:right="90"/>
              <w:jc w:val="center"/>
              <w:rPr>
                <w:sz w:val="24"/>
              </w:rPr>
            </w:pPr>
            <w:r>
              <w:rPr>
                <w:sz w:val="24"/>
              </w:rPr>
              <w:t>序号</w:t>
            </w:r>
          </w:p>
        </w:tc>
        <w:tc>
          <w:tcPr>
            <w:tcW w:w="4500" w:type="dxa"/>
            <w:noWrap w:val="0"/>
            <w:vAlign w:val="center"/>
          </w:tcPr>
          <w:p w14:paraId="2B7A9844">
            <w:pPr>
              <w:pStyle w:val="42"/>
              <w:spacing w:line="302" w:lineRule="exact"/>
              <w:ind w:left="1748" w:right="1741"/>
              <w:jc w:val="center"/>
              <w:rPr>
                <w:sz w:val="24"/>
              </w:rPr>
            </w:pPr>
            <w:r>
              <w:rPr>
                <w:sz w:val="24"/>
              </w:rPr>
              <w:t>违约项目</w:t>
            </w:r>
          </w:p>
        </w:tc>
        <w:tc>
          <w:tcPr>
            <w:tcW w:w="4073" w:type="dxa"/>
            <w:noWrap w:val="0"/>
            <w:vAlign w:val="center"/>
          </w:tcPr>
          <w:p w14:paraId="01A97174">
            <w:pPr>
              <w:pStyle w:val="42"/>
              <w:spacing w:before="35"/>
              <w:ind w:left="875" w:right="868"/>
              <w:jc w:val="center"/>
              <w:rPr>
                <w:sz w:val="24"/>
              </w:rPr>
            </w:pPr>
            <w:r>
              <w:rPr>
                <w:sz w:val="24"/>
              </w:rPr>
              <w:t>违约金（元/人·次）</w:t>
            </w:r>
          </w:p>
        </w:tc>
      </w:tr>
      <w:tr w14:paraId="3226B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20" w:type="dxa"/>
            <w:noWrap w:val="0"/>
            <w:vAlign w:val="center"/>
          </w:tcPr>
          <w:p w14:paraId="2307D337">
            <w:pPr>
              <w:pStyle w:val="42"/>
              <w:spacing w:before="9"/>
              <w:jc w:val="center"/>
              <w:rPr>
                <w:sz w:val="17"/>
              </w:rPr>
            </w:pPr>
          </w:p>
          <w:p w14:paraId="52309AEE">
            <w:pPr>
              <w:pStyle w:val="42"/>
              <w:spacing w:before="1"/>
              <w:ind w:left="9"/>
              <w:jc w:val="center"/>
              <w:rPr>
                <w:sz w:val="24"/>
              </w:rPr>
            </w:pPr>
            <w:r>
              <w:rPr>
                <w:sz w:val="24"/>
              </w:rPr>
              <w:t>1</w:t>
            </w:r>
          </w:p>
        </w:tc>
        <w:tc>
          <w:tcPr>
            <w:tcW w:w="4500" w:type="dxa"/>
            <w:noWrap w:val="0"/>
            <w:vAlign w:val="center"/>
          </w:tcPr>
          <w:p w14:paraId="4E7E6A95">
            <w:pPr>
              <w:pStyle w:val="42"/>
              <w:spacing w:line="300" w:lineRule="exact"/>
              <w:ind w:left="107"/>
              <w:jc w:val="center"/>
              <w:rPr>
                <w:sz w:val="24"/>
              </w:rPr>
            </w:pPr>
            <w:r>
              <w:rPr>
                <w:sz w:val="24"/>
              </w:rPr>
              <w:t>监理人自行调换或未按照委托人要求及</w:t>
            </w:r>
          </w:p>
          <w:p w14:paraId="3818C179">
            <w:pPr>
              <w:pStyle w:val="42"/>
              <w:spacing w:before="160"/>
              <w:ind w:left="107"/>
              <w:jc w:val="center"/>
              <w:rPr>
                <w:sz w:val="24"/>
              </w:rPr>
            </w:pPr>
            <w:r>
              <w:rPr>
                <w:sz w:val="24"/>
              </w:rPr>
              <w:t>时更换总监理工程师</w:t>
            </w:r>
          </w:p>
        </w:tc>
        <w:tc>
          <w:tcPr>
            <w:tcW w:w="4073" w:type="dxa"/>
            <w:noWrap w:val="0"/>
            <w:vAlign w:val="center"/>
          </w:tcPr>
          <w:p w14:paraId="28F9D820">
            <w:pPr>
              <w:pStyle w:val="42"/>
              <w:spacing w:before="12"/>
              <w:jc w:val="center"/>
              <w:rPr>
                <w:sz w:val="20"/>
              </w:rPr>
            </w:pPr>
          </w:p>
          <w:p w14:paraId="67265C04">
            <w:pPr>
              <w:pStyle w:val="42"/>
              <w:ind w:left="875" w:right="866"/>
              <w:jc w:val="center"/>
              <w:rPr>
                <w:sz w:val="24"/>
              </w:rPr>
            </w:pPr>
            <w:r>
              <w:rPr>
                <w:rFonts w:hint="eastAsia"/>
                <w:sz w:val="24"/>
              </w:rPr>
              <w:t>5</w:t>
            </w:r>
            <w:r>
              <w:rPr>
                <w:sz w:val="24"/>
              </w:rPr>
              <w:t xml:space="preserve"> 万元</w:t>
            </w:r>
          </w:p>
        </w:tc>
      </w:tr>
      <w:tr w14:paraId="06BFB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20" w:type="dxa"/>
            <w:noWrap w:val="0"/>
            <w:vAlign w:val="center"/>
          </w:tcPr>
          <w:p w14:paraId="5AE1661E">
            <w:pPr>
              <w:pStyle w:val="42"/>
              <w:spacing w:before="9"/>
              <w:jc w:val="center"/>
              <w:rPr>
                <w:sz w:val="17"/>
              </w:rPr>
            </w:pPr>
          </w:p>
          <w:p w14:paraId="05F915E8">
            <w:pPr>
              <w:pStyle w:val="42"/>
              <w:spacing w:before="1"/>
              <w:ind w:left="9"/>
              <w:jc w:val="center"/>
              <w:rPr>
                <w:sz w:val="24"/>
              </w:rPr>
            </w:pPr>
            <w:r>
              <w:rPr>
                <w:sz w:val="24"/>
              </w:rPr>
              <w:t>2</w:t>
            </w:r>
          </w:p>
        </w:tc>
        <w:tc>
          <w:tcPr>
            <w:tcW w:w="4500" w:type="dxa"/>
            <w:noWrap w:val="0"/>
            <w:vAlign w:val="center"/>
          </w:tcPr>
          <w:p w14:paraId="44E16881">
            <w:pPr>
              <w:pStyle w:val="42"/>
              <w:spacing w:line="300" w:lineRule="exact"/>
              <w:ind w:left="107"/>
              <w:jc w:val="center"/>
              <w:rPr>
                <w:sz w:val="24"/>
              </w:rPr>
            </w:pPr>
            <w:r>
              <w:rPr>
                <w:sz w:val="24"/>
              </w:rPr>
              <w:t>监理人自行调换或未按照委托人要求及</w:t>
            </w:r>
          </w:p>
          <w:p w14:paraId="6CA83ECC">
            <w:pPr>
              <w:pStyle w:val="42"/>
              <w:spacing w:before="160"/>
              <w:ind w:left="107"/>
              <w:jc w:val="center"/>
              <w:rPr>
                <w:sz w:val="24"/>
              </w:rPr>
            </w:pPr>
            <w:r>
              <w:rPr>
                <w:sz w:val="24"/>
              </w:rPr>
              <w:t>时更换总监代表</w:t>
            </w:r>
          </w:p>
        </w:tc>
        <w:tc>
          <w:tcPr>
            <w:tcW w:w="4073" w:type="dxa"/>
            <w:noWrap w:val="0"/>
            <w:vAlign w:val="center"/>
          </w:tcPr>
          <w:p w14:paraId="1A09A2ED">
            <w:pPr>
              <w:pStyle w:val="42"/>
              <w:spacing w:before="12"/>
              <w:jc w:val="center"/>
              <w:rPr>
                <w:sz w:val="20"/>
              </w:rPr>
            </w:pPr>
          </w:p>
          <w:p w14:paraId="628CA8EC">
            <w:pPr>
              <w:pStyle w:val="42"/>
              <w:ind w:left="875" w:right="866"/>
              <w:jc w:val="center"/>
              <w:rPr>
                <w:sz w:val="24"/>
              </w:rPr>
            </w:pPr>
            <w:r>
              <w:rPr>
                <w:rFonts w:hint="eastAsia"/>
                <w:sz w:val="24"/>
              </w:rPr>
              <w:t>2</w:t>
            </w:r>
            <w:r>
              <w:rPr>
                <w:sz w:val="24"/>
              </w:rPr>
              <w:t xml:space="preserve"> 万元</w:t>
            </w:r>
          </w:p>
        </w:tc>
      </w:tr>
      <w:tr w14:paraId="03D3D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20" w:type="dxa"/>
            <w:noWrap w:val="0"/>
            <w:vAlign w:val="center"/>
          </w:tcPr>
          <w:p w14:paraId="20107549">
            <w:pPr>
              <w:pStyle w:val="42"/>
              <w:spacing w:before="7"/>
              <w:jc w:val="center"/>
              <w:rPr>
                <w:sz w:val="17"/>
              </w:rPr>
            </w:pPr>
          </w:p>
          <w:p w14:paraId="19374F0A">
            <w:pPr>
              <w:pStyle w:val="42"/>
              <w:ind w:left="9"/>
              <w:jc w:val="center"/>
              <w:rPr>
                <w:sz w:val="24"/>
              </w:rPr>
            </w:pPr>
            <w:r>
              <w:rPr>
                <w:sz w:val="24"/>
              </w:rPr>
              <w:t>3</w:t>
            </w:r>
          </w:p>
        </w:tc>
        <w:tc>
          <w:tcPr>
            <w:tcW w:w="4500" w:type="dxa"/>
            <w:noWrap w:val="0"/>
            <w:vAlign w:val="center"/>
          </w:tcPr>
          <w:p w14:paraId="45B4D9EB">
            <w:pPr>
              <w:pStyle w:val="42"/>
              <w:spacing w:line="300" w:lineRule="exact"/>
              <w:ind w:left="107"/>
              <w:jc w:val="center"/>
              <w:rPr>
                <w:sz w:val="24"/>
              </w:rPr>
            </w:pPr>
            <w:r>
              <w:rPr>
                <w:sz w:val="24"/>
              </w:rPr>
              <w:t>未按照委托人要求及时更换专业监理工程师</w:t>
            </w:r>
          </w:p>
        </w:tc>
        <w:tc>
          <w:tcPr>
            <w:tcW w:w="4073" w:type="dxa"/>
            <w:noWrap w:val="0"/>
            <w:vAlign w:val="center"/>
          </w:tcPr>
          <w:p w14:paraId="377A1E58">
            <w:pPr>
              <w:pStyle w:val="42"/>
              <w:spacing w:before="9"/>
              <w:jc w:val="center"/>
              <w:rPr>
                <w:sz w:val="20"/>
              </w:rPr>
            </w:pPr>
          </w:p>
          <w:p w14:paraId="76C68EEF">
            <w:pPr>
              <w:pStyle w:val="42"/>
              <w:spacing w:before="1"/>
              <w:ind w:left="875" w:right="866"/>
              <w:jc w:val="center"/>
              <w:rPr>
                <w:sz w:val="24"/>
              </w:rPr>
            </w:pPr>
            <w:r>
              <w:rPr>
                <w:sz w:val="24"/>
              </w:rPr>
              <w:t>1 万元</w:t>
            </w:r>
          </w:p>
        </w:tc>
      </w:tr>
      <w:tr w14:paraId="120AB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20" w:type="dxa"/>
            <w:noWrap w:val="0"/>
            <w:vAlign w:val="center"/>
          </w:tcPr>
          <w:p w14:paraId="305EB500">
            <w:pPr>
              <w:pStyle w:val="42"/>
              <w:jc w:val="center"/>
              <w:rPr>
                <w:rFonts w:ascii="Times New Roman"/>
                <w:sz w:val="24"/>
                <w:lang w:val="en-US"/>
              </w:rPr>
            </w:pPr>
            <w:r>
              <w:rPr>
                <w:rFonts w:hint="eastAsia" w:ascii="Times New Roman"/>
                <w:sz w:val="24"/>
                <w:lang w:val="en-US"/>
              </w:rPr>
              <w:t>4</w:t>
            </w:r>
          </w:p>
        </w:tc>
        <w:tc>
          <w:tcPr>
            <w:tcW w:w="4500" w:type="dxa"/>
            <w:noWrap w:val="0"/>
            <w:vAlign w:val="center"/>
          </w:tcPr>
          <w:p w14:paraId="274CDD52">
            <w:pPr>
              <w:pStyle w:val="42"/>
              <w:spacing w:line="300" w:lineRule="exact"/>
              <w:ind w:left="107"/>
              <w:jc w:val="center"/>
              <w:rPr>
                <w:sz w:val="24"/>
              </w:rPr>
            </w:pPr>
            <w:r>
              <w:rPr>
                <w:sz w:val="24"/>
              </w:rPr>
              <w:t>未按照委托人要求及时更换造价工程师</w:t>
            </w:r>
          </w:p>
        </w:tc>
        <w:tc>
          <w:tcPr>
            <w:tcW w:w="4073" w:type="dxa"/>
            <w:noWrap w:val="0"/>
            <w:vAlign w:val="center"/>
          </w:tcPr>
          <w:p w14:paraId="6B98B5F7">
            <w:pPr>
              <w:pStyle w:val="42"/>
              <w:spacing w:before="9"/>
              <w:jc w:val="center"/>
              <w:rPr>
                <w:sz w:val="20"/>
              </w:rPr>
            </w:pPr>
          </w:p>
          <w:p w14:paraId="5C4AAF71">
            <w:pPr>
              <w:pStyle w:val="42"/>
              <w:spacing w:before="1"/>
              <w:ind w:left="875" w:right="866"/>
              <w:jc w:val="center"/>
              <w:rPr>
                <w:sz w:val="24"/>
              </w:rPr>
            </w:pPr>
            <w:r>
              <w:rPr>
                <w:sz w:val="24"/>
              </w:rPr>
              <w:t>1 万元</w:t>
            </w:r>
          </w:p>
        </w:tc>
      </w:tr>
    </w:tbl>
    <w:p w14:paraId="02B417DE">
      <w:pPr>
        <w:pStyle w:val="3"/>
        <w:spacing w:before="12"/>
        <w:ind w:left="0"/>
        <w:rPr>
          <w:sz w:val="35"/>
        </w:rPr>
      </w:pPr>
    </w:p>
    <w:p w14:paraId="7BD269F7">
      <w:pPr>
        <w:pStyle w:val="43"/>
        <w:numPr>
          <w:ilvl w:val="1"/>
          <w:numId w:val="62"/>
        </w:numPr>
        <w:tabs>
          <w:tab w:val="left" w:pos="1191"/>
        </w:tabs>
        <w:spacing w:line="364" w:lineRule="auto"/>
        <w:ind w:right="230" w:firstLine="360"/>
        <w:jc w:val="both"/>
        <w:rPr>
          <w:sz w:val="24"/>
        </w:rPr>
      </w:pPr>
      <w:r>
        <w:rPr>
          <w:sz w:val="24"/>
        </w:rPr>
        <w:t>对于委托人通知监理人参加的会议（包括但不限于进场会、现场问题处理会议、工程验收会议、结算问题处理会议、质保期工作的相关会议等），被通知人员（包括但不限于监理人的法定代表人、经报委托人批准同意的监理人法定代表人授权人、总监理工程师、项目副总监等）未经委托人书面同意自行缺席的，每缺席一人次监理人承担 1 次一般违约责任。</w:t>
      </w:r>
    </w:p>
    <w:p w14:paraId="66D4AAC4">
      <w:pPr>
        <w:pStyle w:val="43"/>
        <w:numPr>
          <w:ilvl w:val="1"/>
          <w:numId w:val="62"/>
        </w:numPr>
        <w:tabs>
          <w:tab w:val="left" w:pos="1191"/>
        </w:tabs>
        <w:spacing w:line="364" w:lineRule="auto"/>
        <w:ind w:right="230" w:firstLine="360"/>
        <w:jc w:val="both"/>
        <w:rPr>
          <w:sz w:val="24"/>
        </w:rPr>
      </w:pPr>
      <w:r>
        <w:rPr>
          <w:sz w:val="24"/>
        </w:rPr>
        <w:t>监理人应该定期或不定期组织、主持召开监理例会及各种技术专题会，以及监理规划、监理实施细则和委托人要求必须召开的会议，否则视为违约，每违约一次，监理人承担一般违约责任 1 次。</w:t>
      </w:r>
    </w:p>
    <w:p w14:paraId="00BB81DF">
      <w:pPr>
        <w:pStyle w:val="43"/>
        <w:numPr>
          <w:ilvl w:val="1"/>
          <w:numId w:val="62"/>
        </w:numPr>
        <w:tabs>
          <w:tab w:val="left" w:pos="1191"/>
        </w:tabs>
        <w:spacing w:before="54" w:line="364" w:lineRule="auto"/>
        <w:ind w:right="110" w:firstLine="360"/>
        <w:rPr>
          <w:sz w:val="24"/>
        </w:rPr>
      </w:pPr>
      <w:r>
        <w:rPr>
          <w:sz w:val="24"/>
        </w:rPr>
        <w:t>如监理人违反委托监理协议书第七条、第八条的约定，未在相关信息发生变化时及时将变更情况书面报告委托人的，每经委托人确认 1 次，监理人承担 1 次一般违约责任。</w:t>
      </w:r>
    </w:p>
    <w:p w14:paraId="2885CA9E">
      <w:pPr>
        <w:pStyle w:val="43"/>
        <w:numPr>
          <w:ilvl w:val="1"/>
          <w:numId w:val="62"/>
        </w:numPr>
        <w:tabs>
          <w:tab w:val="left" w:pos="1185"/>
        </w:tabs>
        <w:spacing w:before="1" w:line="362" w:lineRule="auto"/>
        <w:ind w:right="239" w:firstLine="360"/>
        <w:rPr>
          <w:sz w:val="21"/>
          <w:szCs w:val="21"/>
        </w:rPr>
      </w:pPr>
      <w:r>
        <w:rPr>
          <w:rFonts w:ascii="Calibri" w:hAnsi="Calibri" w:eastAsia="Calibri"/>
          <w:sz w:val="24"/>
          <w:szCs w:val="24"/>
        </w:rPr>
        <w:t>①</w:t>
      </w:r>
      <w:r>
        <w:rPr>
          <w:sz w:val="24"/>
          <w:szCs w:val="24"/>
        </w:rPr>
        <w:t>总监、资料员、安全监理员或注册安全工程师必须在施工全过程常驻现场，其他监理人员应驻场的具体阶段由委托人和监理人在合同签订时具体协商确定。</w:t>
      </w:r>
    </w:p>
    <w:p w14:paraId="77B1F779">
      <w:pPr>
        <w:pStyle w:val="3"/>
        <w:spacing w:before="5" w:line="364" w:lineRule="auto"/>
        <w:ind w:right="230" w:firstLine="840"/>
        <w:jc w:val="both"/>
      </w:pPr>
      <w:r>
        <w:rPr>
          <w:rFonts w:ascii="Calibri" w:hAnsi="Calibri" w:eastAsia="Calibri"/>
          <w:sz w:val="21"/>
          <w:szCs w:val="21"/>
        </w:rPr>
        <w:t>②</w:t>
      </w:r>
      <w:r>
        <w:rPr>
          <w:sz w:val="21"/>
          <w:szCs w:val="21"/>
        </w:rPr>
        <w:t>监理</w:t>
      </w:r>
      <w:r>
        <w:t>人员常驻现场的具体要求为：每月不得少于 22 天，每天不得少于 8 小时， 有事离开施工现场必须向委托人请假批准，否则视为脱岗，脱岗每发生一次，监理人应承担 1 次一般违约责任；总监和总监代表不得同时离开施工现场，否则视为脱岗，脱岗每发</w:t>
      </w:r>
    </w:p>
    <w:p w14:paraId="75BEE490">
      <w:pPr>
        <w:pStyle w:val="3"/>
        <w:spacing w:line="364" w:lineRule="auto"/>
        <w:ind w:right="230"/>
        <w:jc w:val="both"/>
      </w:pPr>
      <w:r>
        <w:t>生一次监理人应承担 1 次一般违约责任；</w:t>
      </w:r>
      <w:r>
        <w:rPr>
          <w:rFonts w:hint="eastAsia"/>
        </w:rPr>
        <w:t>根据项目情况如增设了总监代表的，总监驻场的时间每周不少于</w:t>
      </w:r>
      <w:r>
        <w:rPr>
          <w:rFonts w:hint="eastAsia"/>
          <w:lang w:val="en-US"/>
        </w:rPr>
        <w:t>2天，否则视为脱岗，脱岗每发生一次监理人应承担1次一般违约责任；</w:t>
      </w:r>
      <w:r>
        <w:t>项目处于赶工期间或处于较大安全隐患期间、重要施工节点期间时，总监、安全监理员或注册安全工程师及根据第</w:t>
      </w:r>
      <w:r>
        <w:rPr>
          <w:rFonts w:ascii="Calibri" w:hAnsi="Calibri" w:eastAsia="Calibri"/>
        </w:rPr>
        <w:t>①</w:t>
      </w:r>
      <w:r>
        <w:t>条确定应该驻场的所有监理人员必须 24 小时在现场，离开施工现场必须向委托人请假批准，否则视为脱岗，脱岗每发生一次监理人应承担 1 次严重违约责任。</w:t>
      </w:r>
    </w:p>
    <w:p w14:paraId="5AA02BA8">
      <w:pPr>
        <w:pStyle w:val="43"/>
        <w:numPr>
          <w:ilvl w:val="4"/>
          <w:numId w:val="16"/>
        </w:numPr>
        <w:tabs>
          <w:tab w:val="left" w:pos="0"/>
        </w:tabs>
        <w:spacing w:before="155"/>
        <w:ind w:left="0" w:leftChars="0" w:firstLine="0" w:firstLineChars="0"/>
        <w:jc w:val="both"/>
        <w:rPr>
          <w:sz w:val="24"/>
          <w:highlight w:val="none"/>
        </w:rPr>
      </w:pPr>
      <w:r>
        <w:rPr>
          <w:sz w:val="24"/>
          <w:highlight w:val="none"/>
        </w:rPr>
        <w:t>履行监理职责方面的违约责任</w:t>
      </w:r>
    </w:p>
    <w:p w14:paraId="5A219973">
      <w:pPr>
        <w:pStyle w:val="43"/>
        <w:numPr>
          <w:ilvl w:val="0"/>
          <w:numId w:val="63"/>
        </w:numPr>
        <w:tabs>
          <w:tab w:val="left" w:pos="1191"/>
        </w:tabs>
        <w:spacing w:before="161" w:line="364" w:lineRule="auto"/>
        <w:ind w:right="230" w:firstLine="360"/>
        <w:jc w:val="both"/>
        <w:rPr>
          <w:sz w:val="24"/>
          <w:highlight w:val="none"/>
        </w:rPr>
      </w:pPr>
      <w:r>
        <w:rPr>
          <w:sz w:val="24"/>
          <w:highlight w:val="none"/>
        </w:rPr>
        <w:t>监理人在自己职责范围内对应当作出决定的事项故意拖延或者不作出明确的处理意见，在委托人书面警告后监理人在整改期限内仍不加以改正的，视为违约，监理人承担一般违约责任 1 次；因此造成损失的，监理人承担赔偿责任。</w:t>
      </w:r>
    </w:p>
    <w:p w14:paraId="7C4ED72B">
      <w:pPr>
        <w:pStyle w:val="43"/>
        <w:numPr>
          <w:ilvl w:val="0"/>
          <w:numId w:val="63"/>
        </w:numPr>
        <w:tabs>
          <w:tab w:val="left" w:pos="1191"/>
        </w:tabs>
        <w:spacing w:line="364" w:lineRule="auto"/>
        <w:ind w:right="230" w:firstLine="360"/>
        <w:jc w:val="both"/>
        <w:rPr>
          <w:sz w:val="24"/>
          <w:highlight w:val="none"/>
        </w:rPr>
      </w:pPr>
      <w:r>
        <w:rPr>
          <w:sz w:val="24"/>
          <w:highlight w:val="none"/>
        </w:rPr>
        <w:t>监理人对于承包人现场的管理机构人员不到位、擅自离场，管理人员工作能力存在严重不足等存在的问题不进行有效检查、督促、处理，且不向委托人报告的，在委托人书面警告并要求限期改正后，拒不限期改正的，承担 1 次一般违约责任。</w:t>
      </w:r>
    </w:p>
    <w:p w14:paraId="479B5BA4">
      <w:pPr>
        <w:pStyle w:val="43"/>
        <w:numPr>
          <w:ilvl w:val="0"/>
          <w:numId w:val="63"/>
        </w:numPr>
        <w:tabs>
          <w:tab w:val="left" w:pos="1191"/>
        </w:tabs>
        <w:spacing w:line="364" w:lineRule="auto"/>
        <w:ind w:right="230" w:firstLine="360"/>
        <w:jc w:val="both"/>
        <w:rPr>
          <w:sz w:val="24"/>
          <w:highlight w:val="none"/>
        </w:rPr>
      </w:pPr>
      <w:r>
        <w:rPr>
          <w:sz w:val="24"/>
          <w:highlight w:val="none"/>
        </w:rPr>
        <w:t>监理人对于承包人未按投标文件所作的承诺投入机械、设备、材料等存在的问题不进行有效检查、督促、处理，且不向委托人报告的，在委托人书面警告并要求限期改正后，拒不限期改正的，承担 1 次一般违约责任。</w:t>
      </w:r>
    </w:p>
    <w:p w14:paraId="7F8AC473">
      <w:pPr>
        <w:pStyle w:val="43"/>
        <w:numPr>
          <w:ilvl w:val="0"/>
          <w:numId w:val="63"/>
        </w:numPr>
        <w:tabs>
          <w:tab w:val="left" w:pos="1191"/>
        </w:tabs>
        <w:spacing w:line="362" w:lineRule="auto"/>
        <w:ind w:right="233" w:firstLine="360"/>
        <w:jc w:val="both"/>
        <w:rPr>
          <w:sz w:val="24"/>
          <w:highlight w:val="none"/>
        </w:rPr>
      </w:pPr>
      <w:r>
        <w:rPr>
          <w:sz w:val="24"/>
          <w:highlight w:val="none"/>
        </w:rPr>
        <w:t>监理人对于承包人每次进场材料不进行检查和登</w:t>
      </w:r>
      <w:r>
        <w:rPr>
          <w:sz w:val="24"/>
        </w:rPr>
        <w:t>记，或者对已进场的材料不按有关规定及时进行</w:t>
      </w:r>
      <w:r>
        <w:rPr>
          <w:sz w:val="24"/>
          <w:highlight w:val="none"/>
        </w:rPr>
        <w:t>抽查、送检的，承担一般违约责任 1 次；如因此出现不合格材料使用于工程建设并造成质量缺陷的，监理人承担一般违约责任 1 次；如因此出现质量事故或经济损失达 10 万元/次以上的，监理人承担严重违约责任 1 次；如因此造成重大质量安全事故（按国家规定界定）的，委托人有权视情况的严重程度部分解除合同或解除合同，同时，委托人保留追究监理人相关法律责任的权利。</w:t>
      </w:r>
    </w:p>
    <w:p w14:paraId="108FFA01">
      <w:pPr>
        <w:pStyle w:val="43"/>
        <w:numPr>
          <w:ilvl w:val="0"/>
          <w:numId w:val="63"/>
        </w:numPr>
        <w:tabs>
          <w:tab w:val="left" w:pos="1191"/>
        </w:tabs>
        <w:spacing w:line="364" w:lineRule="auto"/>
        <w:ind w:right="230" w:firstLine="360"/>
        <w:jc w:val="both"/>
        <w:rPr>
          <w:sz w:val="24"/>
        </w:rPr>
      </w:pPr>
      <w:r>
        <w:rPr>
          <w:sz w:val="24"/>
        </w:rPr>
        <w:t>在工程施工过程中，需要监理人进行旁站监督的，监理人没有到场，或者到场后没有进行监督，或发现质量问题后没有及时处理，且没有向委托人报告，在委托人书面警告并要求限期改正后，拒不限期改正的，监理人应承担一般违约责任 1 次。</w:t>
      </w:r>
    </w:p>
    <w:p w14:paraId="3D572293">
      <w:pPr>
        <w:pStyle w:val="43"/>
        <w:numPr>
          <w:ilvl w:val="0"/>
          <w:numId w:val="63"/>
        </w:numPr>
        <w:tabs>
          <w:tab w:val="left" w:pos="1191"/>
        </w:tabs>
        <w:spacing w:line="364" w:lineRule="auto"/>
        <w:ind w:right="230" w:firstLine="360"/>
        <w:jc w:val="both"/>
        <w:rPr>
          <w:sz w:val="24"/>
        </w:rPr>
      </w:pPr>
      <w:r>
        <w:rPr>
          <w:sz w:val="24"/>
        </w:rPr>
        <w:t>监理人不按专用条款第 2.22 款的约定办理有关保险事宜的，在委托人书面警告并要求限期改正后，监理人拒不限期改正的，监理人应承担严重违约责任 1 次，并承担由此产生的一切后果。</w:t>
      </w:r>
    </w:p>
    <w:p w14:paraId="5F270170">
      <w:pPr>
        <w:pStyle w:val="43"/>
        <w:numPr>
          <w:ilvl w:val="0"/>
          <w:numId w:val="63"/>
        </w:numPr>
        <w:tabs>
          <w:tab w:val="left" w:pos="1191"/>
        </w:tabs>
        <w:spacing w:before="1" w:line="364" w:lineRule="auto"/>
        <w:ind w:right="230" w:firstLine="360"/>
        <w:jc w:val="both"/>
        <w:rPr>
          <w:sz w:val="24"/>
        </w:rPr>
      </w:pPr>
      <w:r>
        <w:rPr>
          <w:sz w:val="24"/>
        </w:rPr>
        <w:t>监理人对承包人的施工质量应每月定期或不定期组织大检查并同时定期组织召开质量会议，将质量检查的情况报告委托人。承包人的施工质量经监理人检验为合格，但经委托人或工程质量监督机构抽查，发现存在质量不合格或未按设计要求和有关规范进行施工情形的，监理人承担一般违约责任 1 次；情节严重的，监理人承担严重违约责任 1 次。同时，监理人应赔偿委托人的经济损失。</w:t>
      </w:r>
    </w:p>
    <w:p w14:paraId="3802BE20">
      <w:pPr>
        <w:pStyle w:val="43"/>
        <w:numPr>
          <w:ilvl w:val="0"/>
          <w:numId w:val="63"/>
        </w:numPr>
        <w:tabs>
          <w:tab w:val="left" w:pos="1191"/>
        </w:tabs>
        <w:spacing w:before="1" w:line="364" w:lineRule="auto"/>
        <w:ind w:right="230" w:firstLine="360"/>
        <w:jc w:val="both"/>
        <w:rPr>
          <w:sz w:val="24"/>
        </w:rPr>
      </w:pPr>
      <w:r>
        <w:rPr>
          <w:sz w:val="24"/>
        </w:rPr>
        <w:t>由于监理人应当预见而未能及时预见，或已经预见但未及时向委托人报告，或未及时提出有效的整改措施，或未及时向承包人发出整改通知并积极督促承包人实施整改而对整个工程的按期完工不能起到有效监管作用，致使工程施工的关键线路工期比计划滞后 3日（含 3 日）以上的，监理人承担一般违约责任 1 次；出现关键工期滞后 5 日（含 5 日）以上的，监理人承担严重违约责任 1 次；出现关键线路工期滞后 10 日（含 10 日）以上的， 委托人有权部分解除合同或解除合同。</w:t>
      </w:r>
    </w:p>
    <w:p w14:paraId="7A36A37A">
      <w:pPr>
        <w:pStyle w:val="43"/>
        <w:numPr>
          <w:ilvl w:val="0"/>
          <w:numId w:val="63"/>
        </w:numPr>
        <w:tabs>
          <w:tab w:val="left" w:pos="1191"/>
        </w:tabs>
        <w:spacing w:line="364" w:lineRule="auto"/>
        <w:ind w:right="230" w:firstLine="360"/>
        <w:jc w:val="both"/>
        <w:rPr>
          <w:sz w:val="24"/>
        </w:rPr>
      </w:pPr>
      <w:r>
        <w:rPr>
          <w:sz w:val="24"/>
        </w:rPr>
        <w:t>对于承包人提交的现场签证资料，监理人没有准确、真实的现场原始记录或不进行现场复核即予签认，致使签认的文件有错误的，监理人应立即改正，并承担一般违约责任 1 次；由于该签证错误因此可能给委托人造成 10 万元（含 10 万元）以上的直接经济损失的，监理人承担严重违约责任 1 次，如果这种经济损失是由于监理人故意造成的，则按专用条款第 4.1.1.1（6）款的约定处理。</w:t>
      </w:r>
    </w:p>
    <w:p w14:paraId="238EDD3E">
      <w:pPr>
        <w:pStyle w:val="3"/>
        <w:spacing w:line="364" w:lineRule="auto"/>
        <w:ind w:right="230" w:firstLine="480"/>
        <w:jc w:val="both"/>
      </w:pPr>
      <w:r>
        <w:t>对于现场签证（含工程数量、单价等）未经过注册造价工程师审核即报送委托人，或者虽经过注册造价工程师审核但未在规定时间内报送委托人的，监理人应限期改正；以上情形累计出现 2 次的，监理人承担一般违约责任 1 次。</w:t>
      </w:r>
    </w:p>
    <w:p w14:paraId="1F0D4009">
      <w:pPr>
        <w:pStyle w:val="3"/>
        <w:spacing w:line="364" w:lineRule="auto"/>
        <w:ind w:right="230" w:firstLine="480"/>
        <w:jc w:val="both"/>
      </w:pPr>
      <w:r>
        <w:t>监理人对承包人提交的施工方案、设计变更等技术文件中明显不符合现场实际的部分，或者与招投标文件不符，会引起委托人投资增加和工期延误的部分，不进行认真审核、不进行优化就给予同意的，应限期改正，并承担一般违约责任 1 次；情节严重的，承担严重违约责任 1 次。</w:t>
      </w:r>
    </w:p>
    <w:p w14:paraId="38161DD1">
      <w:pPr>
        <w:pStyle w:val="3"/>
        <w:spacing w:line="364" w:lineRule="auto"/>
        <w:ind w:right="230" w:firstLine="480"/>
        <w:jc w:val="both"/>
      </w:pPr>
      <w:r>
        <w:t>监理人对承包人提交的施工方案、设计变更等技术文件，应当在 3 日内予以批复；须转报委托人审批的，监理人应在 3 日内出具审核意见报委托人。由于监理人未及时批复而影响工程进度或者工程质量的，监理人承担严重违约责任 1 次；须转报委托人审批的，监理人未在 3 日内报委托人或未出具审核意见的，应限期改正，承担一般违约责任 1 次。承包人提交给监理人审核的资料或文件存在错误须承包人改正的，监理人应将所有错误一次性要求承包人改正。监理人要求承包人反复修改拖延时间的，在委托人书面警告并要求限期改正后，监理人拒不限期改正的，承担一般违约责任 1 次。</w:t>
      </w:r>
    </w:p>
    <w:p w14:paraId="46F38F0F">
      <w:pPr>
        <w:pStyle w:val="43"/>
        <w:numPr>
          <w:ilvl w:val="0"/>
          <w:numId w:val="63"/>
        </w:numPr>
        <w:tabs>
          <w:tab w:val="left" w:pos="1305"/>
        </w:tabs>
        <w:spacing w:before="161" w:line="360" w:lineRule="auto"/>
        <w:ind w:right="230" w:firstLine="360"/>
        <w:jc w:val="both"/>
        <w:rPr>
          <w:sz w:val="24"/>
        </w:rPr>
      </w:pPr>
      <w:r>
        <w:rPr>
          <w:sz w:val="24"/>
        </w:rPr>
        <w:t>监理人应当按时对承包人的申请计量事项予以审批，申请计量事项在正常情况下应在 2 个工作日内完成审批；监理人对申请计量事项的真实性、准确性负责；监理人派驻的专业工程师应对承包人提交的计量报表认真审核并予以确认。监理人对不合格工程却同意计量，或者计量数量严重不实、资料不齐全却同意计量的，应立即改正，承担一般违约责任 1 次；情节严重的，承担严重违约责任 1 次；给委托人造成损失的，应当赔偿损失。</w:t>
      </w:r>
    </w:p>
    <w:p w14:paraId="5812830E">
      <w:pPr>
        <w:pStyle w:val="43"/>
        <w:numPr>
          <w:ilvl w:val="0"/>
          <w:numId w:val="63"/>
        </w:numPr>
        <w:tabs>
          <w:tab w:val="left" w:pos="1305"/>
        </w:tabs>
        <w:spacing w:line="362" w:lineRule="auto"/>
        <w:ind w:right="233" w:firstLine="360"/>
        <w:jc w:val="both"/>
      </w:pPr>
      <w:r>
        <w:rPr>
          <w:sz w:val="24"/>
        </w:rPr>
        <w:t>监理人对于承包人提交的请款报告，不按实际完成的工作量进行审核，或不按本合同要求签署拨款意见的，应限期改正；累计出现达 2 次的，承担一般违约责任 1 次；如造成委托人超形象进度、超合同支付工程款达 10 万元（含 10 万元）以上，或监理人审核的当期支付金额与经过委托人复核的实际应付金额存在正负 10％以上误差的，承担一般违约责任 1 次，情节严重的，承担严重违约责任 1 次；若由此给委托人造成 10 万元（含 10 万元）以上损失的，监理人应当赔偿委托人的损失，委托人将视情况部分解除合同或解除合同。</w:t>
      </w:r>
    </w:p>
    <w:p w14:paraId="345A748C">
      <w:pPr>
        <w:pStyle w:val="3"/>
        <w:spacing w:line="364" w:lineRule="auto"/>
        <w:ind w:right="230" w:firstLine="360"/>
        <w:jc w:val="both"/>
      </w:pPr>
      <w:r>
        <w:t>（13）监理人同时发生专用条款第 4.1.1.4.2（9）、（10）、（11）、（12）款约定的违约行为且情节严重的，视为监理人和承包人串通作假，委托人有权单方解除合同；因此造成委托人损失的，委托人有权按专用条款第 4.1.1.1（6）款的约定要求监理人承担赔偿责任。</w:t>
      </w:r>
    </w:p>
    <w:p w14:paraId="3EB60907">
      <w:pPr>
        <w:pStyle w:val="43"/>
        <w:numPr>
          <w:ilvl w:val="0"/>
          <w:numId w:val="0"/>
        </w:numPr>
        <w:spacing w:line="364" w:lineRule="auto"/>
        <w:ind w:left="-3" w:leftChars="0" w:right="110" w:rightChars="0" w:firstLine="480" w:firstLineChars="200"/>
        <w:rPr>
          <w:sz w:val="24"/>
        </w:rPr>
      </w:pPr>
      <w:r>
        <w:rPr>
          <w:rFonts w:hint="eastAsia"/>
          <w:sz w:val="24"/>
          <w:lang w:eastAsia="zh-CN"/>
        </w:rPr>
        <w:t>（</w:t>
      </w:r>
      <w:r>
        <w:rPr>
          <w:rFonts w:hint="eastAsia"/>
          <w:sz w:val="24"/>
          <w:lang w:val="en-US" w:eastAsia="zh-CN"/>
        </w:rPr>
        <w:t>14）</w:t>
      </w:r>
      <w:r>
        <w:rPr>
          <w:sz w:val="24"/>
        </w:rPr>
        <w:t>监理人应设立专职的职业健康安全与环境管理人员，督促承包人建立安全生产保障体系，并要求各施工标段设立专职安全员，将安全责任制度落实到人；监理人应每月定期或不定期组织安全文明施工大检查，并将检查结果向委托人报告。对于承包人没有按投标承诺做好安全文明施工措施，或没有按有关规定进行安全生产，或存在安全隐患等问题， 监理人未及时发现，或发现后不督促承包人进行整改，不作及时处理并及时向委托人报告， 在委托人书面警告并要求限期改正后，监理人拒不限期改正的，承担一般违约责任 1 次； 因此而发生安全生产事故，或被上级主管部门通报批评，或被新闻媒体曝光的，监理人承担严重违约责任 1 次；情节严重的，委托人有权部分解除合同或解除合同；因此而发生重大安全质量事故（按国家及本合同有关规定界定）的，监理人承担赔偿责任，赔偿金额为本合同监理酬金的 1%～5%。</w:t>
      </w:r>
    </w:p>
    <w:p w14:paraId="395A671A">
      <w:pPr>
        <w:pStyle w:val="43"/>
        <w:numPr>
          <w:ilvl w:val="0"/>
          <w:numId w:val="0"/>
        </w:numPr>
        <w:tabs>
          <w:tab w:val="left" w:pos="1305"/>
        </w:tabs>
        <w:spacing w:line="362" w:lineRule="auto"/>
        <w:ind w:right="221" w:rightChars="0" w:firstLine="480" w:firstLineChars="200"/>
        <w:rPr>
          <w:sz w:val="24"/>
        </w:rPr>
      </w:pPr>
      <w:r>
        <w:rPr>
          <w:rFonts w:hint="eastAsia"/>
          <w:sz w:val="24"/>
          <w:lang w:eastAsia="zh-CN"/>
        </w:rPr>
        <w:t>（</w:t>
      </w:r>
      <w:r>
        <w:rPr>
          <w:rFonts w:hint="eastAsia"/>
          <w:sz w:val="24"/>
          <w:lang w:val="en-US" w:eastAsia="zh-CN"/>
        </w:rPr>
        <w:t>15）</w:t>
      </w:r>
      <w:r>
        <w:rPr>
          <w:sz w:val="24"/>
        </w:rPr>
        <w:t>由于下列原因，使本合同工程在投资、工期、质量等方面给委托人造成损失的， 监理人承担赔偿责任，但累计赔偿金额不应超过本合同监理酬金暂定金额（除去税金）：</w:t>
      </w:r>
    </w:p>
    <w:p w14:paraId="717DB151">
      <w:pPr>
        <w:pStyle w:val="43"/>
        <w:numPr>
          <w:ilvl w:val="1"/>
          <w:numId w:val="64"/>
        </w:numPr>
        <w:tabs>
          <w:tab w:val="left" w:pos="0"/>
        </w:tabs>
        <w:ind w:left="-3" w:leftChars="0" w:firstLine="3" w:firstLineChars="0"/>
        <w:rPr>
          <w:sz w:val="24"/>
        </w:rPr>
      </w:pPr>
      <w:r>
        <w:rPr>
          <w:sz w:val="24"/>
        </w:rPr>
        <w:t>在施工过程中，监理人发出错误指令；</w:t>
      </w:r>
    </w:p>
    <w:p w14:paraId="53F8696B">
      <w:pPr>
        <w:pStyle w:val="43"/>
        <w:numPr>
          <w:ilvl w:val="1"/>
          <w:numId w:val="64"/>
        </w:numPr>
        <w:tabs>
          <w:tab w:val="left" w:pos="0"/>
        </w:tabs>
        <w:spacing w:before="153"/>
        <w:ind w:left="-3" w:leftChars="0" w:firstLine="3" w:firstLineChars="0"/>
        <w:rPr>
          <w:sz w:val="24"/>
        </w:rPr>
      </w:pPr>
      <w:r>
        <w:rPr>
          <w:sz w:val="24"/>
        </w:rPr>
        <w:t>监理人越权审批设计变更；</w:t>
      </w:r>
    </w:p>
    <w:p w14:paraId="75F047B5">
      <w:pPr>
        <w:pStyle w:val="43"/>
        <w:numPr>
          <w:ilvl w:val="1"/>
          <w:numId w:val="64"/>
        </w:numPr>
        <w:tabs>
          <w:tab w:val="left" w:pos="0"/>
        </w:tabs>
        <w:spacing w:before="54" w:line="364" w:lineRule="auto"/>
        <w:ind w:left="-3" w:leftChars="0" w:right="50" w:rightChars="0" w:firstLine="3" w:firstLineChars="0"/>
        <w:rPr>
          <w:sz w:val="24"/>
        </w:rPr>
      </w:pPr>
      <w:r>
        <w:rPr>
          <w:sz w:val="24"/>
        </w:rPr>
        <w:t>其他因监理人自身失误或失职。</w:t>
      </w:r>
    </w:p>
    <w:p w14:paraId="01635A29">
      <w:pPr>
        <w:pStyle w:val="43"/>
        <w:numPr>
          <w:ilvl w:val="0"/>
          <w:numId w:val="0"/>
        </w:numPr>
        <w:tabs>
          <w:tab w:val="left" w:pos="0"/>
        </w:tabs>
        <w:spacing w:before="54" w:line="364" w:lineRule="auto"/>
        <w:ind w:leftChars="0" w:right="5501" w:rightChars="0" w:firstLine="480" w:firstLineChars="200"/>
        <w:rPr>
          <w:sz w:val="24"/>
        </w:rPr>
      </w:pPr>
      <w:r>
        <w:rPr>
          <w:sz w:val="24"/>
        </w:rPr>
        <w:t>具体约定为：</w:t>
      </w:r>
    </w:p>
    <w:p w14:paraId="71379617">
      <w:pPr>
        <w:pStyle w:val="3"/>
        <w:spacing w:before="1" w:line="364" w:lineRule="auto"/>
        <w:ind w:right="233" w:firstLine="480"/>
        <w:jc w:val="both"/>
      </w:pPr>
      <w:r>
        <w:t>① 由于监理人上述原因致使工程投资额较原计划投资额增加的，委托人将根据该增加额双倍扣减与之相应比例的监理酬金；若增加工程投资比例超过原计划投资额的 20%时，委托人有权单方解除本合同，并要求监理人赔偿委托人由此遭受的实际损失中的 50%。</w:t>
      </w:r>
    </w:p>
    <w:p w14:paraId="574A66CF">
      <w:pPr>
        <w:pStyle w:val="3"/>
        <w:spacing w:line="364" w:lineRule="auto"/>
        <w:ind w:right="230" w:firstLine="480"/>
        <w:jc w:val="both"/>
      </w:pPr>
      <w:r>
        <w:t>② 因监理人责任导致工期延误，其中分段工期延误日数占该段总工期的 30%时，则委托人有权扣除该分段工程监理酬金的 60%；分段工期延误日数达到该段总工期的 50%时，则委托人有权单方解除本合同。因监理人责任导致工程竣工拖延的，依据拖延的日数，监理人应每日按监理酬金暂定金额的 1%向委托人支付违约金。由于监理人责任导致工期延误， 致使委托人要承担赔偿第三方责任的，监理人承担赔偿委托人由此遭受的实际损失中的50%。</w:t>
      </w:r>
    </w:p>
    <w:p w14:paraId="0359A812">
      <w:pPr>
        <w:pStyle w:val="3"/>
        <w:spacing w:line="364" w:lineRule="auto"/>
        <w:ind w:right="230" w:firstLine="480"/>
        <w:jc w:val="both"/>
      </w:pPr>
      <w:r>
        <w:t>③ 因监理人责任造成质量事故，需要返工的，监理人承担严重违约责任 1 次，由委托人双倍扣减该部分的监理酬金，同时监理人应赔偿委托人的实际损失；情节严重的，委托人有权单方面解除合同，并有权要求监理人赔偿委托人由此遭受的经济损失。</w:t>
      </w:r>
    </w:p>
    <w:p w14:paraId="0A317506">
      <w:pPr>
        <w:pStyle w:val="3"/>
        <w:spacing w:line="364" w:lineRule="auto"/>
        <w:ind w:right="230" w:firstLine="480"/>
        <w:jc w:val="both"/>
      </w:pPr>
      <w:r>
        <w:t>④ 因监理人责任导致工程（含各分部、单位及整体工程，下同）质量一次性验收不符合质量目标的，委托人按相应工程占总工程的比例扣除监理人监理酬金；若导致工程质量一次性验收不合格而造成委托人的直接损失达 100 万元以上时，委托人有权单方面解除本合同并要求监理人赔偿相应经济损失。</w:t>
      </w:r>
    </w:p>
    <w:p w14:paraId="2B683194">
      <w:pPr>
        <w:pStyle w:val="43"/>
        <w:numPr>
          <w:ilvl w:val="0"/>
          <w:numId w:val="0"/>
        </w:numPr>
        <w:tabs>
          <w:tab w:val="left" w:pos="1305"/>
        </w:tabs>
        <w:spacing w:line="364" w:lineRule="auto"/>
        <w:ind w:right="230" w:rightChars="0" w:firstLine="480" w:firstLineChars="200"/>
        <w:jc w:val="both"/>
        <w:rPr>
          <w:sz w:val="24"/>
        </w:rPr>
      </w:pPr>
      <w:r>
        <w:rPr>
          <w:rFonts w:hint="eastAsia"/>
          <w:sz w:val="24"/>
          <w:lang w:eastAsia="zh-CN"/>
        </w:rPr>
        <w:t>（</w:t>
      </w:r>
      <w:r>
        <w:rPr>
          <w:rFonts w:hint="eastAsia"/>
          <w:sz w:val="24"/>
          <w:lang w:val="en-US" w:eastAsia="zh-CN"/>
        </w:rPr>
        <w:t>16）</w:t>
      </w:r>
      <w:r>
        <w:rPr>
          <w:sz w:val="24"/>
        </w:rPr>
        <w:t>监理人提供的《监理规划》和相应的《监理实施细则》，经委托人审核认为未能针对本合同工程特点、难点和重点，需要退回修改的，若连续两次修改后仍未能达到委托人要求的，监理人应承担一般违约责任 1 次。</w:t>
      </w:r>
    </w:p>
    <w:p w14:paraId="210671D1">
      <w:pPr>
        <w:pStyle w:val="43"/>
        <w:numPr>
          <w:ilvl w:val="0"/>
          <w:numId w:val="0"/>
        </w:numPr>
        <w:tabs>
          <w:tab w:val="left" w:pos="1305"/>
        </w:tabs>
        <w:spacing w:line="362" w:lineRule="auto"/>
        <w:ind w:right="233" w:rightChars="0" w:firstLine="480" w:firstLineChars="200"/>
        <w:rPr>
          <w:sz w:val="24"/>
        </w:rPr>
      </w:pPr>
      <w:r>
        <w:rPr>
          <w:rFonts w:hint="eastAsia"/>
          <w:sz w:val="24"/>
          <w:lang w:eastAsia="zh-CN"/>
        </w:rPr>
        <w:t>（</w:t>
      </w:r>
      <w:r>
        <w:rPr>
          <w:rFonts w:hint="eastAsia"/>
          <w:sz w:val="24"/>
          <w:lang w:val="en-US" w:eastAsia="zh-CN"/>
        </w:rPr>
        <w:t>17）</w:t>
      </w:r>
      <w:r>
        <w:rPr>
          <w:sz w:val="24"/>
        </w:rPr>
        <w:t>如果监理人在服务期内未能按要求提供本合同约定的监理服务（包括监理人员缺额、监理深度不足及监理资料不齐等）的，委托人有权酌情扣减监理酬金。</w:t>
      </w:r>
    </w:p>
    <w:p w14:paraId="4ADCF877">
      <w:pPr>
        <w:pStyle w:val="43"/>
        <w:numPr>
          <w:ilvl w:val="0"/>
          <w:numId w:val="0"/>
        </w:numPr>
        <w:tabs>
          <w:tab w:val="left" w:pos="1305"/>
        </w:tabs>
        <w:spacing w:line="364" w:lineRule="auto"/>
        <w:ind w:right="230" w:rightChars="0" w:firstLine="480" w:firstLineChars="200"/>
        <w:jc w:val="both"/>
        <w:rPr>
          <w:sz w:val="24"/>
        </w:rPr>
      </w:pPr>
      <w:r>
        <w:rPr>
          <w:rFonts w:hint="eastAsia"/>
          <w:sz w:val="24"/>
          <w:lang w:eastAsia="zh-CN"/>
        </w:rPr>
        <w:t>（</w:t>
      </w:r>
      <w:r>
        <w:rPr>
          <w:rFonts w:hint="eastAsia"/>
          <w:sz w:val="24"/>
          <w:lang w:val="en-US" w:eastAsia="zh-CN"/>
        </w:rPr>
        <w:t>18）</w:t>
      </w:r>
      <w:r>
        <w:rPr>
          <w:sz w:val="24"/>
        </w:rPr>
        <w:t>对于工程施工过程中出现的工程变更，如当月由委托人确定的工程变更的单价较监理人审定的单价的差值大于正负 10%以上的情况累计出现 8 宗以上，或由委托人确定的工程变更的总价较监理人审定的总价的差值大于正负 10%以上的情况累计出现 3 宗以上，监理人承担一般违约责任 1 次。</w:t>
      </w:r>
    </w:p>
    <w:p w14:paraId="4C4E7DBE">
      <w:pPr>
        <w:pStyle w:val="43"/>
        <w:numPr>
          <w:ilvl w:val="0"/>
          <w:numId w:val="0"/>
        </w:numPr>
        <w:tabs>
          <w:tab w:val="left" w:pos="1305"/>
        </w:tabs>
        <w:spacing w:line="362" w:lineRule="auto"/>
        <w:ind w:right="230" w:rightChars="0" w:firstLine="480" w:firstLineChars="200"/>
        <w:jc w:val="both"/>
        <w:rPr>
          <w:sz w:val="24"/>
        </w:rPr>
      </w:pPr>
      <w:r>
        <w:rPr>
          <w:rFonts w:hint="eastAsia"/>
          <w:sz w:val="24"/>
          <w:lang w:eastAsia="zh-CN"/>
        </w:rPr>
        <w:t>（</w:t>
      </w:r>
      <w:r>
        <w:rPr>
          <w:rFonts w:hint="eastAsia"/>
          <w:sz w:val="24"/>
          <w:lang w:val="en-US" w:eastAsia="zh-CN"/>
        </w:rPr>
        <w:t>19）</w:t>
      </w:r>
      <w:r>
        <w:rPr>
          <w:sz w:val="24"/>
        </w:rPr>
        <w:t>因监理人原因，造成竣工图纸（包括设备移交资料等）与竣工时现场的实际情况不符，导致相关的工程结算出现偏差的，监理人承担一般违约责任 1 次；如由此可能给委</w:t>
      </w:r>
    </w:p>
    <w:p w14:paraId="152D3A8F">
      <w:pPr>
        <w:pStyle w:val="3"/>
        <w:spacing w:line="362" w:lineRule="auto"/>
        <w:ind w:right="235"/>
        <w:jc w:val="both"/>
      </w:pPr>
      <w:r>
        <w:t>托人造成直接经济损失 10 万元（含 10 万元）以上的，监理人承担严重违约责任 1 次；如该经济损失是监理人故意造成的，则按专用条款第 4.1.1.1（6）款的约定执行。</w:t>
      </w:r>
    </w:p>
    <w:p w14:paraId="68022A93">
      <w:pPr>
        <w:pStyle w:val="43"/>
        <w:numPr>
          <w:ilvl w:val="0"/>
          <w:numId w:val="0"/>
        </w:numPr>
        <w:tabs>
          <w:tab w:val="left" w:pos="1305"/>
        </w:tabs>
        <w:spacing w:before="54" w:line="364" w:lineRule="auto"/>
        <w:ind w:right="230" w:rightChars="0" w:firstLine="480" w:firstLineChars="200"/>
        <w:jc w:val="both"/>
        <w:rPr>
          <w:sz w:val="24"/>
        </w:rPr>
      </w:pPr>
      <w:r>
        <w:rPr>
          <w:rFonts w:hint="eastAsia"/>
          <w:sz w:val="24"/>
          <w:lang w:eastAsia="zh-CN"/>
        </w:rPr>
        <w:t>（</w:t>
      </w:r>
      <w:r>
        <w:rPr>
          <w:rFonts w:hint="eastAsia"/>
          <w:sz w:val="24"/>
          <w:lang w:val="en-US" w:eastAsia="zh-CN"/>
        </w:rPr>
        <w:t>20）</w:t>
      </w:r>
      <w:r>
        <w:rPr>
          <w:sz w:val="24"/>
        </w:rPr>
        <w:t>对于承包人不按合同约定提交分项工程的结算文件，监理人不按合同约定采取有效措施或未及时向委托人报告的，监理人承担一般违约责任 1 次。</w:t>
      </w:r>
    </w:p>
    <w:p w14:paraId="6078B983">
      <w:pPr>
        <w:pStyle w:val="43"/>
        <w:numPr>
          <w:ilvl w:val="0"/>
          <w:numId w:val="0"/>
        </w:numPr>
        <w:tabs>
          <w:tab w:val="left" w:pos="1844"/>
        </w:tabs>
        <w:spacing w:line="305" w:lineRule="exact"/>
        <w:ind w:firstLine="480" w:firstLineChars="200"/>
        <w:jc w:val="both"/>
        <w:rPr>
          <w:sz w:val="24"/>
        </w:rPr>
      </w:pPr>
      <w:r>
        <w:rPr>
          <w:rFonts w:hint="eastAsia"/>
          <w:sz w:val="24"/>
          <w:lang w:val="en-US" w:eastAsia="zh-CN"/>
        </w:rPr>
        <w:t>4.1.1.4.3</w:t>
      </w:r>
      <w:r>
        <w:rPr>
          <w:sz w:val="24"/>
        </w:rPr>
        <w:t>其他方面的违约责任</w:t>
      </w:r>
    </w:p>
    <w:p w14:paraId="75DAF6A7">
      <w:pPr>
        <w:pStyle w:val="43"/>
        <w:numPr>
          <w:ilvl w:val="0"/>
          <w:numId w:val="65"/>
        </w:numPr>
        <w:tabs>
          <w:tab w:val="left" w:pos="1191"/>
        </w:tabs>
        <w:spacing w:before="160" w:line="362" w:lineRule="auto"/>
        <w:ind w:left="0" w:leftChars="0" w:right="235" w:firstLine="480" w:firstLineChars="200"/>
        <w:rPr>
          <w:sz w:val="24"/>
        </w:rPr>
      </w:pPr>
      <w:r>
        <w:rPr>
          <w:sz w:val="24"/>
        </w:rPr>
        <w:t>监理人必须加强对监理人员职业操守、廉政建设的培训和教育，本项目监理人员需共同遵守监理人员职业道德守则，并严格遵守以下规定：</w:t>
      </w:r>
    </w:p>
    <w:p w14:paraId="1BEC8B58">
      <w:pPr>
        <w:pStyle w:val="43"/>
        <w:numPr>
          <w:ilvl w:val="1"/>
          <w:numId w:val="65"/>
        </w:numPr>
        <w:tabs>
          <w:tab w:val="left" w:pos="0"/>
        </w:tabs>
        <w:spacing w:before="5"/>
        <w:ind w:left="-3" w:leftChars="0" w:firstLine="3" w:firstLineChars="0"/>
        <w:rPr>
          <w:sz w:val="24"/>
        </w:rPr>
      </w:pPr>
      <w:r>
        <w:rPr>
          <w:sz w:val="24"/>
        </w:rPr>
        <w:t>禁止向委托人及承包人推销材料、设备，或以倾向性、排他性变相推销；</w:t>
      </w:r>
    </w:p>
    <w:p w14:paraId="2DE22F7A">
      <w:pPr>
        <w:pStyle w:val="43"/>
        <w:numPr>
          <w:ilvl w:val="1"/>
          <w:numId w:val="65"/>
        </w:numPr>
        <w:tabs>
          <w:tab w:val="left" w:pos="0"/>
        </w:tabs>
        <w:spacing w:before="158"/>
        <w:ind w:left="-3" w:leftChars="0" w:firstLine="3" w:firstLineChars="0"/>
        <w:rPr>
          <w:sz w:val="24"/>
        </w:rPr>
      </w:pPr>
      <w:r>
        <w:rPr>
          <w:sz w:val="24"/>
        </w:rPr>
        <w:t>禁止与承包人串通，对不合格材料、产品、工程进行包庇及验收；</w:t>
      </w:r>
    </w:p>
    <w:p w14:paraId="1841F5FC">
      <w:pPr>
        <w:pStyle w:val="43"/>
        <w:numPr>
          <w:ilvl w:val="1"/>
          <w:numId w:val="65"/>
        </w:numPr>
        <w:tabs>
          <w:tab w:val="left" w:pos="0"/>
        </w:tabs>
        <w:spacing w:before="161"/>
        <w:ind w:left="-3" w:leftChars="0" w:firstLine="3" w:firstLineChars="0"/>
        <w:rPr>
          <w:sz w:val="24"/>
        </w:rPr>
      </w:pPr>
      <w:r>
        <w:rPr>
          <w:sz w:val="24"/>
        </w:rPr>
        <w:t>禁止与承包人串通，对材料用量、工程量进行虚假签认；</w:t>
      </w:r>
    </w:p>
    <w:p w14:paraId="5C90F811">
      <w:pPr>
        <w:pStyle w:val="43"/>
        <w:numPr>
          <w:ilvl w:val="1"/>
          <w:numId w:val="65"/>
        </w:numPr>
        <w:tabs>
          <w:tab w:val="left" w:pos="0"/>
        </w:tabs>
        <w:spacing w:before="158" w:line="364" w:lineRule="auto"/>
        <w:ind w:left="-3" w:leftChars="0" w:right="230" w:firstLine="3" w:firstLineChars="0"/>
        <w:rPr>
          <w:sz w:val="24"/>
        </w:rPr>
      </w:pPr>
      <w:r>
        <w:rPr>
          <w:sz w:val="24"/>
        </w:rPr>
        <w:t>禁止与承包人串通，不合理提高施工难度及增加材料用量，以增大施工费用，获取不正当</w:t>
      </w:r>
      <w:r>
        <w:rPr>
          <w:rFonts w:hint="eastAsia"/>
          <w:sz w:val="24"/>
          <w:lang w:val="en-US" w:eastAsia="zh-CN"/>
        </w:rPr>
        <w:t>利益</w:t>
      </w:r>
      <w:r>
        <w:rPr>
          <w:sz w:val="24"/>
        </w:rPr>
        <w:t>；</w:t>
      </w:r>
    </w:p>
    <w:p w14:paraId="7C55CD66">
      <w:pPr>
        <w:pStyle w:val="43"/>
        <w:numPr>
          <w:ilvl w:val="1"/>
          <w:numId w:val="65"/>
        </w:numPr>
        <w:tabs>
          <w:tab w:val="left" w:pos="0"/>
        </w:tabs>
        <w:spacing w:before="1"/>
        <w:ind w:left="-3" w:leftChars="0" w:firstLine="3" w:firstLineChars="0"/>
        <w:rPr>
          <w:sz w:val="24"/>
        </w:rPr>
      </w:pPr>
      <w:r>
        <w:rPr>
          <w:sz w:val="24"/>
        </w:rPr>
        <w:t>禁止接受承包人的请吃送礼或变相受礼；</w:t>
      </w:r>
    </w:p>
    <w:p w14:paraId="32B05043">
      <w:pPr>
        <w:pStyle w:val="43"/>
        <w:numPr>
          <w:ilvl w:val="1"/>
          <w:numId w:val="65"/>
        </w:numPr>
        <w:tabs>
          <w:tab w:val="left" w:pos="0"/>
        </w:tabs>
        <w:spacing w:before="158"/>
        <w:ind w:left="-3" w:leftChars="0" w:firstLine="3" w:firstLineChars="0"/>
        <w:rPr>
          <w:sz w:val="24"/>
        </w:rPr>
      </w:pPr>
      <w:r>
        <w:rPr>
          <w:sz w:val="24"/>
        </w:rPr>
        <w:t>禁止向承包人介绍分包或推销材料、设备等；</w:t>
      </w:r>
    </w:p>
    <w:p w14:paraId="49770E3D">
      <w:pPr>
        <w:pStyle w:val="43"/>
        <w:numPr>
          <w:ilvl w:val="1"/>
          <w:numId w:val="65"/>
        </w:numPr>
        <w:tabs>
          <w:tab w:val="left" w:pos="0"/>
        </w:tabs>
        <w:spacing w:before="161"/>
        <w:ind w:left="-3" w:leftChars="0" w:firstLine="3" w:firstLineChars="0"/>
        <w:rPr>
          <w:sz w:val="24"/>
        </w:rPr>
      </w:pPr>
      <w:r>
        <w:rPr>
          <w:sz w:val="24"/>
        </w:rPr>
        <w:t>禁止故意刁难承包人以谋取私利，损害委托人的合法利益。</w:t>
      </w:r>
    </w:p>
    <w:p w14:paraId="3CEE88B3">
      <w:pPr>
        <w:pStyle w:val="3"/>
        <w:spacing w:before="158" w:line="364" w:lineRule="auto"/>
        <w:ind w:right="230" w:firstLine="480"/>
        <w:jc w:val="both"/>
      </w:pPr>
      <w:r>
        <w:t>凡违反以上任一项约定者，一经查实，监理人应立即清退该监理人员，承担严重违约责任 1 次；情节严重的，委托人有权部分解除合同或解除合同，向有关部门反映情况，追究监理人及有关责任人相关责任，要求赔偿相应损失，同时将上述违反职业道德的行为通过新闻媒体公</w:t>
      </w:r>
      <w:r>
        <w:rPr>
          <w:rFonts w:hint="eastAsia"/>
          <w:lang w:val="en-US" w:eastAsia="zh-CN"/>
        </w:rPr>
        <w:t>之</w:t>
      </w:r>
      <w:r>
        <w:t>于众，甚至移交司法机关处理。</w:t>
      </w:r>
    </w:p>
    <w:p w14:paraId="1CCA2CD2">
      <w:pPr>
        <w:pStyle w:val="43"/>
        <w:numPr>
          <w:ilvl w:val="0"/>
          <w:numId w:val="65"/>
        </w:numPr>
        <w:tabs>
          <w:tab w:val="left" w:pos="1191"/>
        </w:tabs>
        <w:spacing w:line="364" w:lineRule="auto"/>
        <w:ind w:right="230" w:firstLine="360"/>
        <w:jc w:val="both"/>
        <w:rPr>
          <w:sz w:val="24"/>
        </w:rPr>
      </w:pPr>
      <w:r>
        <w:rPr>
          <w:sz w:val="24"/>
        </w:rPr>
        <w:t>监理人违约行为的直接责任人，其行为致使监理人承担严重违约责任（或相当于严重违约责任）1 次，或主管人员因其下属的行为致使监理人承担严重违约责任（或相当于严重违约责任）累计次数达到 3 次，委托人认为该直接责任人或主管人员已不适于继续担任本合同工程的监理工作的，有权要求监理人限期更换该人员。于此情形下，监理人应无条件接受，并承担由此引起的后果及费用；如监理人拒不执行，则自委托人向监理人发出更换要求 7 日后起算，委托人可认为该岗位已空缺，并按专用条款第 4.1.1.4.1（3）款的约定处理。</w:t>
      </w:r>
    </w:p>
    <w:p w14:paraId="57657E66">
      <w:pPr>
        <w:pStyle w:val="43"/>
        <w:numPr>
          <w:ilvl w:val="0"/>
          <w:numId w:val="65"/>
        </w:numPr>
        <w:tabs>
          <w:tab w:val="left" w:pos="1191"/>
        </w:tabs>
        <w:spacing w:before="54" w:line="364" w:lineRule="auto"/>
        <w:ind w:right="230" w:firstLine="360"/>
        <w:jc w:val="both"/>
        <w:rPr>
          <w:sz w:val="24"/>
        </w:rPr>
      </w:pPr>
      <w:r>
        <w:rPr>
          <w:sz w:val="24"/>
        </w:rPr>
        <w:t>除上述约定之外，监理人违反本合同约定的其他义务的，均构成违约，委托人有权视具体情况给予监理人书面警告并要求限期改正。此情形下，若监理人拒不限期改正的，承担一般违约责任 1 次；情节严重的，承担严重违约责任 1 次。</w:t>
      </w:r>
    </w:p>
    <w:p w14:paraId="06FC659F">
      <w:pPr>
        <w:pStyle w:val="43"/>
        <w:numPr>
          <w:ilvl w:val="0"/>
          <w:numId w:val="0"/>
        </w:numPr>
        <w:tabs>
          <w:tab w:val="left" w:pos="1604"/>
        </w:tabs>
        <w:spacing w:line="307" w:lineRule="exact"/>
        <w:ind w:firstLine="480" w:firstLineChars="200"/>
        <w:jc w:val="both"/>
        <w:rPr>
          <w:sz w:val="24"/>
        </w:rPr>
      </w:pPr>
      <w:r>
        <w:rPr>
          <w:rFonts w:hint="eastAsia"/>
          <w:sz w:val="24"/>
          <w:lang w:val="en-US" w:eastAsia="zh-CN"/>
        </w:rPr>
        <w:t>4.1.1.5</w:t>
      </w:r>
      <w:r>
        <w:rPr>
          <w:sz w:val="24"/>
        </w:rPr>
        <w:t>监理人违约责任的认定方式及送达程序</w:t>
      </w:r>
    </w:p>
    <w:p w14:paraId="48B2A336">
      <w:pPr>
        <w:pStyle w:val="43"/>
        <w:numPr>
          <w:ilvl w:val="0"/>
          <w:numId w:val="0"/>
        </w:numPr>
        <w:spacing w:before="161"/>
        <w:ind w:leftChars="0" w:firstLine="480" w:firstLineChars="200"/>
        <w:rPr>
          <w:sz w:val="24"/>
        </w:rPr>
      </w:pPr>
      <w:r>
        <w:rPr>
          <w:rFonts w:hint="eastAsia"/>
          <w:sz w:val="24"/>
          <w:lang w:eastAsia="zh-CN"/>
        </w:rPr>
        <w:t>（</w:t>
      </w:r>
      <w:r>
        <w:rPr>
          <w:rFonts w:hint="eastAsia"/>
          <w:sz w:val="24"/>
          <w:lang w:val="en-US" w:eastAsia="zh-CN"/>
        </w:rPr>
        <w:t>1）</w:t>
      </w:r>
      <w:r>
        <w:rPr>
          <w:sz w:val="24"/>
        </w:rPr>
        <w:t>认定方式：以委托人发出的通知、通报、会议纪要等书面文件确定的内容为准。</w:t>
      </w:r>
    </w:p>
    <w:p w14:paraId="3C1B463D">
      <w:pPr>
        <w:pStyle w:val="43"/>
        <w:numPr>
          <w:ilvl w:val="0"/>
          <w:numId w:val="0"/>
        </w:numPr>
        <w:spacing w:before="158"/>
        <w:ind w:leftChars="0" w:firstLine="480" w:firstLineChars="200"/>
        <w:rPr>
          <w:sz w:val="24"/>
        </w:rPr>
      </w:pPr>
      <w:r>
        <w:rPr>
          <w:rFonts w:hint="eastAsia"/>
          <w:sz w:val="24"/>
          <w:lang w:eastAsia="zh-CN"/>
        </w:rPr>
        <w:t>（</w:t>
      </w:r>
      <w:r>
        <w:rPr>
          <w:rFonts w:hint="eastAsia"/>
          <w:sz w:val="24"/>
          <w:lang w:val="en-US" w:eastAsia="zh-CN"/>
        </w:rPr>
        <w:t>2）</w:t>
      </w:r>
      <w:r>
        <w:rPr>
          <w:sz w:val="24"/>
        </w:rPr>
        <w:t>送达程序：委托人通过下列方式之一将书面违约处理决定送达监理人：</w:t>
      </w:r>
    </w:p>
    <w:p w14:paraId="6FA1BEEF">
      <w:pPr>
        <w:pStyle w:val="43"/>
        <w:numPr>
          <w:ilvl w:val="1"/>
          <w:numId w:val="66"/>
        </w:numPr>
        <w:spacing w:before="160"/>
        <w:ind w:left="0" w:leftChars="0" w:hanging="4" w:firstLineChars="0"/>
        <w:rPr>
          <w:sz w:val="24"/>
        </w:rPr>
      </w:pPr>
      <w:r>
        <w:rPr>
          <w:sz w:val="24"/>
        </w:rPr>
        <w:t>监理人工地现场项目监理机构人员签收；</w:t>
      </w:r>
    </w:p>
    <w:p w14:paraId="62CF7F3B">
      <w:pPr>
        <w:pStyle w:val="43"/>
        <w:numPr>
          <w:ilvl w:val="1"/>
          <w:numId w:val="66"/>
        </w:numPr>
        <w:spacing w:before="158"/>
        <w:ind w:left="0" w:leftChars="0" w:hanging="4" w:firstLineChars="0"/>
        <w:rPr>
          <w:sz w:val="24"/>
        </w:rPr>
      </w:pPr>
      <w:r>
        <w:rPr>
          <w:sz w:val="24"/>
        </w:rPr>
        <w:t>监理人其他工作人员签收；</w:t>
      </w:r>
    </w:p>
    <w:p w14:paraId="33C44525">
      <w:pPr>
        <w:pStyle w:val="43"/>
        <w:numPr>
          <w:ilvl w:val="1"/>
          <w:numId w:val="66"/>
        </w:numPr>
        <w:spacing w:before="161"/>
        <w:ind w:left="0" w:leftChars="0" w:hanging="4" w:firstLineChars="0"/>
        <w:rPr>
          <w:sz w:val="24"/>
        </w:rPr>
      </w:pPr>
      <w:r>
        <w:rPr>
          <w:sz w:val="24"/>
        </w:rPr>
        <w:t>委托人邮寄送达。</w:t>
      </w:r>
    </w:p>
    <w:p w14:paraId="62C369DD">
      <w:pPr>
        <w:pStyle w:val="43"/>
        <w:numPr>
          <w:ilvl w:val="0"/>
          <w:numId w:val="0"/>
        </w:numPr>
        <w:tabs>
          <w:tab w:val="left" w:pos="1191"/>
        </w:tabs>
        <w:spacing w:before="158" w:line="364" w:lineRule="auto"/>
        <w:ind w:right="233" w:rightChars="0" w:firstLine="480" w:firstLineChars="200"/>
        <w:jc w:val="both"/>
        <w:rPr>
          <w:sz w:val="24"/>
        </w:rPr>
      </w:pPr>
      <w:r>
        <w:rPr>
          <w:rFonts w:hint="eastAsia"/>
          <w:sz w:val="24"/>
          <w:lang w:eastAsia="zh-CN"/>
        </w:rPr>
        <w:t>（</w:t>
      </w:r>
      <w:r>
        <w:rPr>
          <w:rFonts w:hint="eastAsia"/>
          <w:sz w:val="24"/>
          <w:lang w:val="en-US" w:eastAsia="zh-CN"/>
        </w:rPr>
        <w:t>3）</w:t>
      </w:r>
      <w:r>
        <w:rPr>
          <w:sz w:val="24"/>
        </w:rPr>
        <w:t>委托人以书面形式作出的违约处理决定一经送达监理人立即生效。监理人如有足够证据证明不应由其承担违约责任的，应在收到违约处理决定后 3 天内以书面形式向委托</w:t>
      </w:r>
    </w:p>
    <w:p w14:paraId="2E6A36EA">
      <w:pPr>
        <w:pStyle w:val="3"/>
        <w:spacing w:line="364" w:lineRule="auto"/>
        <w:ind w:right="233"/>
        <w:jc w:val="both"/>
      </w:pPr>
      <w:r>
        <w:t>人提出异议并附上有关证据。委托人在收到监理人的异议后 15 天内审核完毕，作出书面决定并通知监理人。</w:t>
      </w:r>
    </w:p>
    <w:p w14:paraId="07581A1B">
      <w:pPr>
        <w:pStyle w:val="43"/>
        <w:numPr>
          <w:ilvl w:val="0"/>
          <w:numId w:val="0"/>
        </w:numPr>
        <w:tabs>
          <w:tab w:val="left" w:pos="1191"/>
        </w:tabs>
        <w:spacing w:line="364" w:lineRule="auto"/>
        <w:ind w:right="230" w:rightChars="0" w:firstLine="480" w:firstLineChars="200"/>
        <w:jc w:val="both"/>
        <w:rPr>
          <w:sz w:val="24"/>
        </w:rPr>
      </w:pPr>
      <w:r>
        <w:rPr>
          <w:rFonts w:hint="eastAsia"/>
          <w:sz w:val="24"/>
          <w:lang w:eastAsia="zh-CN"/>
        </w:rPr>
        <w:t>（</w:t>
      </w:r>
      <w:r>
        <w:rPr>
          <w:rFonts w:hint="eastAsia"/>
          <w:sz w:val="24"/>
          <w:lang w:val="en-US" w:eastAsia="zh-CN"/>
        </w:rPr>
        <w:t>4）</w:t>
      </w:r>
      <w:r>
        <w:rPr>
          <w:sz w:val="24"/>
        </w:rPr>
        <w:t>监理人承诺严格按照合同和招投标文件规定履行义务，并同意委托人将其执行国家强制性规范、标准和履行合同、招投标文件义务的情况（包括但不限于由委托人组织的考核、考评通报、违约责任处理决定等）在委托人网站和其他媒体上公开披露。</w:t>
      </w:r>
    </w:p>
    <w:p w14:paraId="7D7B08A9">
      <w:pPr>
        <w:pStyle w:val="13"/>
        <w:numPr>
          <w:ilvl w:val="0"/>
          <w:numId w:val="16"/>
        </w:numPr>
        <w:tabs>
          <w:tab w:val="left" w:pos="1068"/>
        </w:tabs>
        <w:spacing w:before="156"/>
        <w:ind w:left="1068" w:hanging="284"/>
      </w:pPr>
      <w:r>
        <w:rPr>
          <w:rFonts w:hint="eastAsia" w:ascii="宋体" w:hAnsi="宋体" w:eastAsia="宋体" w:cs="宋体"/>
          <w:sz w:val="24"/>
          <w:szCs w:val="24"/>
        </w:rPr>
        <w:t>支付</w:t>
      </w:r>
    </w:p>
    <w:p w14:paraId="2FD46953">
      <w:pPr>
        <w:pStyle w:val="14"/>
        <w:numPr>
          <w:ilvl w:val="1"/>
          <w:numId w:val="16"/>
        </w:numPr>
        <w:tabs>
          <w:tab w:val="left" w:pos="1131"/>
        </w:tabs>
        <w:spacing w:before="185"/>
        <w:ind w:hanging="426"/>
        <w:jc w:val="both"/>
      </w:pPr>
      <w:r>
        <w:t>支付货币</w:t>
      </w:r>
    </w:p>
    <w:p w14:paraId="17A4A271">
      <w:pPr>
        <w:pStyle w:val="3"/>
        <w:spacing w:before="161"/>
        <w:ind w:left="703"/>
      </w:pPr>
      <w:r>
        <w:t>委托人与监理人双方同意用人民币支付本合同涉及的款项。</w:t>
      </w:r>
    </w:p>
    <w:p w14:paraId="43CC85E8">
      <w:pPr>
        <w:pStyle w:val="14"/>
        <w:numPr>
          <w:ilvl w:val="1"/>
          <w:numId w:val="16"/>
        </w:numPr>
        <w:tabs>
          <w:tab w:val="left" w:pos="1131"/>
        </w:tabs>
        <w:spacing w:before="160"/>
        <w:ind w:hanging="426"/>
        <w:jc w:val="both"/>
      </w:pPr>
      <w:r>
        <w:t>支付申请</w:t>
      </w:r>
    </w:p>
    <w:p w14:paraId="01B2EFDE">
      <w:pPr>
        <w:pStyle w:val="3"/>
        <w:spacing w:before="158" w:line="364" w:lineRule="auto"/>
        <w:ind w:right="233" w:firstLine="480"/>
        <w:jc w:val="both"/>
      </w:pPr>
      <w:r>
        <w:t>双方一致同意不适用通用条款第 5.2 款的约定。监理酬金的支付时间按委托监理协议书第三条的约定执行。</w:t>
      </w:r>
    </w:p>
    <w:p w14:paraId="44C09FFA">
      <w:pPr>
        <w:pStyle w:val="14"/>
        <w:numPr>
          <w:ilvl w:val="1"/>
          <w:numId w:val="16"/>
        </w:numPr>
        <w:tabs>
          <w:tab w:val="left" w:pos="1131"/>
        </w:tabs>
        <w:spacing w:line="306" w:lineRule="exact"/>
        <w:ind w:hanging="426"/>
        <w:jc w:val="both"/>
      </w:pPr>
      <w:r>
        <w:t>支付酬金</w:t>
      </w:r>
    </w:p>
    <w:p w14:paraId="6A08A73D">
      <w:pPr>
        <w:pStyle w:val="3"/>
        <w:spacing w:before="161" w:line="362" w:lineRule="auto"/>
        <w:ind w:right="233" w:firstLine="480"/>
        <w:jc w:val="both"/>
      </w:pPr>
      <w:r>
        <w:t>双方一致同意不适用通用条款第 5.3 款的约定。监理酬金的计算方法、支付时间与金额按委托监理协议书第三条的约定执行。</w:t>
      </w:r>
    </w:p>
    <w:p w14:paraId="24F328C2">
      <w:pPr>
        <w:pStyle w:val="43"/>
        <w:numPr>
          <w:ilvl w:val="1"/>
          <w:numId w:val="16"/>
        </w:numPr>
        <w:tabs>
          <w:tab w:val="left" w:pos="1131"/>
        </w:tabs>
        <w:spacing w:before="5" w:line="364" w:lineRule="auto"/>
        <w:ind w:left="223" w:right="230" w:firstLine="482"/>
        <w:jc w:val="both"/>
        <w:rPr>
          <w:sz w:val="24"/>
        </w:rPr>
      </w:pPr>
      <w:r>
        <w:rPr>
          <w:sz w:val="24"/>
        </w:rPr>
        <w:t>双方一致同意不适用通用条款第 5.4 款的约定。监理人申请委托人付款应向委托人提交正副本四份本次付款申请以及发票、收据和其他合适的证明材料。委托人在收到监理人附有证明材料的付款申请并经委托人审核确认后 30 日内进行支付。</w:t>
      </w:r>
    </w:p>
    <w:p w14:paraId="2BCD61BE">
      <w:pPr>
        <w:pStyle w:val="3"/>
        <w:ind w:left="0"/>
      </w:pPr>
    </w:p>
    <w:p w14:paraId="7D511B46">
      <w:pPr>
        <w:pStyle w:val="13"/>
        <w:numPr>
          <w:ilvl w:val="0"/>
          <w:numId w:val="16"/>
        </w:numPr>
        <w:tabs>
          <w:tab w:val="left" w:pos="1068"/>
        </w:tabs>
        <w:spacing w:before="155"/>
        <w:ind w:left="1068" w:hanging="284"/>
        <w:rPr>
          <w:sz w:val="24"/>
          <w:szCs w:val="24"/>
        </w:rPr>
      </w:pPr>
      <w:r>
        <w:rPr>
          <w:sz w:val="24"/>
          <w:szCs w:val="24"/>
        </w:rPr>
        <w:t>合同生效、变更、暂停、解除与终止</w:t>
      </w:r>
    </w:p>
    <w:p w14:paraId="33B21532">
      <w:pPr>
        <w:pStyle w:val="14"/>
        <w:numPr>
          <w:ilvl w:val="1"/>
          <w:numId w:val="67"/>
        </w:numPr>
        <w:tabs>
          <w:tab w:val="left" w:pos="1131"/>
        </w:tabs>
        <w:spacing w:before="54"/>
        <w:ind w:hanging="426"/>
        <w:jc w:val="both"/>
      </w:pPr>
      <w:r>
        <w:t>变更</w:t>
      </w:r>
    </w:p>
    <w:p w14:paraId="467B94AE">
      <w:pPr>
        <w:pStyle w:val="43"/>
        <w:numPr>
          <w:ilvl w:val="2"/>
          <w:numId w:val="68"/>
        </w:numPr>
        <w:tabs>
          <w:tab w:val="left" w:pos="1364"/>
        </w:tabs>
        <w:spacing w:before="161" w:line="364" w:lineRule="auto"/>
        <w:ind w:right="230" w:firstLine="480"/>
        <w:jc w:val="both"/>
        <w:rPr>
          <w:sz w:val="24"/>
        </w:rPr>
      </w:pPr>
      <w:r>
        <w:rPr>
          <w:sz w:val="24"/>
        </w:rPr>
        <w:t>双方一致同意不适用通用条款第 6.2.2 款的约定。除不可抗力外，因非监理人原因导致监理人履行合同期限延长、内容增加时，则监理人应当将此情况与可能产生的影响及时通知委托人，完成监理业务的时间相应延长，监理酬金不变。</w:t>
      </w:r>
    </w:p>
    <w:p w14:paraId="51664667">
      <w:pPr>
        <w:pStyle w:val="43"/>
        <w:numPr>
          <w:ilvl w:val="2"/>
          <w:numId w:val="68"/>
        </w:numPr>
        <w:tabs>
          <w:tab w:val="left" w:pos="1388"/>
        </w:tabs>
        <w:spacing w:line="364" w:lineRule="auto"/>
        <w:ind w:right="230" w:firstLine="480"/>
        <w:jc w:val="both"/>
        <w:rPr>
          <w:sz w:val="24"/>
        </w:rPr>
      </w:pPr>
      <w:r>
        <w:rPr>
          <w:sz w:val="24"/>
        </w:rPr>
        <w:t>双方一致同意不适用通用条款第 6.2.3 款的约定。合同生效后，如果实际情况发生变化使得监理人不能完成全部或部分工作时，监理人应立即通知委托人，该监理业务的完成时间应予延长。当恢复执行监理业务时，监理人应当立即恢复执行监理业务，监理酬金不变。</w:t>
      </w:r>
    </w:p>
    <w:p w14:paraId="18B43A52">
      <w:pPr>
        <w:pStyle w:val="43"/>
        <w:numPr>
          <w:ilvl w:val="2"/>
          <w:numId w:val="68"/>
        </w:numPr>
        <w:tabs>
          <w:tab w:val="left" w:pos="1388"/>
        </w:tabs>
        <w:spacing w:line="364" w:lineRule="auto"/>
        <w:ind w:right="233" w:firstLine="480"/>
        <w:jc w:val="both"/>
        <w:rPr>
          <w:sz w:val="24"/>
        </w:rPr>
      </w:pPr>
      <w:r>
        <w:rPr>
          <w:sz w:val="24"/>
        </w:rPr>
        <w:t>双方一致同意不适用通用条款第 6.2.4 款的约定。合同签订后，遇有与工程相关的法律法规、标准颁布或修订的，双方应遵照执行，由此引起监理人工作的变化均应视为本合同约定的监理工作，监理酬金不变。</w:t>
      </w:r>
    </w:p>
    <w:p w14:paraId="22096F64">
      <w:pPr>
        <w:pStyle w:val="43"/>
        <w:numPr>
          <w:ilvl w:val="2"/>
          <w:numId w:val="68"/>
        </w:numPr>
        <w:tabs>
          <w:tab w:val="left" w:pos="1364"/>
        </w:tabs>
        <w:spacing w:line="364" w:lineRule="auto"/>
        <w:ind w:right="240" w:firstLine="480"/>
        <w:jc w:val="both"/>
        <w:rPr>
          <w:sz w:val="24"/>
        </w:rPr>
      </w:pPr>
      <w:r>
        <w:rPr>
          <w:sz w:val="24"/>
        </w:rPr>
        <w:t>因非监理人原因造成工程概算投资额或建筑安装工程费增加时，正常工作酬金应作相应调整，调整方法按委托监理协议书第三条的约定执行。</w:t>
      </w:r>
    </w:p>
    <w:p w14:paraId="4030F543">
      <w:pPr>
        <w:pStyle w:val="43"/>
        <w:numPr>
          <w:ilvl w:val="2"/>
          <w:numId w:val="68"/>
        </w:numPr>
        <w:tabs>
          <w:tab w:val="left" w:pos="1364"/>
        </w:tabs>
        <w:spacing w:line="364" w:lineRule="auto"/>
        <w:ind w:right="233" w:firstLine="480"/>
        <w:jc w:val="both"/>
        <w:rPr>
          <w:sz w:val="24"/>
        </w:rPr>
      </w:pPr>
      <w:r>
        <w:rPr>
          <w:sz w:val="24"/>
        </w:rPr>
        <w:t>因工程规模、监理范围的变化导致监理人的正常工作量减少时，正常工作酬金应作相应调整，调整方法按委托监理协议书第三条的约定执行。</w:t>
      </w:r>
    </w:p>
    <w:p w14:paraId="35E836C5">
      <w:pPr>
        <w:pStyle w:val="43"/>
        <w:numPr>
          <w:ilvl w:val="2"/>
          <w:numId w:val="68"/>
        </w:numPr>
        <w:tabs>
          <w:tab w:val="left" w:pos="1364"/>
        </w:tabs>
        <w:spacing w:line="364" w:lineRule="auto"/>
        <w:ind w:right="161" w:firstLine="480"/>
        <w:jc w:val="both"/>
        <w:rPr>
          <w:sz w:val="24"/>
        </w:rPr>
      </w:pPr>
      <w:r>
        <w:rPr>
          <w:sz w:val="24"/>
        </w:rPr>
        <w:t>本合同未经双方协商一致，不得变更。本合同的修改（包括服务范围的修改）， 只能以双方书面同意的方式进行。但由于建设项目施工过程的特殊性，委托人有调整局部服务范围的权利，即部分解除或部分增加服务范围，并按委托监理协议书第三条的有关约定结算监理酬金。</w:t>
      </w:r>
    </w:p>
    <w:p w14:paraId="0E678058">
      <w:pPr>
        <w:pStyle w:val="14"/>
        <w:numPr>
          <w:ilvl w:val="1"/>
          <w:numId w:val="67"/>
        </w:numPr>
        <w:tabs>
          <w:tab w:val="left" w:pos="1131"/>
        </w:tabs>
        <w:ind w:hanging="426"/>
        <w:jc w:val="both"/>
      </w:pPr>
      <w:r>
        <w:t>暂停与解除</w:t>
      </w:r>
    </w:p>
    <w:p w14:paraId="52E1C6A6">
      <w:pPr>
        <w:pStyle w:val="3"/>
        <w:spacing w:before="10"/>
        <w:ind w:left="0"/>
        <w:rPr>
          <w:b/>
          <w:sz w:val="17"/>
        </w:rPr>
      </w:pPr>
    </w:p>
    <w:p w14:paraId="389B94CD">
      <w:pPr>
        <w:pStyle w:val="3"/>
        <w:spacing w:before="1" w:line="364" w:lineRule="auto"/>
        <w:ind w:right="233" w:firstLine="480"/>
      </w:pPr>
      <w:r>
        <w:t>本合同未经双方协商一致，不得暂停或解除。委托人根据本合同的约定单方面部分或全部解除本合同的，自委托人书面通知监理人时起部分或全部解除本合同即生效。</w:t>
      </w:r>
    </w:p>
    <w:p w14:paraId="0C29C045">
      <w:pPr>
        <w:pStyle w:val="43"/>
        <w:numPr>
          <w:ilvl w:val="0"/>
          <w:numId w:val="0"/>
        </w:numPr>
        <w:tabs>
          <w:tab w:val="left" w:pos="1388"/>
        </w:tabs>
        <w:spacing w:line="229" w:lineRule="exact"/>
        <w:ind w:firstLine="480" w:firstLineChars="200"/>
        <w:rPr>
          <w:sz w:val="24"/>
        </w:rPr>
      </w:pPr>
      <w:r>
        <w:rPr>
          <w:rFonts w:hint="eastAsia"/>
          <w:sz w:val="24"/>
          <w:lang w:val="en-US" w:eastAsia="zh-CN"/>
        </w:rPr>
        <w:t>6.3.1</w:t>
      </w:r>
      <w:r>
        <w:rPr>
          <w:sz w:val="24"/>
        </w:rPr>
        <w:t>双方一致同意不适用通用条款第 6.3.1 款的约定。在本合同有效期内，由于双</w:t>
      </w:r>
    </w:p>
    <w:p w14:paraId="523F43BE">
      <w:pPr>
        <w:pStyle w:val="3"/>
        <w:spacing w:before="160" w:line="364" w:lineRule="auto"/>
        <w:ind w:right="223"/>
        <w:jc w:val="both"/>
      </w:pPr>
      <w:r>
        <w:t>方无法预见和控制的原因导致本合同全部或部分无法继续履行或继续履行已无意义，则监理人必须接受终止服务并积极配合委托人做好善后工作，按已实际完成的监理服务内容和本合同的相关约定结清监理酬金，监理人不得要求额外的费用及任何形式的补偿。</w:t>
      </w:r>
    </w:p>
    <w:p w14:paraId="2B94E46B">
      <w:pPr>
        <w:pStyle w:val="43"/>
        <w:numPr>
          <w:ilvl w:val="0"/>
          <w:numId w:val="0"/>
        </w:numPr>
        <w:tabs>
          <w:tab w:val="left" w:pos="1364"/>
        </w:tabs>
        <w:spacing w:line="305" w:lineRule="exact"/>
        <w:ind w:firstLine="480" w:firstLineChars="200"/>
        <w:rPr>
          <w:sz w:val="24"/>
        </w:rPr>
      </w:pPr>
      <w:r>
        <w:rPr>
          <w:rFonts w:hint="eastAsia"/>
          <w:sz w:val="24"/>
          <w:lang w:val="en-US" w:eastAsia="zh-CN"/>
        </w:rPr>
        <w:t>6.3.2</w:t>
      </w:r>
      <w:r>
        <w:rPr>
          <w:sz w:val="24"/>
        </w:rPr>
        <w:t>双方一致同意不适用通用条款第 6.3.2 款的约定。</w:t>
      </w:r>
    </w:p>
    <w:p w14:paraId="1F813ECE">
      <w:pPr>
        <w:pStyle w:val="43"/>
        <w:numPr>
          <w:ilvl w:val="0"/>
          <w:numId w:val="0"/>
        </w:numPr>
        <w:tabs>
          <w:tab w:val="left" w:pos="1364"/>
        </w:tabs>
        <w:spacing w:before="161" w:line="362" w:lineRule="auto"/>
        <w:ind w:right="233" w:rightChars="0" w:firstLine="480" w:firstLineChars="200"/>
        <w:rPr>
          <w:sz w:val="24"/>
        </w:rPr>
      </w:pPr>
      <w:r>
        <w:rPr>
          <w:rFonts w:hint="eastAsia"/>
          <w:sz w:val="24"/>
          <w:lang w:val="en-US" w:eastAsia="zh-CN"/>
        </w:rPr>
        <w:t>6.3.3</w:t>
      </w:r>
      <w:r>
        <w:rPr>
          <w:sz w:val="24"/>
        </w:rPr>
        <w:t>双方一致同意不适用通用条款第 6.3.3 款的约定。当委托人认为监理人无正当理由而又未履行监理义务时，按专用条款第 4.1 款的约定处理。</w:t>
      </w:r>
    </w:p>
    <w:p w14:paraId="24487CC8">
      <w:pPr>
        <w:pStyle w:val="43"/>
        <w:numPr>
          <w:ilvl w:val="0"/>
          <w:numId w:val="0"/>
        </w:numPr>
        <w:tabs>
          <w:tab w:val="left" w:pos="1364"/>
        </w:tabs>
        <w:spacing w:before="5"/>
        <w:ind w:firstLine="480" w:firstLineChars="200"/>
        <w:rPr>
          <w:sz w:val="24"/>
        </w:rPr>
      </w:pPr>
      <w:r>
        <w:rPr>
          <w:rFonts w:hint="eastAsia"/>
          <w:sz w:val="24"/>
          <w:lang w:val="en-US" w:eastAsia="zh-CN"/>
        </w:rPr>
        <w:t>6.3.4</w:t>
      </w:r>
      <w:r>
        <w:rPr>
          <w:sz w:val="24"/>
        </w:rPr>
        <w:t>双方一致同意不适用通用条款第 6.3.4 款的约定。</w:t>
      </w:r>
    </w:p>
    <w:p w14:paraId="3B261071">
      <w:pPr>
        <w:pStyle w:val="14"/>
        <w:numPr>
          <w:ilvl w:val="1"/>
          <w:numId w:val="67"/>
        </w:numPr>
        <w:tabs>
          <w:tab w:val="left" w:pos="1131"/>
        </w:tabs>
        <w:spacing w:before="158"/>
        <w:ind w:hanging="426"/>
      </w:pPr>
      <w:r>
        <w:t>终止</w:t>
      </w:r>
    </w:p>
    <w:p w14:paraId="709F6218">
      <w:pPr>
        <w:pStyle w:val="3"/>
        <w:spacing w:before="54" w:line="364" w:lineRule="auto"/>
        <w:ind w:right="233" w:firstLine="480"/>
        <w:jc w:val="both"/>
      </w:pPr>
      <w:r>
        <w:t>双方一致同意不适用通用条款第 6.4 款的约定，本合同的终止按委托监理协议书第十条的约定执行。</w:t>
      </w:r>
    </w:p>
    <w:p w14:paraId="09CCB46C">
      <w:pPr>
        <w:pStyle w:val="13"/>
        <w:numPr>
          <w:ilvl w:val="0"/>
          <w:numId w:val="16"/>
        </w:numPr>
        <w:tabs>
          <w:tab w:val="left" w:pos="1068"/>
        </w:tabs>
        <w:spacing w:before="158"/>
        <w:ind w:left="1068" w:hanging="284"/>
        <w:rPr>
          <w:rFonts w:hint="eastAsia" w:ascii="宋体" w:hAnsi="宋体" w:eastAsia="宋体" w:cs="宋体"/>
          <w:sz w:val="24"/>
          <w:szCs w:val="24"/>
        </w:rPr>
      </w:pPr>
      <w:r>
        <w:rPr>
          <w:rFonts w:hint="eastAsia" w:ascii="宋体" w:hAnsi="宋体" w:eastAsia="宋体" w:cs="宋体"/>
          <w:sz w:val="24"/>
          <w:szCs w:val="24"/>
        </w:rPr>
        <w:t>争议解决</w:t>
      </w:r>
    </w:p>
    <w:p w14:paraId="53F0857F">
      <w:pPr>
        <w:pStyle w:val="14"/>
        <w:numPr>
          <w:ilvl w:val="1"/>
          <w:numId w:val="69"/>
        </w:numPr>
        <w:tabs>
          <w:tab w:val="left" w:pos="1131"/>
        </w:tabs>
        <w:spacing w:before="187"/>
        <w:ind w:hanging="426"/>
        <w:jc w:val="both"/>
      </w:pPr>
      <w:r>
        <w:t>调解</w:t>
      </w:r>
    </w:p>
    <w:p w14:paraId="008845E6">
      <w:pPr>
        <w:pStyle w:val="3"/>
        <w:spacing w:before="161"/>
        <w:ind w:left="703"/>
      </w:pPr>
      <w:r>
        <w:t>双方一致同意不适用通用条款第 7.2 款的约定。</w:t>
      </w:r>
    </w:p>
    <w:p w14:paraId="29F00CCE">
      <w:pPr>
        <w:pStyle w:val="14"/>
        <w:numPr>
          <w:ilvl w:val="1"/>
          <w:numId w:val="69"/>
        </w:numPr>
        <w:tabs>
          <w:tab w:val="left" w:pos="1131"/>
        </w:tabs>
        <w:spacing w:before="158"/>
        <w:ind w:hanging="426"/>
        <w:jc w:val="both"/>
      </w:pPr>
      <w:r>
        <w:t>诉讼</w:t>
      </w:r>
    </w:p>
    <w:p w14:paraId="1A8F9300">
      <w:pPr>
        <w:pStyle w:val="3"/>
        <w:spacing w:before="161" w:line="364" w:lineRule="auto"/>
        <w:ind w:right="230" w:firstLine="480"/>
        <w:jc w:val="both"/>
      </w:pPr>
      <w:r>
        <w:t>因履行本合同发生或与本合同有关的争议，双方当事人应友好协商解决。如在一周内未能解决，委托人可先行单方面作出处理决定，任何一方均可向</w:t>
      </w:r>
      <w:r>
        <w:rPr>
          <w:rFonts w:hint="eastAsia"/>
          <w:lang w:val="en-US" w:eastAsia="zh-CN"/>
        </w:rPr>
        <w:t>广州市越秀区</w:t>
      </w:r>
      <w:r>
        <w:t>人民法院提起诉讼，但诉讼不影响委托人同其他监理单位另行签订监理合同。</w:t>
      </w:r>
    </w:p>
    <w:p w14:paraId="28430B15">
      <w:pPr>
        <w:pStyle w:val="13"/>
        <w:numPr>
          <w:ilvl w:val="0"/>
          <w:numId w:val="16"/>
        </w:numPr>
        <w:tabs>
          <w:tab w:val="left" w:pos="1068"/>
        </w:tabs>
        <w:spacing w:before="155"/>
        <w:ind w:left="1068" w:hanging="284"/>
        <w:rPr>
          <w:rFonts w:hint="eastAsia" w:ascii="宋体" w:hAnsi="宋体" w:eastAsia="宋体" w:cs="宋体"/>
          <w:sz w:val="24"/>
          <w:szCs w:val="24"/>
        </w:rPr>
      </w:pPr>
      <w:r>
        <w:rPr>
          <w:rFonts w:hint="eastAsia" w:ascii="宋体" w:hAnsi="宋体" w:eastAsia="宋体" w:cs="宋体"/>
          <w:sz w:val="24"/>
          <w:szCs w:val="24"/>
        </w:rPr>
        <w:t>其他</w:t>
      </w:r>
    </w:p>
    <w:p w14:paraId="419B89AC">
      <w:pPr>
        <w:pStyle w:val="14"/>
        <w:numPr>
          <w:ilvl w:val="1"/>
          <w:numId w:val="16"/>
        </w:numPr>
        <w:tabs>
          <w:tab w:val="left" w:pos="1131"/>
        </w:tabs>
        <w:spacing w:before="188"/>
        <w:ind w:hanging="426"/>
      </w:pPr>
      <w:r>
        <w:t>外出考察费用</w:t>
      </w:r>
    </w:p>
    <w:p w14:paraId="755A9948">
      <w:pPr>
        <w:pStyle w:val="3"/>
        <w:spacing w:before="158" w:line="364" w:lineRule="auto"/>
        <w:ind w:right="89" w:firstLine="480"/>
      </w:pPr>
      <w:r>
        <w:t>双方一致同意不适用通用条款第 8.1 款的约定。委托的建设工程监理所必要的监理人员出外考察、材料设备复试、监造，其费用支出由监理人负责解决。但对于设备监造酬金， 由双方另行约定。</w:t>
      </w:r>
    </w:p>
    <w:p w14:paraId="1C420D27">
      <w:pPr>
        <w:pStyle w:val="14"/>
        <w:numPr>
          <w:ilvl w:val="1"/>
          <w:numId w:val="16"/>
        </w:numPr>
        <w:tabs>
          <w:tab w:val="left" w:pos="1131"/>
        </w:tabs>
        <w:spacing w:line="307" w:lineRule="exact"/>
        <w:ind w:hanging="426"/>
      </w:pPr>
      <w:r>
        <w:t>检测费用</w:t>
      </w:r>
    </w:p>
    <w:p w14:paraId="18E6CCCC">
      <w:pPr>
        <w:pStyle w:val="3"/>
        <w:spacing w:before="158" w:line="364" w:lineRule="auto"/>
        <w:ind w:right="190" w:firstLine="480"/>
      </w:pPr>
      <w:r>
        <w:t>双方一致同意不适用通用条款第 8.2 款的约定。委托的建设工程监理所必要的由监理人进行的材料和设备检测所发生的费用由监理人负责解决。</w:t>
      </w:r>
    </w:p>
    <w:p w14:paraId="1D1DE2BA">
      <w:pPr>
        <w:pStyle w:val="14"/>
        <w:numPr>
          <w:ilvl w:val="1"/>
          <w:numId w:val="16"/>
        </w:numPr>
        <w:tabs>
          <w:tab w:val="left" w:pos="1131"/>
        </w:tabs>
        <w:spacing w:line="306" w:lineRule="exact"/>
        <w:ind w:hanging="426"/>
      </w:pPr>
      <w:r>
        <w:t>咨询费用</w:t>
      </w:r>
    </w:p>
    <w:p w14:paraId="3247B8B0">
      <w:pPr>
        <w:pStyle w:val="3"/>
        <w:spacing w:before="161" w:line="362" w:lineRule="auto"/>
        <w:ind w:right="233" w:firstLine="480"/>
      </w:pPr>
      <w:r>
        <w:t>根据工程需要组织的相关咨询论证会以及聘请相关专家等发生的费用，属监理人组织或聘请的由监理人支付，属委托人或者委托人委托监理人组织或聘请的由委托人支付。</w:t>
      </w:r>
    </w:p>
    <w:p w14:paraId="69B2535D">
      <w:pPr>
        <w:pStyle w:val="14"/>
        <w:numPr>
          <w:ilvl w:val="1"/>
          <w:numId w:val="16"/>
        </w:numPr>
        <w:tabs>
          <w:tab w:val="left" w:pos="1131"/>
        </w:tabs>
        <w:spacing w:before="5"/>
        <w:ind w:hanging="426"/>
      </w:pPr>
      <w:r>
        <w:t>奖励</w:t>
      </w:r>
    </w:p>
    <w:p w14:paraId="7A97EE44">
      <w:pPr>
        <w:pStyle w:val="3"/>
        <w:spacing w:before="160"/>
        <w:ind w:left="703"/>
      </w:pPr>
      <w:r>
        <w:t>双方一致同意不适用通用条款第 8.4 款的约定。</w:t>
      </w:r>
    </w:p>
    <w:p w14:paraId="47D893DE">
      <w:pPr>
        <w:pStyle w:val="14"/>
        <w:spacing w:before="158"/>
        <w:ind w:left="705" w:firstLine="0"/>
      </w:pPr>
      <w:r>
        <w:t>8.6 保密</w:t>
      </w:r>
    </w:p>
    <w:p w14:paraId="2001B95D">
      <w:pPr>
        <w:pStyle w:val="3"/>
        <w:spacing w:before="161" w:line="362" w:lineRule="auto"/>
        <w:ind w:right="233" w:firstLine="480"/>
      </w:pPr>
      <w:r>
        <w:t>在合同期内或合同终止后，未征得有关方同意，不得泄露与本合同工程、本合同业务有关的保密资料。</w:t>
      </w:r>
    </w:p>
    <w:p w14:paraId="3925F243">
      <w:pPr>
        <w:pStyle w:val="14"/>
        <w:spacing w:before="5"/>
        <w:ind w:left="705" w:firstLine="0"/>
      </w:pPr>
      <w:r>
        <w:t>8.8 著作权</w:t>
      </w:r>
    </w:p>
    <w:p w14:paraId="2F21E0AF">
      <w:pPr>
        <w:pStyle w:val="3"/>
        <w:spacing w:before="158"/>
        <w:ind w:left="703"/>
      </w:pPr>
      <w:r>
        <w:t>监理人对其编制的文件拥有著作权，委托人仅有权为本合同工程使用或复制此类文件。</w:t>
      </w:r>
    </w:p>
    <w:p w14:paraId="77FA8E8C">
      <w:pPr>
        <w:pStyle w:val="13"/>
        <w:numPr>
          <w:ilvl w:val="0"/>
          <w:numId w:val="16"/>
        </w:numPr>
        <w:tabs>
          <w:tab w:val="left" w:pos="1068"/>
        </w:tabs>
        <w:spacing w:before="33"/>
        <w:ind w:left="1068" w:hanging="284"/>
      </w:pPr>
      <w:r>
        <w:rPr>
          <w:rFonts w:hint="eastAsia" w:ascii="宋体" w:hAnsi="宋体" w:eastAsia="宋体" w:cs="宋体"/>
          <w:sz w:val="24"/>
          <w:szCs w:val="24"/>
        </w:rPr>
        <w:t>补充条款</w:t>
      </w:r>
    </w:p>
    <w:p w14:paraId="1CE2235D">
      <w:pPr>
        <w:pStyle w:val="3"/>
        <w:spacing w:before="187" w:line="364" w:lineRule="auto"/>
        <w:ind w:right="230" w:firstLine="480"/>
        <w:jc w:val="both"/>
      </w:pPr>
      <w:r>
        <w:t>为了使建设项目施工监理工作更合理、有序地进行，委托人有权对本合同约定的监理范围、监理内容作适当的调整，特别是对本合同监理范围内专业性较强的、有特殊要求的施工内容，委托人将视监理人能力、水平等实际情况，保留另行选择专业技术管理服务队伍的权利，但不因此免除本合同监理人应有的义务和责任。监理人必须不折不扣地按照《建设工程监理规范》（GB/T50319-2013）的规定对本合同工程实施全过程监理，不因委托人另行委托了技术督导等技术管理服务单位而减轻或免除监理人的任何责任及义务，并由其负责技术督导等技术管理服务单位的协调管理工作。</w:t>
      </w:r>
    </w:p>
    <w:p w14:paraId="625FAF6A">
      <w:pPr>
        <w:pStyle w:val="13"/>
        <w:numPr>
          <w:ilvl w:val="0"/>
          <w:numId w:val="16"/>
        </w:numPr>
        <w:tabs>
          <w:tab w:val="left" w:pos="1068"/>
        </w:tabs>
        <w:spacing w:before="33"/>
        <w:ind w:left="1068" w:hanging="284"/>
      </w:pPr>
      <w:r>
        <w:rPr>
          <w:rFonts w:hint="eastAsia" w:ascii="宋体" w:hAnsi="宋体" w:eastAsia="宋体" w:cs="宋体"/>
          <w:sz w:val="24"/>
          <w:szCs w:val="24"/>
          <w:lang w:val="en-US" w:eastAsia="zh-CN"/>
        </w:rPr>
        <w:t>履约保证金</w:t>
      </w:r>
    </w:p>
    <w:p w14:paraId="0C2FB514">
      <w:pPr>
        <w:pStyle w:val="43"/>
        <w:numPr>
          <w:ilvl w:val="0"/>
          <w:numId w:val="0"/>
        </w:numPr>
        <w:tabs>
          <w:tab w:val="left" w:pos="1388"/>
        </w:tabs>
        <w:spacing w:line="364" w:lineRule="auto"/>
        <w:ind w:right="233" w:rightChars="0" w:firstLine="480" w:firstLineChars="200"/>
        <w:jc w:val="both"/>
        <w:rPr>
          <w:rFonts w:hint="eastAsia"/>
          <w:sz w:val="24"/>
          <w:lang w:val="en-US" w:eastAsia="zh-CN"/>
        </w:rPr>
      </w:pPr>
      <w:r>
        <w:rPr>
          <w:rFonts w:hint="eastAsia"/>
          <w:sz w:val="24"/>
          <w:lang w:val="en-US" w:eastAsia="zh-CN"/>
        </w:rPr>
        <w:t>10.1</w:t>
      </w:r>
      <w:r>
        <w:rPr>
          <w:rFonts w:hint="eastAsia" w:ascii="宋体" w:hAnsi="宋体" w:cs="宋体"/>
          <w:bCs/>
          <w:sz w:val="24"/>
          <w:lang w:val="en-US" w:eastAsia="zh-CN"/>
        </w:rPr>
        <w:t>成交供应商需向</w:t>
      </w:r>
      <w:r>
        <w:rPr>
          <w:rFonts w:hint="eastAsia"/>
          <w:sz w:val="24"/>
          <w:lang w:val="en-US" w:eastAsia="zh-CN"/>
        </w:rPr>
        <w:t>采购人缴纳金额为5万元（大写：人民币伍万元整）的履约保证金。服务期满或双方协商解除合同后，采购人将无息退还履约保证金给成交供应商。成交供应商在合同签署15天内不缴纳履约保证金视为放弃此次服务协议，成交供应商将承担所有责任后果。</w:t>
      </w:r>
    </w:p>
    <w:p w14:paraId="68146F0B">
      <w:pPr>
        <w:pStyle w:val="43"/>
        <w:numPr>
          <w:ilvl w:val="0"/>
          <w:numId w:val="0"/>
        </w:numPr>
        <w:tabs>
          <w:tab w:val="left" w:pos="1388"/>
        </w:tabs>
        <w:spacing w:line="364" w:lineRule="auto"/>
        <w:ind w:leftChars="200" w:right="233" w:rightChars="0"/>
        <w:jc w:val="both"/>
        <w:rPr>
          <w:rFonts w:hint="eastAsia"/>
          <w:sz w:val="24"/>
          <w:lang w:val="en-US" w:eastAsia="zh-CN"/>
        </w:rPr>
      </w:pPr>
      <w:r>
        <w:rPr>
          <w:rFonts w:hint="eastAsia"/>
          <w:sz w:val="24"/>
          <w:lang w:val="en-US" w:eastAsia="zh-CN"/>
        </w:rPr>
        <w:t>采购人账号名称：中山大学孙逸仙纪念医院</w:t>
      </w:r>
    </w:p>
    <w:p w14:paraId="2D4E66C4">
      <w:pPr>
        <w:pStyle w:val="43"/>
        <w:numPr>
          <w:ilvl w:val="0"/>
          <w:numId w:val="0"/>
        </w:numPr>
        <w:tabs>
          <w:tab w:val="left" w:pos="1388"/>
        </w:tabs>
        <w:spacing w:line="364" w:lineRule="auto"/>
        <w:ind w:leftChars="200" w:right="233" w:rightChars="0"/>
        <w:jc w:val="both"/>
        <w:rPr>
          <w:rFonts w:hint="eastAsia"/>
          <w:sz w:val="24"/>
          <w:lang w:val="en-US" w:eastAsia="zh-CN"/>
        </w:rPr>
      </w:pPr>
      <w:r>
        <w:rPr>
          <w:rFonts w:hint="eastAsia"/>
          <w:sz w:val="24"/>
          <w:lang w:val="en-US" w:eastAsia="zh-CN"/>
        </w:rPr>
        <w:t>账号：3602000509000704422 </w:t>
      </w:r>
    </w:p>
    <w:p w14:paraId="7625E9EB">
      <w:pPr>
        <w:pStyle w:val="43"/>
        <w:numPr>
          <w:ilvl w:val="0"/>
          <w:numId w:val="0"/>
        </w:numPr>
        <w:tabs>
          <w:tab w:val="left" w:pos="1388"/>
        </w:tabs>
        <w:spacing w:line="364" w:lineRule="auto"/>
        <w:ind w:leftChars="200" w:right="233" w:rightChars="0"/>
        <w:jc w:val="both"/>
        <w:rPr>
          <w:rFonts w:hint="eastAsia"/>
          <w:sz w:val="24"/>
          <w:lang w:val="en-US" w:eastAsia="zh-CN"/>
        </w:rPr>
      </w:pPr>
      <w:r>
        <w:rPr>
          <w:rFonts w:hint="eastAsia"/>
          <w:sz w:val="24"/>
          <w:lang w:val="en-US" w:eastAsia="zh-CN"/>
        </w:rPr>
        <w:t>开户行：广州市工商银行第二支行。</w:t>
      </w:r>
    </w:p>
    <w:p w14:paraId="55079D35">
      <w:pPr>
        <w:pStyle w:val="43"/>
        <w:numPr>
          <w:ilvl w:val="0"/>
          <w:numId w:val="0"/>
        </w:numPr>
        <w:tabs>
          <w:tab w:val="left" w:pos="1388"/>
        </w:tabs>
        <w:spacing w:line="364" w:lineRule="auto"/>
        <w:ind w:right="233" w:rightChars="0" w:firstLine="480" w:firstLineChars="200"/>
        <w:jc w:val="both"/>
        <w:rPr>
          <w:rFonts w:hint="eastAsia"/>
          <w:sz w:val="24"/>
          <w:lang w:val="en-US" w:eastAsia="zh-CN"/>
        </w:rPr>
      </w:pPr>
      <w:r>
        <w:rPr>
          <w:rFonts w:hint="eastAsia"/>
          <w:sz w:val="24"/>
          <w:lang w:val="en-US" w:eastAsia="zh-CN"/>
        </w:rPr>
        <w:t>10.2</w:t>
      </w:r>
      <w:r>
        <w:rPr>
          <w:rFonts w:hint="eastAsia" w:ascii="宋体" w:hAnsi="宋体" w:cs="宋体"/>
          <w:bCs/>
          <w:sz w:val="24"/>
          <w:lang w:val="en-US" w:eastAsia="zh-CN"/>
        </w:rPr>
        <w:t>如提交履约保函，须确保履约保函有效期</w:t>
      </w:r>
      <w:r>
        <w:rPr>
          <w:rFonts w:hint="eastAsia"/>
          <w:sz w:val="24"/>
          <w:lang w:val="en-US" w:eastAsia="zh-CN"/>
        </w:rPr>
        <w:t>覆盖本项目合同履行全过程（含每项工程验收完成进入质量保证期后成交供应商应当按照合同及其附件完成的各项义务）。</w:t>
      </w:r>
    </w:p>
    <w:p w14:paraId="362A2A04">
      <w:pPr>
        <w:pStyle w:val="43"/>
        <w:numPr>
          <w:ilvl w:val="0"/>
          <w:numId w:val="0"/>
        </w:numPr>
        <w:tabs>
          <w:tab w:val="left" w:pos="1388"/>
        </w:tabs>
        <w:spacing w:line="364" w:lineRule="auto"/>
        <w:ind w:right="233" w:rightChars="0" w:firstLine="480" w:firstLineChars="200"/>
        <w:jc w:val="both"/>
        <w:rPr>
          <w:rFonts w:hint="eastAsia"/>
          <w:sz w:val="24"/>
          <w:lang w:val="en-US" w:eastAsia="zh-CN"/>
        </w:rPr>
      </w:pPr>
      <w:r>
        <w:rPr>
          <w:rFonts w:hint="eastAsia"/>
          <w:sz w:val="24"/>
          <w:lang w:val="en-US" w:eastAsia="zh-CN"/>
        </w:rPr>
        <w:t>10.3如在合同执行期间因成交供应商违约导致履约保证金部分扣除的，成交供应商需在5个工作日内将扣除的履约保证金补齐。因成交供应商原因导致提前终止合同时，采购人有权不退回履约保证金给成交供应商。</w:t>
      </w:r>
    </w:p>
    <w:p w14:paraId="40D59F30">
      <w:pPr>
        <w:pStyle w:val="43"/>
        <w:numPr>
          <w:ilvl w:val="0"/>
          <w:numId w:val="0"/>
        </w:numPr>
        <w:tabs>
          <w:tab w:val="left" w:pos="1388"/>
        </w:tabs>
        <w:spacing w:line="364" w:lineRule="auto"/>
        <w:ind w:right="233" w:rightChars="0" w:firstLine="480" w:firstLineChars="200"/>
        <w:jc w:val="both"/>
        <w:rPr>
          <w:sz w:val="24"/>
          <w:lang w:val="en-US" w:eastAsia="zh-CN"/>
        </w:rPr>
      </w:pPr>
      <w:r>
        <w:rPr>
          <w:rFonts w:hint="eastAsia"/>
          <w:sz w:val="24"/>
          <w:lang w:val="en-US" w:eastAsia="zh-CN"/>
        </w:rPr>
        <w:t>10.4在成交供应商完成合同约定的所有事项，包括任何保证义务后90日内，一次性无息退还履约保证金。</w:t>
      </w:r>
    </w:p>
    <w:p w14:paraId="7EC8D24B">
      <w:pPr>
        <w:pStyle w:val="43"/>
        <w:numPr>
          <w:ilvl w:val="0"/>
          <w:numId w:val="0"/>
        </w:numPr>
        <w:tabs>
          <w:tab w:val="left" w:pos="1388"/>
        </w:tabs>
        <w:spacing w:line="364" w:lineRule="auto"/>
        <w:ind w:right="233" w:rightChars="0"/>
        <w:jc w:val="both"/>
        <w:rPr>
          <w:sz w:val="24"/>
          <w:lang w:val="en-US" w:eastAsia="zh-CN"/>
        </w:rPr>
      </w:pPr>
    </w:p>
    <w:p w14:paraId="3B6B8171">
      <w:pPr>
        <w:rPr>
          <w:rFonts w:ascii="Times New Roman" w:hAnsi="Times New Roman" w:eastAsia="宋体" w:cs="Times New Roman"/>
          <w:kern w:val="2"/>
          <w:sz w:val="24"/>
          <w:szCs w:val="24"/>
          <w:lang w:val="en-US" w:eastAsia="zh-CN" w:bidi="ar-SA"/>
        </w:rPr>
      </w:pPr>
    </w:p>
    <w:p w14:paraId="61BE416B">
      <w:pPr>
        <w:pStyle w:val="4"/>
        <w:rPr>
          <w:rFonts w:ascii="Times New Roman" w:hAnsi="Times New Roman" w:eastAsia="宋体" w:cs="Times New Roman"/>
          <w:kern w:val="2"/>
          <w:sz w:val="24"/>
          <w:szCs w:val="24"/>
          <w:lang w:val="en-US" w:eastAsia="zh-CN" w:bidi="ar-SA"/>
        </w:rPr>
      </w:pPr>
    </w:p>
    <w:p w14:paraId="7D4F7B73">
      <w:pPr>
        <w:pStyle w:val="4"/>
      </w:pPr>
    </w:p>
    <w:p w14:paraId="61DBB099">
      <w:pPr>
        <w:pStyle w:val="4"/>
      </w:pPr>
    </w:p>
    <w:p w14:paraId="21A22755">
      <w:pPr>
        <w:pStyle w:val="4"/>
      </w:pPr>
    </w:p>
    <w:p w14:paraId="6B1BB0FE">
      <w:pPr>
        <w:pStyle w:val="4"/>
      </w:pPr>
    </w:p>
    <w:p w14:paraId="31B55606">
      <w:pPr>
        <w:pStyle w:val="4"/>
      </w:pPr>
    </w:p>
    <w:p w14:paraId="1EBAA99E">
      <w:pPr>
        <w:pStyle w:val="4"/>
      </w:pPr>
    </w:p>
    <w:p w14:paraId="7BF5D171">
      <w:pPr>
        <w:pStyle w:val="4"/>
      </w:pPr>
    </w:p>
    <w:p w14:paraId="30518B82">
      <w:pPr>
        <w:pStyle w:val="4"/>
      </w:pPr>
    </w:p>
    <w:p w14:paraId="28DF9C62">
      <w:pPr>
        <w:pStyle w:val="4"/>
      </w:pPr>
    </w:p>
    <w:p w14:paraId="5DC7E36B">
      <w:pPr>
        <w:pStyle w:val="4"/>
      </w:pPr>
    </w:p>
    <w:p w14:paraId="5534AA23">
      <w:pPr>
        <w:pStyle w:val="4"/>
      </w:pPr>
    </w:p>
    <w:p w14:paraId="079A444F">
      <w:pPr>
        <w:pStyle w:val="4"/>
      </w:pPr>
    </w:p>
    <w:p w14:paraId="3587C3D8">
      <w:pPr>
        <w:pStyle w:val="4"/>
      </w:pPr>
    </w:p>
    <w:p w14:paraId="3EA69074">
      <w:pPr>
        <w:pStyle w:val="4"/>
      </w:pPr>
    </w:p>
    <w:p w14:paraId="4B4102E9">
      <w:pPr>
        <w:pStyle w:val="4"/>
      </w:pPr>
    </w:p>
    <w:p w14:paraId="3408BB70">
      <w:pPr>
        <w:pStyle w:val="4"/>
      </w:pPr>
    </w:p>
    <w:p w14:paraId="2B572658">
      <w:pPr>
        <w:pStyle w:val="4"/>
      </w:pPr>
    </w:p>
    <w:p w14:paraId="2374DC6E">
      <w:pPr>
        <w:pStyle w:val="4"/>
      </w:pPr>
    </w:p>
    <w:p w14:paraId="1CF007FD">
      <w:pPr>
        <w:pStyle w:val="4"/>
      </w:pPr>
    </w:p>
    <w:p w14:paraId="56084290">
      <w:pPr>
        <w:pStyle w:val="4"/>
      </w:pPr>
    </w:p>
    <w:p w14:paraId="11A16C59">
      <w:pPr>
        <w:pStyle w:val="4"/>
      </w:pPr>
    </w:p>
    <w:p w14:paraId="376D8FFF">
      <w:pPr>
        <w:pStyle w:val="4"/>
      </w:pPr>
    </w:p>
    <w:p w14:paraId="43C80FA1">
      <w:pPr>
        <w:pStyle w:val="4"/>
      </w:pPr>
    </w:p>
    <w:p w14:paraId="7C42BFEA">
      <w:pPr>
        <w:pStyle w:val="4"/>
      </w:pPr>
    </w:p>
    <w:p w14:paraId="114D5C59">
      <w:pPr>
        <w:pStyle w:val="4"/>
      </w:pPr>
    </w:p>
    <w:p w14:paraId="298B850F">
      <w:pPr>
        <w:pStyle w:val="4"/>
      </w:pPr>
    </w:p>
    <w:p w14:paraId="6829ED81">
      <w:pPr>
        <w:pStyle w:val="4"/>
      </w:pPr>
    </w:p>
    <w:p w14:paraId="68E08164">
      <w:pPr>
        <w:pStyle w:val="4"/>
      </w:pPr>
    </w:p>
    <w:p w14:paraId="07ED08DA">
      <w:pPr>
        <w:pStyle w:val="4"/>
      </w:pPr>
    </w:p>
    <w:p w14:paraId="56C3B1C5">
      <w:pPr>
        <w:pStyle w:val="4"/>
      </w:pPr>
    </w:p>
    <w:p w14:paraId="3967C454">
      <w:pPr>
        <w:pStyle w:val="4"/>
      </w:pPr>
    </w:p>
    <w:p w14:paraId="105808DE">
      <w:pPr>
        <w:pStyle w:val="4"/>
      </w:pPr>
    </w:p>
    <w:p w14:paraId="23A2C77A">
      <w:pPr>
        <w:pStyle w:val="4"/>
      </w:pPr>
    </w:p>
    <w:p w14:paraId="1C6FC991">
      <w:pPr>
        <w:numPr>
          <w:ilvl w:val="0"/>
          <w:numId w:val="70"/>
        </w:numPr>
        <w:jc w:val="center"/>
        <w:rPr>
          <w:rFonts w:hint="eastAsia"/>
          <w:b/>
          <w:sz w:val="44"/>
          <w:lang w:val="en-US" w:eastAsia="zh-CN"/>
        </w:rPr>
      </w:pPr>
      <w:bookmarkStart w:id="136" w:name="_TOC_250000"/>
      <w:bookmarkEnd w:id="136"/>
      <w:r>
        <w:rPr>
          <w:rFonts w:hint="eastAsia"/>
          <w:b/>
          <w:sz w:val="44"/>
          <w:lang w:val="en-US" w:eastAsia="zh-CN"/>
        </w:rPr>
        <w:t>合同附件</w:t>
      </w:r>
    </w:p>
    <w:p w14:paraId="141650AC">
      <w:pPr>
        <w:numPr>
          <w:ilvl w:val="0"/>
          <w:numId w:val="0"/>
        </w:numPr>
        <w:rPr>
          <w:rFonts w:hint="eastAsia" w:ascii="宋体" w:hAnsi="宋体" w:eastAsia="宋体" w:cs="宋体"/>
          <w:b/>
          <w:sz w:val="24"/>
          <w:szCs w:val="24"/>
          <w:lang w:val="en-US" w:eastAsia="zh-CN"/>
        </w:rPr>
      </w:pPr>
    </w:p>
    <w:p w14:paraId="29D6C38D">
      <w:pPr>
        <w:numPr>
          <w:ilvl w:val="0"/>
          <w:numId w:val="0"/>
        </w:numPr>
        <w:rPr>
          <w:rFonts w:hint="eastAsia" w:ascii="宋体" w:hAnsi="宋体" w:cs="仿宋"/>
          <w:b/>
          <w:bCs/>
          <w:sz w:val="24"/>
          <w:szCs w:val="24"/>
        </w:rPr>
      </w:pPr>
      <w:r>
        <w:rPr>
          <w:rFonts w:hint="eastAsia" w:ascii="宋体" w:hAnsi="宋体" w:eastAsia="宋体" w:cs="宋体"/>
          <w:b/>
          <w:sz w:val="24"/>
          <w:szCs w:val="24"/>
          <w:lang w:val="en-US" w:eastAsia="zh-CN"/>
        </w:rPr>
        <w:t>附件1</w:t>
      </w:r>
      <w:r>
        <w:rPr>
          <w:rFonts w:hint="eastAsia" w:ascii="宋体" w:hAnsi="宋体" w:cs="仿宋"/>
          <w:b/>
          <w:bCs/>
          <w:sz w:val="24"/>
          <w:szCs w:val="24"/>
          <w:lang w:eastAsia="zh-CN"/>
        </w:rPr>
        <w:t>供应商</w:t>
      </w:r>
      <w:r>
        <w:rPr>
          <w:rFonts w:hint="eastAsia" w:ascii="宋体" w:hAnsi="宋体" w:cs="仿宋"/>
          <w:b/>
          <w:bCs/>
          <w:sz w:val="24"/>
          <w:szCs w:val="24"/>
        </w:rPr>
        <w:t>廉洁守约承诺书</w:t>
      </w:r>
    </w:p>
    <w:p w14:paraId="16783C64">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372416EF">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17C7A01E">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6DE1AA1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355674A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54CFB3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36880DC6">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53316DA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225833BB">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E1F345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3C83208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0AEE3DD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6E2360B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1642274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3522E34B">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118279D6">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205D45E6">
      <w:pPr>
        <w:adjustRightInd w:val="0"/>
        <w:snapToGrid w:val="0"/>
        <w:spacing w:line="336" w:lineRule="auto"/>
        <w:rPr>
          <w:rFonts w:ascii="宋体" w:hAnsi="宋体" w:cs="仿宋_GB2312"/>
          <w:sz w:val="24"/>
        </w:rPr>
      </w:pPr>
    </w:p>
    <w:p w14:paraId="1F18D4FC">
      <w:pPr>
        <w:adjustRightInd w:val="0"/>
        <w:snapToGrid w:val="0"/>
        <w:spacing w:line="336" w:lineRule="auto"/>
        <w:rPr>
          <w:rFonts w:ascii="宋体" w:hAnsi="宋体" w:cs="仿宋_GB2312"/>
          <w:sz w:val="24"/>
        </w:rPr>
      </w:pPr>
    </w:p>
    <w:p w14:paraId="70C13115">
      <w:pPr>
        <w:adjustRightInd w:val="0"/>
        <w:snapToGrid w:val="0"/>
        <w:spacing w:line="336" w:lineRule="auto"/>
        <w:rPr>
          <w:rFonts w:ascii="宋体" w:hAnsi="宋体" w:cs="仿宋_GB2312"/>
          <w:sz w:val="24"/>
        </w:rPr>
      </w:pPr>
    </w:p>
    <w:p w14:paraId="16174CB8">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451716F1">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040C9E14">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10D3972E">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52DA7464">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5AE711B8">
      <w:pPr>
        <w:numPr>
          <w:ilvl w:val="0"/>
          <w:numId w:val="0"/>
        </w:numPr>
        <w:jc w:val="center"/>
        <w:rPr>
          <w:b/>
          <w:sz w:val="44"/>
        </w:rPr>
      </w:pPr>
    </w:p>
    <w:p w14:paraId="29174A06">
      <w:pPr>
        <w:pStyle w:val="3"/>
        <w:spacing w:before="10"/>
        <w:ind w:left="0"/>
        <w:rPr>
          <w:b/>
          <w:sz w:val="27"/>
        </w:rPr>
      </w:pPr>
    </w:p>
    <w:p w14:paraId="1DD4C234">
      <w:pPr>
        <w:pStyle w:val="11"/>
        <w:spacing w:before="36"/>
      </w:pPr>
    </w:p>
    <w:p w14:paraId="453CA96D">
      <w:pPr>
        <w:pStyle w:val="11"/>
        <w:spacing w:before="36"/>
      </w:pPr>
    </w:p>
    <w:p w14:paraId="644C9D6A">
      <w:pPr>
        <w:pStyle w:val="11"/>
        <w:spacing w:before="36"/>
      </w:pPr>
    </w:p>
    <w:p w14:paraId="68E9D231">
      <w:pPr>
        <w:pStyle w:val="11"/>
        <w:spacing w:before="36"/>
      </w:pPr>
    </w:p>
    <w:p w14:paraId="0C6E5606"/>
    <w:p w14:paraId="728CC308">
      <w:pPr>
        <w:pStyle w:val="5"/>
      </w:pPr>
    </w:p>
    <w:p w14:paraId="00CCFD8E">
      <w:pPr>
        <w:pStyle w:val="5"/>
      </w:pPr>
    </w:p>
    <w:p w14:paraId="0561AD11">
      <w:pPr>
        <w:pStyle w:val="5"/>
      </w:pPr>
    </w:p>
    <w:p w14:paraId="4CA192C1">
      <w:pPr>
        <w:pStyle w:val="11"/>
        <w:spacing w:before="36"/>
        <w:rPr>
          <w:rFonts w:hint="default" w:eastAsia="宋体"/>
          <w:b w:val="0"/>
          <w:bCs w:val="0"/>
          <w:lang w:val="en-US" w:eastAsia="zh-CN"/>
        </w:rPr>
      </w:pPr>
      <w:r>
        <w:rPr>
          <w:rFonts w:hint="eastAsia" w:ascii="宋体" w:hAnsi="宋体" w:eastAsia="宋体" w:cs="宋体"/>
          <w:b w:val="0"/>
          <w:bCs w:val="0"/>
        </w:rPr>
        <w:t>附件 2</w:t>
      </w:r>
      <w:r>
        <w:rPr>
          <w:rFonts w:hint="eastAsia" w:ascii="宋体" w:hAnsi="宋体" w:eastAsia="宋体" w:cs="宋体"/>
          <w:b w:val="0"/>
          <w:bCs w:val="0"/>
          <w:lang w:val="en-US" w:eastAsia="zh-CN"/>
        </w:rPr>
        <w:t>项目监理机构及监理人员</w:t>
      </w:r>
    </w:p>
    <w:p w14:paraId="5FB6D060">
      <w:pPr>
        <w:pStyle w:val="3"/>
        <w:spacing w:before="2"/>
        <w:ind w:left="0"/>
        <w:rPr>
          <w:sz w:val="22"/>
        </w:rPr>
      </w:pPr>
    </w:p>
    <w:p w14:paraId="25AD9015">
      <w:pPr>
        <w:pStyle w:val="13"/>
        <w:spacing w:before="61"/>
        <w:ind w:left="0" w:leftChars="0" w:right="50" w:rightChars="0" w:firstLine="0" w:firstLineChars="0"/>
        <w:jc w:val="center"/>
      </w:pPr>
      <w:r>
        <w:rPr>
          <w:rFonts w:hint="eastAsia" w:ascii="宋体" w:hAnsi="宋体" w:eastAsia="宋体" w:cs="宋体"/>
          <w:sz w:val="24"/>
          <w:szCs w:val="24"/>
        </w:rPr>
        <w:t>一、监理组织架构框图</w:t>
      </w:r>
    </w:p>
    <w:p w14:paraId="48A6BFFC">
      <w:pPr>
        <w:pStyle w:val="3"/>
        <w:spacing w:before="6"/>
        <w:ind w:left="0"/>
        <w:rPr>
          <w:b/>
          <w:sz w:val="32"/>
        </w:rPr>
      </w:pPr>
    </w:p>
    <w:p w14:paraId="47C2A3DF">
      <w:pPr>
        <w:pStyle w:val="2"/>
        <w:rPr>
          <w:b/>
          <w:sz w:val="32"/>
        </w:rPr>
      </w:pPr>
    </w:p>
    <w:p w14:paraId="0251BB96">
      <w:pPr>
        <w:pStyle w:val="2"/>
        <w:rPr>
          <w:b/>
          <w:sz w:val="32"/>
        </w:rPr>
      </w:pPr>
    </w:p>
    <w:p w14:paraId="2E7B0312">
      <w:pPr>
        <w:pStyle w:val="5"/>
        <w:ind w:firstLine="643"/>
        <w:rPr>
          <w:b/>
          <w:sz w:val="32"/>
        </w:rPr>
      </w:pPr>
    </w:p>
    <w:p w14:paraId="0D8AC0CC">
      <w:pPr>
        <w:pStyle w:val="7"/>
        <w:rPr>
          <w:b/>
          <w:sz w:val="32"/>
        </w:rPr>
      </w:pPr>
    </w:p>
    <w:p w14:paraId="2DBDDB65">
      <w:pPr>
        <w:pStyle w:val="7"/>
        <w:rPr>
          <w:b/>
          <w:sz w:val="32"/>
        </w:rPr>
      </w:pPr>
    </w:p>
    <w:p w14:paraId="7AF9952C">
      <w:pPr>
        <w:pStyle w:val="7"/>
        <w:rPr>
          <w:b/>
          <w:sz w:val="32"/>
        </w:rPr>
      </w:pPr>
    </w:p>
    <w:p w14:paraId="441DFF2A">
      <w:pPr>
        <w:pStyle w:val="7"/>
        <w:rPr>
          <w:b/>
          <w:sz w:val="32"/>
        </w:rPr>
      </w:pPr>
    </w:p>
    <w:p w14:paraId="7268872A">
      <w:pPr>
        <w:pStyle w:val="7"/>
        <w:rPr>
          <w:b/>
          <w:sz w:val="32"/>
        </w:rPr>
      </w:pPr>
    </w:p>
    <w:p w14:paraId="4BA879DD">
      <w:pPr>
        <w:pStyle w:val="7"/>
        <w:rPr>
          <w:b/>
          <w:sz w:val="32"/>
        </w:rPr>
      </w:pPr>
    </w:p>
    <w:p w14:paraId="4A21A4F8">
      <w:pPr>
        <w:pStyle w:val="7"/>
        <w:rPr>
          <w:b/>
          <w:sz w:val="32"/>
        </w:rPr>
      </w:pPr>
    </w:p>
    <w:p w14:paraId="7A2FEF33">
      <w:pPr>
        <w:pStyle w:val="7"/>
        <w:rPr>
          <w:b/>
          <w:sz w:val="32"/>
        </w:rPr>
      </w:pPr>
    </w:p>
    <w:p w14:paraId="5C3FE15E">
      <w:pPr>
        <w:pStyle w:val="7"/>
        <w:rPr>
          <w:b/>
          <w:sz w:val="32"/>
        </w:rPr>
      </w:pPr>
    </w:p>
    <w:p w14:paraId="714728EB">
      <w:pPr>
        <w:pStyle w:val="7"/>
        <w:rPr>
          <w:b/>
          <w:sz w:val="32"/>
        </w:rPr>
      </w:pPr>
    </w:p>
    <w:p w14:paraId="225B21DC">
      <w:pPr>
        <w:pStyle w:val="7"/>
        <w:rPr>
          <w:b/>
          <w:sz w:val="32"/>
        </w:rPr>
      </w:pPr>
    </w:p>
    <w:p w14:paraId="22AA1591">
      <w:pPr>
        <w:pStyle w:val="7"/>
        <w:rPr>
          <w:b/>
          <w:sz w:val="32"/>
        </w:rPr>
      </w:pPr>
    </w:p>
    <w:p w14:paraId="114D9684">
      <w:pPr>
        <w:pStyle w:val="7"/>
        <w:rPr>
          <w:b/>
          <w:sz w:val="32"/>
        </w:rPr>
      </w:pPr>
    </w:p>
    <w:p w14:paraId="14AE375E">
      <w:pPr>
        <w:pStyle w:val="7"/>
        <w:rPr>
          <w:b/>
          <w:sz w:val="32"/>
        </w:rPr>
      </w:pPr>
    </w:p>
    <w:p w14:paraId="510F63A6">
      <w:pPr>
        <w:pStyle w:val="7"/>
        <w:rPr>
          <w:b/>
          <w:sz w:val="32"/>
        </w:rPr>
      </w:pPr>
    </w:p>
    <w:p w14:paraId="16DF82C6">
      <w:pPr>
        <w:pStyle w:val="7"/>
        <w:rPr>
          <w:b/>
          <w:sz w:val="32"/>
        </w:rPr>
      </w:pPr>
    </w:p>
    <w:p w14:paraId="12C2A6F3">
      <w:pPr>
        <w:pStyle w:val="7"/>
        <w:rPr>
          <w:b/>
          <w:sz w:val="32"/>
        </w:rPr>
      </w:pPr>
    </w:p>
    <w:p w14:paraId="6D754575">
      <w:pPr>
        <w:pStyle w:val="2"/>
        <w:rPr>
          <w:b/>
          <w:sz w:val="32"/>
        </w:rPr>
      </w:pPr>
    </w:p>
    <w:p w14:paraId="0E1F90F8">
      <w:pPr>
        <w:pStyle w:val="2"/>
        <w:rPr>
          <w:b/>
          <w:sz w:val="32"/>
        </w:rPr>
      </w:pPr>
    </w:p>
    <w:p w14:paraId="19C9DEC5">
      <w:pPr>
        <w:pStyle w:val="3"/>
        <w:tabs>
          <w:tab w:val="left" w:pos="6741"/>
          <w:tab w:val="left" w:pos="8779"/>
        </w:tabs>
      </w:pPr>
      <w:r>
        <w:t>法定代表人(或被授权人) 签章：</w:t>
      </w:r>
      <w:r>
        <w:rPr>
          <w:rFonts w:hint="eastAsia"/>
          <w:lang w:val="en-US" w:eastAsia="zh-CN"/>
        </w:rPr>
        <w:t xml:space="preserve">           </w:t>
      </w:r>
      <w:r>
        <w:t>日期： 202</w:t>
      </w:r>
      <w:r>
        <w:rPr>
          <w:rFonts w:hint="eastAsia"/>
          <w:lang w:val="en-US" w:eastAsia="zh-CN"/>
        </w:rPr>
        <w:t>5</w:t>
      </w:r>
      <w:r>
        <w:t xml:space="preserve"> 年</w:t>
      </w:r>
      <w:r>
        <w:tab/>
      </w:r>
      <w:r>
        <w:t>月</w:t>
      </w:r>
      <w:r>
        <w:rPr>
          <w:rFonts w:hint="eastAsia"/>
          <w:lang w:val="en-US" w:eastAsia="zh-CN"/>
        </w:rPr>
        <w:t xml:space="preserve"> </w:t>
      </w:r>
      <w:r>
        <w:t xml:space="preserve"> 日</w:t>
      </w:r>
    </w:p>
    <w:p w14:paraId="20AC687C">
      <w:pPr>
        <w:sectPr>
          <w:pgSz w:w="11910" w:h="16840"/>
          <w:pgMar w:top="1134" w:right="1037" w:bottom="1037" w:left="1134" w:header="0" w:footer="917" w:gutter="0"/>
          <w:pgNumType w:fmt="decimal"/>
          <w:cols w:space="720" w:num="1"/>
        </w:sectPr>
      </w:pPr>
    </w:p>
    <w:p w14:paraId="33F54F73">
      <w:pPr>
        <w:pStyle w:val="12"/>
      </w:pPr>
      <w:r>
        <w:t>二、拟委派本项目驻场监理机构人员一览表</w:t>
      </w:r>
    </w:p>
    <w:p w14:paraId="458AB8A8">
      <w:pPr>
        <w:pStyle w:val="3"/>
        <w:ind w:left="0"/>
        <w:rPr>
          <w:b/>
          <w:sz w:val="20"/>
        </w:rPr>
      </w:pPr>
    </w:p>
    <w:tbl>
      <w:tblPr>
        <w:tblStyle w:val="29"/>
        <w:tblpPr w:leftFromText="180" w:rightFromText="180" w:vertAnchor="text" w:horzAnchor="page" w:tblpX="1153" w:tblpY="16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958"/>
        <w:gridCol w:w="665"/>
        <w:gridCol w:w="667"/>
        <w:gridCol w:w="972"/>
        <w:gridCol w:w="960"/>
        <w:gridCol w:w="1073"/>
        <w:gridCol w:w="1440"/>
        <w:gridCol w:w="1788"/>
        <w:gridCol w:w="526"/>
      </w:tblGrid>
      <w:tr w14:paraId="1BF53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top"/>
          </w:tcPr>
          <w:p w14:paraId="084D8C2A">
            <w:pPr>
              <w:pStyle w:val="42"/>
              <w:spacing w:before="87" w:line="278" w:lineRule="auto"/>
              <w:ind w:left="126" w:right="115"/>
              <w:rPr>
                <w:sz w:val="21"/>
              </w:rPr>
            </w:pPr>
            <w:r>
              <w:rPr>
                <w:sz w:val="21"/>
              </w:rPr>
              <w:t>序号</w:t>
            </w:r>
          </w:p>
        </w:tc>
        <w:tc>
          <w:tcPr>
            <w:tcW w:w="958" w:type="dxa"/>
            <w:noWrap w:val="0"/>
            <w:vAlign w:val="top"/>
          </w:tcPr>
          <w:p w14:paraId="2252D85D">
            <w:pPr>
              <w:pStyle w:val="42"/>
              <w:spacing w:before="12"/>
              <w:rPr>
                <w:b/>
                <w:sz w:val="18"/>
              </w:rPr>
            </w:pPr>
          </w:p>
          <w:p w14:paraId="0D2385AC">
            <w:pPr>
              <w:pStyle w:val="42"/>
              <w:ind w:left="265"/>
              <w:rPr>
                <w:sz w:val="21"/>
              </w:rPr>
            </w:pPr>
            <w:r>
              <w:rPr>
                <w:sz w:val="21"/>
              </w:rPr>
              <w:t>姓名</w:t>
            </w:r>
          </w:p>
        </w:tc>
        <w:tc>
          <w:tcPr>
            <w:tcW w:w="665" w:type="dxa"/>
            <w:noWrap w:val="0"/>
            <w:vAlign w:val="top"/>
          </w:tcPr>
          <w:p w14:paraId="502EFC70">
            <w:pPr>
              <w:pStyle w:val="42"/>
              <w:spacing w:before="12"/>
              <w:rPr>
                <w:b/>
                <w:sz w:val="18"/>
              </w:rPr>
            </w:pPr>
          </w:p>
          <w:p w14:paraId="4D7100C2">
            <w:pPr>
              <w:pStyle w:val="42"/>
              <w:ind w:left="121"/>
              <w:rPr>
                <w:sz w:val="21"/>
              </w:rPr>
            </w:pPr>
            <w:r>
              <w:rPr>
                <w:sz w:val="21"/>
              </w:rPr>
              <w:t>性别</w:t>
            </w:r>
          </w:p>
        </w:tc>
        <w:tc>
          <w:tcPr>
            <w:tcW w:w="667" w:type="dxa"/>
            <w:noWrap w:val="0"/>
            <w:vAlign w:val="top"/>
          </w:tcPr>
          <w:p w14:paraId="7CFAAFBF">
            <w:pPr>
              <w:pStyle w:val="42"/>
              <w:spacing w:before="12"/>
              <w:rPr>
                <w:b/>
                <w:sz w:val="18"/>
              </w:rPr>
            </w:pPr>
          </w:p>
          <w:p w14:paraId="25743308">
            <w:pPr>
              <w:pStyle w:val="42"/>
              <w:ind w:left="123"/>
              <w:rPr>
                <w:sz w:val="21"/>
              </w:rPr>
            </w:pPr>
            <w:r>
              <w:rPr>
                <w:sz w:val="21"/>
              </w:rPr>
              <w:t>年龄</w:t>
            </w:r>
          </w:p>
        </w:tc>
        <w:tc>
          <w:tcPr>
            <w:tcW w:w="972" w:type="dxa"/>
            <w:noWrap w:val="0"/>
            <w:vAlign w:val="top"/>
          </w:tcPr>
          <w:p w14:paraId="5EAD6CD4">
            <w:pPr>
              <w:pStyle w:val="42"/>
              <w:spacing w:before="12"/>
              <w:rPr>
                <w:b/>
                <w:sz w:val="18"/>
              </w:rPr>
            </w:pPr>
          </w:p>
          <w:p w14:paraId="58729990">
            <w:pPr>
              <w:pStyle w:val="42"/>
              <w:ind w:left="275"/>
              <w:rPr>
                <w:sz w:val="21"/>
              </w:rPr>
            </w:pPr>
            <w:r>
              <w:rPr>
                <w:sz w:val="21"/>
              </w:rPr>
              <w:t>职称</w:t>
            </w:r>
          </w:p>
        </w:tc>
        <w:tc>
          <w:tcPr>
            <w:tcW w:w="960" w:type="dxa"/>
            <w:noWrap w:val="0"/>
            <w:vAlign w:val="top"/>
          </w:tcPr>
          <w:p w14:paraId="2E201CB4">
            <w:pPr>
              <w:pStyle w:val="42"/>
              <w:spacing w:before="12"/>
              <w:rPr>
                <w:b/>
                <w:sz w:val="18"/>
              </w:rPr>
            </w:pPr>
          </w:p>
          <w:p w14:paraId="70F08483">
            <w:pPr>
              <w:pStyle w:val="42"/>
              <w:ind w:left="270"/>
              <w:rPr>
                <w:sz w:val="21"/>
              </w:rPr>
            </w:pPr>
            <w:r>
              <w:rPr>
                <w:sz w:val="21"/>
              </w:rPr>
              <w:t>专业</w:t>
            </w:r>
          </w:p>
        </w:tc>
        <w:tc>
          <w:tcPr>
            <w:tcW w:w="1073" w:type="dxa"/>
            <w:noWrap w:val="0"/>
            <w:vAlign w:val="top"/>
          </w:tcPr>
          <w:p w14:paraId="56666904">
            <w:pPr>
              <w:pStyle w:val="42"/>
              <w:spacing w:before="87" w:line="278" w:lineRule="auto"/>
              <w:ind w:left="116" w:right="101"/>
              <w:rPr>
                <w:sz w:val="21"/>
              </w:rPr>
            </w:pPr>
            <w:r>
              <w:rPr>
                <w:sz w:val="21"/>
              </w:rPr>
              <w:t>从事监理工作年限</w:t>
            </w:r>
          </w:p>
        </w:tc>
        <w:tc>
          <w:tcPr>
            <w:tcW w:w="1440" w:type="dxa"/>
            <w:noWrap w:val="0"/>
            <w:vAlign w:val="top"/>
          </w:tcPr>
          <w:p w14:paraId="4D866372">
            <w:pPr>
              <w:pStyle w:val="42"/>
              <w:spacing w:before="87" w:line="278" w:lineRule="auto"/>
              <w:ind w:left="322" w:right="140" w:hanging="101"/>
              <w:rPr>
                <w:sz w:val="21"/>
              </w:rPr>
            </w:pPr>
            <w:r>
              <w:rPr>
                <w:sz w:val="21"/>
              </w:rPr>
              <w:t>在本项目担任的职务</w:t>
            </w:r>
          </w:p>
        </w:tc>
        <w:tc>
          <w:tcPr>
            <w:tcW w:w="1788" w:type="dxa"/>
            <w:noWrap w:val="0"/>
            <w:vAlign w:val="top"/>
          </w:tcPr>
          <w:p w14:paraId="67506F97">
            <w:pPr>
              <w:pStyle w:val="42"/>
              <w:spacing w:before="87"/>
              <w:ind w:left="109"/>
              <w:rPr>
                <w:sz w:val="21"/>
              </w:rPr>
            </w:pPr>
            <w:r>
              <w:rPr>
                <w:sz w:val="21"/>
              </w:rPr>
              <w:t>监理工程师注册</w:t>
            </w:r>
          </w:p>
          <w:p w14:paraId="74A5D898">
            <w:pPr>
              <w:pStyle w:val="42"/>
              <w:spacing w:before="43"/>
              <w:ind w:left="109"/>
              <w:rPr>
                <w:sz w:val="21"/>
              </w:rPr>
            </w:pPr>
            <w:r>
              <w:rPr>
                <w:sz w:val="21"/>
              </w:rPr>
              <w:t>（或岗位）证号</w:t>
            </w:r>
          </w:p>
        </w:tc>
        <w:tc>
          <w:tcPr>
            <w:tcW w:w="526" w:type="dxa"/>
            <w:noWrap w:val="0"/>
            <w:vAlign w:val="top"/>
          </w:tcPr>
          <w:p w14:paraId="74E21C54">
            <w:pPr>
              <w:pStyle w:val="42"/>
              <w:spacing w:before="87" w:line="278" w:lineRule="auto"/>
              <w:ind w:left="154" w:right="147"/>
              <w:rPr>
                <w:sz w:val="21"/>
              </w:rPr>
            </w:pPr>
            <w:r>
              <w:rPr>
                <w:sz w:val="21"/>
              </w:rPr>
              <w:t>备注</w:t>
            </w:r>
          </w:p>
        </w:tc>
      </w:tr>
      <w:tr w14:paraId="37C0A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center"/>
          </w:tcPr>
          <w:p w14:paraId="5800D70E">
            <w:pPr>
              <w:autoSpaceDE/>
              <w:autoSpaceDN/>
              <w:spacing w:before="48" w:beforeLines="20" w:after="48" w:afterLines="20"/>
              <w:jc w:val="center"/>
              <w:rPr>
                <w:sz w:val="24"/>
              </w:rPr>
            </w:pPr>
          </w:p>
        </w:tc>
        <w:tc>
          <w:tcPr>
            <w:tcW w:w="958" w:type="dxa"/>
            <w:noWrap w:val="0"/>
            <w:vAlign w:val="bottom"/>
          </w:tcPr>
          <w:p w14:paraId="59E1F306">
            <w:pPr>
              <w:adjustRightInd w:val="0"/>
              <w:snapToGrid w:val="0"/>
              <w:spacing w:line="360" w:lineRule="auto"/>
              <w:jc w:val="center"/>
              <w:rPr>
                <w:rFonts w:ascii="Times New Roman"/>
              </w:rPr>
            </w:pPr>
          </w:p>
        </w:tc>
        <w:tc>
          <w:tcPr>
            <w:tcW w:w="665" w:type="dxa"/>
            <w:noWrap w:val="0"/>
            <w:vAlign w:val="center"/>
          </w:tcPr>
          <w:p w14:paraId="65CD1B49">
            <w:pPr>
              <w:autoSpaceDE/>
              <w:autoSpaceDN/>
              <w:snapToGrid w:val="0"/>
              <w:spacing w:before="48" w:beforeLines="20" w:after="48" w:afterLines="20"/>
              <w:jc w:val="center"/>
              <w:rPr>
                <w:rFonts w:ascii="Times New Roman"/>
                <w:lang w:val="en-US"/>
              </w:rPr>
            </w:pPr>
          </w:p>
        </w:tc>
        <w:tc>
          <w:tcPr>
            <w:tcW w:w="667" w:type="dxa"/>
            <w:noWrap w:val="0"/>
            <w:vAlign w:val="center"/>
          </w:tcPr>
          <w:p w14:paraId="08EA25F1">
            <w:pPr>
              <w:spacing w:before="4" w:after="4"/>
              <w:jc w:val="center"/>
              <w:rPr>
                <w:kern w:val="2"/>
                <w:sz w:val="21"/>
                <w:szCs w:val="21"/>
                <w:lang w:val="en-US" w:bidi="ar-SA"/>
              </w:rPr>
            </w:pPr>
          </w:p>
        </w:tc>
        <w:tc>
          <w:tcPr>
            <w:tcW w:w="972" w:type="dxa"/>
            <w:noWrap w:val="0"/>
            <w:vAlign w:val="center"/>
          </w:tcPr>
          <w:p w14:paraId="377480DB">
            <w:pPr>
              <w:adjustRightInd w:val="0"/>
              <w:snapToGrid w:val="0"/>
              <w:spacing w:line="360" w:lineRule="auto"/>
              <w:jc w:val="center"/>
              <w:rPr>
                <w:rFonts w:ascii="Times New Roman"/>
              </w:rPr>
            </w:pPr>
          </w:p>
        </w:tc>
        <w:tc>
          <w:tcPr>
            <w:tcW w:w="960" w:type="dxa"/>
            <w:noWrap w:val="0"/>
            <w:vAlign w:val="center"/>
          </w:tcPr>
          <w:p w14:paraId="3793A68E">
            <w:pPr>
              <w:autoSpaceDE/>
              <w:autoSpaceDN/>
              <w:spacing w:before="48" w:beforeLines="20" w:after="48" w:afterLines="20"/>
              <w:jc w:val="center"/>
              <w:rPr>
                <w:sz w:val="21"/>
                <w:szCs w:val="21"/>
                <w:lang w:val="en-US"/>
              </w:rPr>
            </w:pPr>
          </w:p>
        </w:tc>
        <w:tc>
          <w:tcPr>
            <w:tcW w:w="1073" w:type="dxa"/>
            <w:noWrap w:val="0"/>
            <w:vAlign w:val="center"/>
          </w:tcPr>
          <w:p w14:paraId="3DFC21F9">
            <w:pPr>
              <w:spacing w:before="4" w:after="4"/>
              <w:jc w:val="center"/>
              <w:rPr>
                <w:sz w:val="21"/>
                <w:szCs w:val="21"/>
                <w:lang w:val="en-US"/>
              </w:rPr>
            </w:pPr>
          </w:p>
        </w:tc>
        <w:tc>
          <w:tcPr>
            <w:tcW w:w="1440" w:type="dxa"/>
            <w:noWrap w:val="0"/>
            <w:vAlign w:val="center"/>
          </w:tcPr>
          <w:p w14:paraId="2A4E3A04">
            <w:pPr>
              <w:spacing w:line="360" w:lineRule="auto"/>
              <w:jc w:val="center"/>
              <w:rPr>
                <w:rFonts w:ascii="Times New Roman"/>
              </w:rPr>
            </w:pPr>
          </w:p>
        </w:tc>
        <w:tc>
          <w:tcPr>
            <w:tcW w:w="1788" w:type="dxa"/>
            <w:noWrap w:val="0"/>
            <w:vAlign w:val="center"/>
          </w:tcPr>
          <w:p w14:paraId="023070C8">
            <w:pPr>
              <w:autoSpaceDE/>
              <w:autoSpaceDN/>
              <w:spacing w:before="48" w:beforeLines="20" w:after="48" w:afterLines="20"/>
              <w:jc w:val="center"/>
              <w:rPr>
                <w:sz w:val="21"/>
                <w:szCs w:val="21"/>
              </w:rPr>
            </w:pPr>
          </w:p>
        </w:tc>
        <w:tc>
          <w:tcPr>
            <w:tcW w:w="526" w:type="dxa"/>
            <w:noWrap w:val="0"/>
            <w:vAlign w:val="center"/>
          </w:tcPr>
          <w:p w14:paraId="014AE1FA">
            <w:pPr>
              <w:autoSpaceDE/>
              <w:autoSpaceDN/>
              <w:spacing w:before="48" w:beforeLines="20" w:after="48" w:afterLines="20"/>
              <w:jc w:val="center"/>
              <w:rPr>
                <w:sz w:val="21"/>
                <w:szCs w:val="21"/>
                <w:lang w:val="en-US"/>
              </w:rPr>
            </w:pPr>
          </w:p>
        </w:tc>
      </w:tr>
      <w:tr w14:paraId="6D584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66" w:type="dxa"/>
            <w:noWrap w:val="0"/>
            <w:vAlign w:val="center"/>
          </w:tcPr>
          <w:p w14:paraId="65749154">
            <w:pPr>
              <w:autoSpaceDE/>
              <w:autoSpaceDN/>
              <w:spacing w:before="48" w:beforeLines="20" w:after="48" w:afterLines="20"/>
              <w:jc w:val="center"/>
              <w:rPr>
                <w:sz w:val="24"/>
              </w:rPr>
            </w:pPr>
          </w:p>
        </w:tc>
        <w:tc>
          <w:tcPr>
            <w:tcW w:w="958" w:type="dxa"/>
            <w:noWrap w:val="0"/>
            <w:vAlign w:val="center"/>
          </w:tcPr>
          <w:p w14:paraId="35E70CE9">
            <w:pPr>
              <w:spacing w:line="360" w:lineRule="auto"/>
              <w:jc w:val="center"/>
              <w:rPr>
                <w:rFonts w:ascii="Times New Roman"/>
              </w:rPr>
            </w:pPr>
          </w:p>
        </w:tc>
        <w:tc>
          <w:tcPr>
            <w:tcW w:w="665" w:type="dxa"/>
            <w:noWrap w:val="0"/>
            <w:vAlign w:val="center"/>
          </w:tcPr>
          <w:p w14:paraId="2AAB2C6F">
            <w:pPr>
              <w:autoSpaceDE/>
              <w:autoSpaceDN/>
              <w:snapToGrid w:val="0"/>
              <w:spacing w:before="48" w:beforeLines="20" w:after="48" w:afterLines="20"/>
              <w:jc w:val="center"/>
              <w:rPr>
                <w:rFonts w:ascii="Times New Roman"/>
              </w:rPr>
            </w:pPr>
          </w:p>
        </w:tc>
        <w:tc>
          <w:tcPr>
            <w:tcW w:w="667" w:type="dxa"/>
            <w:noWrap w:val="0"/>
            <w:vAlign w:val="center"/>
          </w:tcPr>
          <w:p w14:paraId="0C8004B3">
            <w:pPr>
              <w:spacing w:before="4" w:after="4"/>
              <w:jc w:val="center"/>
              <w:rPr>
                <w:kern w:val="2"/>
                <w:sz w:val="21"/>
                <w:szCs w:val="21"/>
                <w:lang w:val="en-US" w:bidi="ar-SA"/>
              </w:rPr>
            </w:pPr>
          </w:p>
        </w:tc>
        <w:tc>
          <w:tcPr>
            <w:tcW w:w="972" w:type="dxa"/>
            <w:noWrap w:val="0"/>
            <w:vAlign w:val="center"/>
          </w:tcPr>
          <w:p w14:paraId="3CF97941">
            <w:pPr>
              <w:adjustRightInd w:val="0"/>
              <w:snapToGrid w:val="0"/>
              <w:spacing w:line="360" w:lineRule="auto"/>
              <w:jc w:val="center"/>
              <w:rPr>
                <w:rFonts w:ascii="Times New Roman"/>
              </w:rPr>
            </w:pPr>
          </w:p>
        </w:tc>
        <w:tc>
          <w:tcPr>
            <w:tcW w:w="960" w:type="dxa"/>
            <w:noWrap w:val="0"/>
            <w:vAlign w:val="center"/>
          </w:tcPr>
          <w:p w14:paraId="16D5C8DE">
            <w:pPr>
              <w:autoSpaceDE/>
              <w:autoSpaceDN/>
              <w:spacing w:before="48" w:beforeLines="20" w:after="48" w:afterLines="20"/>
              <w:jc w:val="center"/>
              <w:rPr>
                <w:kern w:val="2"/>
                <w:sz w:val="21"/>
                <w:szCs w:val="21"/>
                <w:lang w:val="en-US" w:bidi="ar-SA"/>
              </w:rPr>
            </w:pPr>
          </w:p>
        </w:tc>
        <w:tc>
          <w:tcPr>
            <w:tcW w:w="1073" w:type="dxa"/>
            <w:noWrap w:val="0"/>
            <w:vAlign w:val="center"/>
          </w:tcPr>
          <w:p w14:paraId="497EFC08">
            <w:pPr>
              <w:spacing w:before="4" w:after="4"/>
              <w:jc w:val="center"/>
              <w:rPr>
                <w:sz w:val="21"/>
                <w:szCs w:val="21"/>
                <w:lang w:val="en-US"/>
              </w:rPr>
            </w:pPr>
          </w:p>
        </w:tc>
        <w:tc>
          <w:tcPr>
            <w:tcW w:w="1440" w:type="dxa"/>
            <w:noWrap w:val="0"/>
            <w:vAlign w:val="bottom"/>
          </w:tcPr>
          <w:p w14:paraId="307F747B">
            <w:pPr>
              <w:adjustRightInd w:val="0"/>
              <w:snapToGrid w:val="0"/>
              <w:spacing w:line="360" w:lineRule="auto"/>
              <w:jc w:val="center"/>
              <w:rPr>
                <w:rFonts w:ascii="Times New Roman"/>
              </w:rPr>
            </w:pPr>
          </w:p>
        </w:tc>
        <w:tc>
          <w:tcPr>
            <w:tcW w:w="1788" w:type="dxa"/>
            <w:noWrap w:val="0"/>
            <w:vAlign w:val="center"/>
          </w:tcPr>
          <w:p w14:paraId="5ACC6C12">
            <w:pPr>
              <w:autoSpaceDE/>
              <w:autoSpaceDN/>
              <w:spacing w:before="48" w:beforeLines="20" w:after="48" w:afterLines="20"/>
              <w:jc w:val="center"/>
              <w:rPr>
                <w:sz w:val="21"/>
                <w:szCs w:val="21"/>
              </w:rPr>
            </w:pPr>
          </w:p>
        </w:tc>
        <w:tc>
          <w:tcPr>
            <w:tcW w:w="526" w:type="dxa"/>
            <w:noWrap w:val="0"/>
            <w:vAlign w:val="center"/>
          </w:tcPr>
          <w:p w14:paraId="2F2DC2A3">
            <w:pPr>
              <w:autoSpaceDE/>
              <w:autoSpaceDN/>
              <w:spacing w:before="48" w:beforeLines="20" w:after="48" w:afterLines="20"/>
              <w:jc w:val="center"/>
              <w:rPr>
                <w:sz w:val="21"/>
                <w:szCs w:val="21"/>
                <w:lang w:val="en-US"/>
              </w:rPr>
            </w:pPr>
          </w:p>
        </w:tc>
      </w:tr>
      <w:tr w14:paraId="036A7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center"/>
          </w:tcPr>
          <w:p w14:paraId="4EA48359">
            <w:pPr>
              <w:autoSpaceDE/>
              <w:autoSpaceDN/>
              <w:spacing w:before="48" w:beforeLines="20" w:after="48" w:afterLines="20"/>
              <w:jc w:val="center"/>
              <w:rPr>
                <w:sz w:val="24"/>
              </w:rPr>
            </w:pPr>
          </w:p>
        </w:tc>
        <w:tc>
          <w:tcPr>
            <w:tcW w:w="958" w:type="dxa"/>
            <w:noWrap w:val="0"/>
            <w:vAlign w:val="center"/>
          </w:tcPr>
          <w:p w14:paraId="0CACBB55">
            <w:pPr>
              <w:spacing w:line="360" w:lineRule="auto"/>
              <w:jc w:val="center"/>
              <w:rPr>
                <w:rFonts w:ascii="Times New Roman"/>
              </w:rPr>
            </w:pPr>
          </w:p>
        </w:tc>
        <w:tc>
          <w:tcPr>
            <w:tcW w:w="665" w:type="dxa"/>
            <w:noWrap w:val="0"/>
            <w:vAlign w:val="center"/>
          </w:tcPr>
          <w:p w14:paraId="3E7E7BC5">
            <w:pPr>
              <w:autoSpaceDE/>
              <w:autoSpaceDN/>
              <w:snapToGrid w:val="0"/>
              <w:spacing w:before="48" w:beforeLines="20" w:after="48" w:afterLines="20"/>
              <w:jc w:val="center"/>
              <w:rPr>
                <w:rFonts w:ascii="Times New Roman"/>
              </w:rPr>
            </w:pPr>
          </w:p>
        </w:tc>
        <w:tc>
          <w:tcPr>
            <w:tcW w:w="667" w:type="dxa"/>
            <w:noWrap w:val="0"/>
            <w:vAlign w:val="center"/>
          </w:tcPr>
          <w:p w14:paraId="25D06F76">
            <w:pPr>
              <w:spacing w:before="4" w:after="4"/>
              <w:jc w:val="center"/>
              <w:rPr>
                <w:kern w:val="2"/>
                <w:sz w:val="21"/>
                <w:szCs w:val="21"/>
                <w:lang w:val="en-US" w:bidi="ar-SA"/>
              </w:rPr>
            </w:pPr>
          </w:p>
        </w:tc>
        <w:tc>
          <w:tcPr>
            <w:tcW w:w="972" w:type="dxa"/>
            <w:noWrap w:val="0"/>
            <w:vAlign w:val="center"/>
          </w:tcPr>
          <w:p w14:paraId="547580B3">
            <w:pPr>
              <w:adjustRightInd w:val="0"/>
              <w:snapToGrid w:val="0"/>
              <w:spacing w:line="360" w:lineRule="auto"/>
              <w:jc w:val="center"/>
              <w:rPr>
                <w:rFonts w:ascii="Times New Roman"/>
              </w:rPr>
            </w:pPr>
          </w:p>
        </w:tc>
        <w:tc>
          <w:tcPr>
            <w:tcW w:w="960" w:type="dxa"/>
            <w:noWrap w:val="0"/>
            <w:vAlign w:val="center"/>
          </w:tcPr>
          <w:p w14:paraId="37EC3C44">
            <w:pPr>
              <w:autoSpaceDE/>
              <w:autoSpaceDN/>
              <w:spacing w:before="48" w:beforeLines="20" w:after="48" w:afterLines="20"/>
              <w:jc w:val="center"/>
              <w:rPr>
                <w:sz w:val="21"/>
                <w:szCs w:val="21"/>
                <w:lang w:val="en-US"/>
              </w:rPr>
            </w:pPr>
          </w:p>
        </w:tc>
        <w:tc>
          <w:tcPr>
            <w:tcW w:w="1073" w:type="dxa"/>
            <w:noWrap w:val="0"/>
            <w:vAlign w:val="center"/>
          </w:tcPr>
          <w:p w14:paraId="4A924313">
            <w:pPr>
              <w:spacing w:before="4" w:after="4"/>
              <w:jc w:val="center"/>
              <w:rPr>
                <w:sz w:val="21"/>
                <w:szCs w:val="21"/>
                <w:lang w:val="en-US"/>
              </w:rPr>
            </w:pPr>
          </w:p>
        </w:tc>
        <w:tc>
          <w:tcPr>
            <w:tcW w:w="1440" w:type="dxa"/>
            <w:noWrap w:val="0"/>
            <w:vAlign w:val="bottom"/>
          </w:tcPr>
          <w:p w14:paraId="2169EC6F">
            <w:pPr>
              <w:adjustRightInd w:val="0"/>
              <w:snapToGrid w:val="0"/>
              <w:spacing w:line="360" w:lineRule="auto"/>
              <w:jc w:val="center"/>
              <w:rPr>
                <w:rFonts w:ascii="Times New Roman"/>
              </w:rPr>
            </w:pPr>
          </w:p>
        </w:tc>
        <w:tc>
          <w:tcPr>
            <w:tcW w:w="1788" w:type="dxa"/>
            <w:noWrap w:val="0"/>
            <w:vAlign w:val="center"/>
          </w:tcPr>
          <w:p w14:paraId="240CCB25">
            <w:pPr>
              <w:autoSpaceDE/>
              <w:autoSpaceDN/>
              <w:spacing w:before="48" w:beforeLines="20" w:after="48" w:afterLines="20"/>
              <w:jc w:val="center"/>
              <w:rPr>
                <w:sz w:val="21"/>
                <w:szCs w:val="21"/>
              </w:rPr>
            </w:pPr>
          </w:p>
        </w:tc>
        <w:tc>
          <w:tcPr>
            <w:tcW w:w="526" w:type="dxa"/>
            <w:noWrap w:val="0"/>
            <w:vAlign w:val="center"/>
          </w:tcPr>
          <w:p w14:paraId="4D137300">
            <w:pPr>
              <w:autoSpaceDE/>
              <w:autoSpaceDN/>
              <w:spacing w:before="48" w:beforeLines="20" w:after="48" w:afterLines="20"/>
              <w:jc w:val="center"/>
              <w:rPr>
                <w:sz w:val="21"/>
                <w:szCs w:val="21"/>
                <w:lang w:val="en-US"/>
              </w:rPr>
            </w:pPr>
          </w:p>
        </w:tc>
      </w:tr>
      <w:tr w14:paraId="2C7E3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center"/>
          </w:tcPr>
          <w:p w14:paraId="05D18145">
            <w:pPr>
              <w:autoSpaceDE/>
              <w:autoSpaceDN/>
              <w:spacing w:before="48" w:beforeLines="20" w:after="48" w:afterLines="20"/>
              <w:jc w:val="center"/>
              <w:rPr>
                <w:sz w:val="24"/>
              </w:rPr>
            </w:pPr>
          </w:p>
        </w:tc>
        <w:tc>
          <w:tcPr>
            <w:tcW w:w="958" w:type="dxa"/>
            <w:noWrap w:val="0"/>
            <w:vAlign w:val="center"/>
          </w:tcPr>
          <w:p w14:paraId="1934BFE5">
            <w:pPr>
              <w:spacing w:line="360" w:lineRule="auto"/>
              <w:jc w:val="center"/>
              <w:rPr>
                <w:rFonts w:ascii="Times New Roman"/>
              </w:rPr>
            </w:pPr>
          </w:p>
        </w:tc>
        <w:tc>
          <w:tcPr>
            <w:tcW w:w="665" w:type="dxa"/>
            <w:noWrap w:val="0"/>
            <w:vAlign w:val="center"/>
          </w:tcPr>
          <w:p w14:paraId="61DAA639">
            <w:pPr>
              <w:autoSpaceDE/>
              <w:autoSpaceDN/>
              <w:snapToGrid w:val="0"/>
              <w:spacing w:before="48" w:beforeLines="20" w:after="48" w:afterLines="20"/>
              <w:jc w:val="center"/>
              <w:rPr>
                <w:rFonts w:ascii="Times New Roman"/>
              </w:rPr>
            </w:pPr>
          </w:p>
        </w:tc>
        <w:tc>
          <w:tcPr>
            <w:tcW w:w="667" w:type="dxa"/>
            <w:noWrap w:val="0"/>
            <w:vAlign w:val="center"/>
          </w:tcPr>
          <w:p w14:paraId="3909AFA4">
            <w:pPr>
              <w:spacing w:before="4" w:after="4"/>
              <w:jc w:val="center"/>
              <w:rPr>
                <w:kern w:val="2"/>
                <w:sz w:val="21"/>
                <w:szCs w:val="21"/>
                <w:lang w:val="en-US" w:bidi="ar-SA"/>
              </w:rPr>
            </w:pPr>
          </w:p>
        </w:tc>
        <w:tc>
          <w:tcPr>
            <w:tcW w:w="972" w:type="dxa"/>
            <w:noWrap w:val="0"/>
            <w:vAlign w:val="center"/>
          </w:tcPr>
          <w:p w14:paraId="7B0B71CA">
            <w:pPr>
              <w:adjustRightInd w:val="0"/>
              <w:snapToGrid w:val="0"/>
              <w:spacing w:line="360" w:lineRule="auto"/>
              <w:jc w:val="center"/>
              <w:rPr>
                <w:rFonts w:ascii="Times New Roman"/>
              </w:rPr>
            </w:pPr>
          </w:p>
        </w:tc>
        <w:tc>
          <w:tcPr>
            <w:tcW w:w="960" w:type="dxa"/>
            <w:noWrap w:val="0"/>
            <w:vAlign w:val="center"/>
          </w:tcPr>
          <w:p w14:paraId="6A2FDE87">
            <w:pPr>
              <w:autoSpaceDE/>
              <w:autoSpaceDN/>
              <w:spacing w:before="48" w:beforeLines="20" w:after="48" w:afterLines="20"/>
              <w:jc w:val="center"/>
              <w:rPr>
                <w:sz w:val="21"/>
                <w:szCs w:val="21"/>
              </w:rPr>
            </w:pPr>
          </w:p>
        </w:tc>
        <w:tc>
          <w:tcPr>
            <w:tcW w:w="1073" w:type="dxa"/>
            <w:noWrap w:val="0"/>
            <w:vAlign w:val="center"/>
          </w:tcPr>
          <w:p w14:paraId="0D7B2222">
            <w:pPr>
              <w:spacing w:before="4" w:after="4"/>
              <w:jc w:val="center"/>
              <w:rPr>
                <w:sz w:val="21"/>
                <w:szCs w:val="21"/>
                <w:lang w:val="en-US"/>
              </w:rPr>
            </w:pPr>
          </w:p>
        </w:tc>
        <w:tc>
          <w:tcPr>
            <w:tcW w:w="1440" w:type="dxa"/>
            <w:noWrap w:val="0"/>
            <w:vAlign w:val="bottom"/>
          </w:tcPr>
          <w:p w14:paraId="53FAEF39">
            <w:pPr>
              <w:adjustRightInd w:val="0"/>
              <w:snapToGrid w:val="0"/>
              <w:spacing w:line="360" w:lineRule="auto"/>
              <w:jc w:val="center"/>
              <w:rPr>
                <w:rFonts w:ascii="Times New Roman"/>
              </w:rPr>
            </w:pPr>
          </w:p>
        </w:tc>
        <w:tc>
          <w:tcPr>
            <w:tcW w:w="1788" w:type="dxa"/>
            <w:noWrap w:val="0"/>
            <w:vAlign w:val="center"/>
          </w:tcPr>
          <w:p w14:paraId="0FAE7205">
            <w:pPr>
              <w:autoSpaceDE/>
              <w:autoSpaceDN/>
              <w:spacing w:before="48" w:beforeLines="20" w:after="48" w:afterLines="20"/>
              <w:jc w:val="center"/>
              <w:rPr>
                <w:sz w:val="21"/>
                <w:szCs w:val="21"/>
              </w:rPr>
            </w:pPr>
          </w:p>
        </w:tc>
        <w:tc>
          <w:tcPr>
            <w:tcW w:w="526" w:type="dxa"/>
            <w:noWrap w:val="0"/>
            <w:vAlign w:val="center"/>
          </w:tcPr>
          <w:p w14:paraId="50406CC2">
            <w:pPr>
              <w:autoSpaceDE/>
              <w:autoSpaceDN/>
              <w:spacing w:before="48" w:beforeLines="20" w:after="48" w:afterLines="20"/>
              <w:jc w:val="center"/>
              <w:rPr>
                <w:sz w:val="21"/>
                <w:szCs w:val="21"/>
                <w:lang w:val="en-US"/>
              </w:rPr>
            </w:pPr>
          </w:p>
        </w:tc>
      </w:tr>
      <w:tr w14:paraId="36361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66" w:type="dxa"/>
            <w:noWrap w:val="0"/>
            <w:vAlign w:val="center"/>
          </w:tcPr>
          <w:p w14:paraId="047B0350">
            <w:pPr>
              <w:autoSpaceDE/>
              <w:autoSpaceDN/>
              <w:spacing w:before="48" w:beforeLines="20" w:after="48" w:afterLines="20"/>
              <w:jc w:val="center"/>
              <w:rPr>
                <w:sz w:val="24"/>
              </w:rPr>
            </w:pPr>
          </w:p>
        </w:tc>
        <w:tc>
          <w:tcPr>
            <w:tcW w:w="958" w:type="dxa"/>
            <w:noWrap w:val="0"/>
            <w:vAlign w:val="center"/>
          </w:tcPr>
          <w:p w14:paraId="61F7AC21">
            <w:pPr>
              <w:spacing w:line="360" w:lineRule="auto"/>
              <w:jc w:val="center"/>
              <w:rPr>
                <w:rFonts w:ascii="Times New Roman"/>
              </w:rPr>
            </w:pPr>
          </w:p>
        </w:tc>
        <w:tc>
          <w:tcPr>
            <w:tcW w:w="665" w:type="dxa"/>
            <w:noWrap w:val="0"/>
            <w:vAlign w:val="center"/>
          </w:tcPr>
          <w:p w14:paraId="7AFA2A7C">
            <w:pPr>
              <w:autoSpaceDE/>
              <w:autoSpaceDN/>
              <w:snapToGrid w:val="0"/>
              <w:spacing w:before="48" w:beforeLines="20" w:after="48" w:afterLines="20"/>
              <w:jc w:val="center"/>
              <w:rPr>
                <w:rFonts w:ascii="Times New Roman"/>
              </w:rPr>
            </w:pPr>
          </w:p>
        </w:tc>
        <w:tc>
          <w:tcPr>
            <w:tcW w:w="667" w:type="dxa"/>
            <w:noWrap w:val="0"/>
            <w:vAlign w:val="center"/>
          </w:tcPr>
          <w:p w14:paraId="05878189">
            <w:pPr>
              <w:spacing w:before="4" w:after="4"/>
              <w:jc w:val="center"/>
              <w:rPr>
                <w:sz w:val="21"/>
                <w:szCs w:val="21"/>
                <w:lang w:val="en-US"/>
              </w:rPr>
            </w:pPr>
          </w:p>
        </w:tc>
        <w:tc>
          <w:tcPr>
            <w:tcW w:w="972" w:type="dxa"/>
            <w:noWrap w:val="0"/>
            <w:vAlign w:val="center"/>
          </w:tcPr>
          <w:p w14:paraId="31F4CFA2">
            <w:pPr>
              <w:adjustRightInd w:val="0"/>
              <w:snapToGrid w:val="0"/>
              <w:spacing w:line="360" w:lineRule="auto"/>
              <w:jc w:val="center"/>
              <w:rPr>
                <w:rFonts w:ascii="Times New Roman"/>
              </w:rPr>
            </w:pPr>
          </w:p>
        </w:tc>
        <w:tc>
          <w:tcPr>
            <w:tcW w:w="960" w:type="dxa"/>
            <w:noWrap w:val="0"/>
            <w:vAlign w:val="center"/>
          </w:tcPr>
          <w:p w14:paraId="5C21AC1D">
            <w:pPr>
              <w:autoSpaceDE/>
              <w:autoSpaceDN/>
              <w:spacing w:before="48" w:beforeLines="20" w:after="48" w:afterLines="20"/>
              <w:jc w:val="center"/>
              <w:rPr>
                <w:sz w:val="21"/>
                <w:szCs w:val="21"/>
                <w:lang w:val="en-US"/>
              </w:rPr>
            </w:pPr>
          </w:p>
        </w:tc>
        <w:tc>
          <w:tcPr>
            <w:tcW w:w="1073" w:type="dxa"/>
            <w:noWrap w:val="0"/>
            <w:vAlign w:val="center"/>
          </w:tcPr>
          <w:p w14:paraId="158F5989">
            <w:pPr>
              <w:spacing w:before="4" w:after="4"/>
              <w:jc w:val="center"/>
              <w:rPr>
                <w:sz w:val="21"/>
                <w:szCs w:val="21"/>
                <w:lang w:val="en-US"/>
              </w:rPr>
            </w:pPr>
          </w:p>
        </w:tc>
        <w:tc>
          <w:tcPr>
            <w:tcW w:w="1440" w:type="dxa"/>
            <w:noWrap w:val="0"/>
            <w:vAlign w:val="bottom"/>
          </w:tcPr>
          <w:p w14:paraId="2A1B7E68">
            <w:pPr>
              <w:adjustRightInd w:val="0"/>
              <w:snapToGrid w:val="0"/>
              <w:spacing w:line="360" w:lineRule="auto"/>
              <w:jc w:val="center"/>
              <w:rPr>
                <w:rFonts w:ascii="Times New Roman"/>
              </w:rPr>
            </w:pPr>
          </w:p>
        </w:tc>
        <w:tc>
          <w:tcPr>
            <w:tcW w:w="1788" w:type="dxa"/>
            <w:noWrap w:val="0"/>
            <w:vAlign w:val="center"/>
          </w:tcPr>
          <w:p w14:paraId="3A9BB191">
            <w:pPr>
              <w:autoSpaceDE/>
              <w:autoSpaceDN/>
              <w:spacing w:before="48" w:beforeLines="20" w:after="48" w:afterLines="20"/>
              <w:jc w:val="center"/>
              <w:rPr>
                <w:sz w:val="21"/>
                <w:szCs w:val="21"/>
                <w:lang w:val="en-US"/>
              </w:rPr>
            </w:pPr>
          </w:p>
        </w:tc>
        <w:tc>
          <w:tcPr>
            <w:tcW w:w="526" w:type="dxa"/>
            <w:noWrap w:val="0"/>
            <w:vAlign w:val="center"/>
          </w:tcPr>
          <w:p w14:paraId="61F239B8">
            <w:pPr>
              <w:autoSpaceDE/>
              <w:autoSpaceDN/>
              <w:spacing w:before="48" w:beforeLines="20" w:after="48" w:afterLines="20"/>
              <w:jc w:val="center"/>
              <w:rPr>
                <w:sz w:val="21"/>
                <w:szCs w:val="21"/>
                <w:lang w:val="en-US"/>
              </w:rPr>
            </w:pPr>
          </w:p>
        </w:tc>
      </w:tr>
      <w:tr w14:paraId="53AF3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center"/>
          </w:tcPr>
          <w:p w14:paraId="13C293EA">
            <w:pPr>
              <w:autoSpaceDE/>
              <w:autoSpaceDN/>
              <w:spacing w:before="48" w:beforeLines="20" w:after="48" w:afterLines="20"/>
              <w:jc w:val="center"/>
              <w:rPr>
                <w:sz w:val="24"/>
              </w:rPr>
            </w:pPr>
          </w:p>
        </w:tc>
        <w:tc>
          <w:tcPr>
            <w:tcW w:w="958" w:type="dxa"/>
            <w:noWrap w:val="0"/>
            <w:vAlign w:val="center"/>
          </w:tcPr>
          <w:p w14:paraId="1186373E">
            <w:pPr>
              <w:spacing w:line="360" w:lineRule="auto"/>
              <w:jc w:val="center"/>
              <w:rPr>
                <w:rFonts w:ascii="Times New Roman"/>
              </w:rPr>
            </w:pPr>
          </w:p>
        </w:tc>
        <w:tc>
          <w:tcPr>
            <w:tcW w:w="665" w:type="dxa"/>
            <w:noWrap w:val="0"/>
            <w:vAlign w:val="center"/>
          </w:tcPr>
          <w:p w14:paraId="53621739">
            <w:pPr>
              <w:autoSpaceDE/>
              <w:autoSpaceDN/>
              <w:snapToGrid w:val="0"/>
              <w:spacing w:before="48" w:beforeLines="20" w:after="48" w:afterLines="20"/>
              <w:jc w:val="center"/>
              <w:rPr>
                <w:rFonts w:ascii="Times New Roman"/>
              </w:rPr>
            </w:pPr>
          </w:p>
        </w:tc>
        <w:tc>
          <w:tcPr>
            <w:tcW w:w="667" w:type="dxa"/>
            <w:noWrap w:val="0"/>
            <w:vAlign w:val="center"/>
          </w:tcPr>
          <w:p w14:paraId="63FE1E5D">
            <w:pPr>
              <w:spacing w:before="4" w:after="4"/>
              <w:jc w:val="center"/>
              <w:rPr>
                <w:kern w:val="2"/>
                <w:sz w:val="21"/>
                <w:szCs w:val="21"/>
                <w:lang w:val="en-US" w:bidi="ar-SA"/>
              </w:rPr>
            </w:pPr>
          </w:p>
        </w:tc>
        <w:tc>
          <w:tcPr>
            <w:tcW w:w="972" w:type="dxa"/>
            <w:noWrap w:val="0"/>
            <w:vAlign w:val="center"/>
          </w:tcPr>
          <w:p w14:paraId="2B4116AC">
            <w:pPr>
              <w:adjustRightInd w:val="0"/>
              <w:snapToGrid w:val="0"/>
              <w:spacing w:line="360" w:lineRule="auto"/>
              <w:jc w:val="center"/>
              <w:rPr>
                <w:rFonts w:ascii="Times New Roman"/>
              </w:rPr>
            </w:pPr>
          </w:p>
        </w:tc>
        <w:tc>
          <w:tcPr>
            <w:tcW w:w="960" w:type="dxa"/>
            <w:noWrap w:val="0"/>
            <w:vAlign w:val="center"/>
          </w:tcPr>
          <w:p w14:paraId="74D337E3">
            <w:pPr>
              <w:autoSpaceDE/>
              <w:autoSpaceDN/>
              <w:spacing w:before="48" w:beforeLines="20" w:after="48" w:afterLines="20"/>
              <w:jc w:val="center"/>
              <w:rPr>
                <w:sz w:val="21"/>
                <w:szCs w:val="21"/>
                <w:lang w:val="en-US"/>
              </w:rPr>
            </w:pPr>
          </w:p>
        </w:tc>
        <w:tc>
          <w:tcPr>
            <w:tcW w:w="1073" w:type="dxa"/>
            <w:noWrap w:val="0"/>
            <w:vAlign w:val="center"/>
          </w:tcPr>
          <w:p w14:paraId="4121BE3B">
            <w:pPr>
              <w:spacing w:before="4" w:after="4"/>
              <w:jc w:val="center"/>
              <w:rPr>
                <w:sz w:val="21"/>
                <w:szCs w:val="21"/>
                <w:lang w:val="en-US"/>
              </w:rPr>
            </w:pPr>
          </w:p>
        </w:tc>
        <w:tc>
          <w:tcPr>
            <w:tcW w:w="1440" w:type="dxa"/>
            <w:noWrap w:val="0"/>
            <w:vAlign w:val="bottom"/>
          </w:tcPr>
          <w:p w14:paraId="4620B334">
            <w:pPr>
              <w:adjustRightInd w:val="0"/>
              <w:snapToGrid w:val="0"/>
              <w:spacing w:line="360" w:lineRule="auto"/>
              <w:jc w:val="center"/>
              <w:rPr>
                <w:rFonts w:ascii="Times New Roman"/>
              </w:rPr>
            </w:pPr>
          </w:p>
        </w:tc>
        <w:tc>
          <w:tcPr>
            <w:tcW w:w="1788" w:type="dxa"/>
            <w:noWrap w:val="0"/>
            <w:vAlign w:val="center"/>
          </w:tcPr>
          <w:p w14:paraId="36A40C5D">
            <w:pPr>
              <w:widowControl/>
              <w:autoSpaceDE/>
              <w:autoSpaceDN/>
              <w:spacing w:before="48" w:beforeLines="20" w:after="48" w:afterLines="20"/>
              <w:jc w:val="center"/>
              <w:rPr>
                <w:lang w:val="en-US"/>
              </w:rPr>
            </w:pPr>
          </w:p>
        </w:tc>
        <w:tc>
          <w:tcPr>
            <w:tcW w:w="526" w:type="dxa"/>
            <w:noWrap w:val="0"/>
            <w:vAlign w:val="center"/>
          </w:tcPr>
          <w:p w14:paraId="782E5560">
            <w:pPr>
              <w:autoSpaceDE/>
              <w:autoSpaceDN/>
              <w:spacing w:before="48" w:beforeLines="20" w:after="48" w:afterLines="20"/>
              <w:jc w:val="center"/>
              <w:rPr>
                <w:sz w:val="21"/>
                <w:szCs w:val="21"/>
                <w:lang w:val="en-US"/>
              </w:rPr>
            </w:pPr>
          </w:p>
        </w:tc>
      </w:tr>
      <w:tr w14:paraId="2F265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center"/>
          </w:tcPr>
          <w:p w14:paraId="4986D448">
            <w:pPr>
              <w:autoSpaceDE/>
              <w:autoSpaceDN/>
              <w:spacing w:before="48" w:beforeLines="20" w:after="48" w:afterLines="20"/>
              <w:jc w:val="center"/>
              <w:rPr>
                <w:sz w:val="24"/>
              </w:rPr>
            </w:pPr>
          </w:p>
        </w:tc>
        <w:tc>
          <w:tcPr>
            <w:tcW w:w="958" w:type="dxa"/>
            <w:noWrap w:val="0"/>
            <w:vAlign w:val="center"/>
          </w:tcPr>
          <w:p w14:paraId="15CB01FE">
            <w:pPr>
              <w:spacing w:line="360" w:lineRule="auto"/>
              <w:jc w:val="center"/>
              <w:rPr>
                <w:rFonts w:ascii="Times New Roman"/>
              </w:rPr>
            </w:pPr>
          </w:p>
        </w:tc>
        <w:tc>
          <w:tcPr>
            <w:tcW w:w="665" w:type="dxa"/>
            <w:noWrap w:val="0"/>
            <w:vAlign w:val="center"/>
          </w:tcPr>
          <w:p w14:paraId="0E7C9298">
            <w:pPr>
              <w:autoSpaceDE/>
              <w:autoSpaceDN/>
              <w:snapToGrid w:val="0"/>
              <w:spacing w:before="48" w:beforeLines="20" w:after="48" w:afterLines="20"/>
              <w:jc w:val="center"/>
              <w:rPr>
                <w:rFonts w:ascii="Times New Roman"/>
              </w:rPr>
            </w:pPr>
          </w:p>
        </w:tc>
        <w:tc>
          <w:tcPr>
            <w:tcW w:w="667" w:type="dxa"/>
            <w:noWrap w:val="0"/>
            <w:vAlign w:val="center"/>
          </w:tcPr>
          <w:p w14:paraId="3652A55B">
            <w:pPr>
              <w:spacing w:before="4" w:after="4"/>
              <w:jc w:val="center"/>
              <w:rPr>
                <w:kern w:val="2"/>
                <w:sz w:val="21"/>
                <w:szCs w:val="21"/>
                <w:lang w:val="en-US" w:bidi="ar-SA"/>
              </w:rPr>
            </w:pPr>
          </w:p>
        </w:tc>
        <w:tc>
          <w:tcPr>
            <w:tcW w:w="972" w:type="dxa"/>
            <w:noWrap w:val="0"/>
            <w:vAlign w:val="center"/>
          </w:tcPr>
          <w:p w14:paraId="0BF9D714">
            <w:pPr>
              <w:spacing w:line="360" w:lineRule="auto"/>
              <w:jc w:val="center"/>
              <w:rPr>
                <w:rFonts w:ascii="Times New Roman"/>
              </w:rPr>
            </w:pPr>
          </w:p>
        </w:tc>
        <w:tc>
          <w:tcPr>
            <w:tcW w:w="960" w:type="dxa"/>
            <w:noWrap w:val="0"/>
            <w:vAlign w:val="center"/>
          </w:tcPr>
          <w:p w14:paraId="5A180DF2">
            <w:pPr>
              <w:autoSpaceDE/>
              <w:autoSpaceDN/>
              <w:spacing w:before="48" w:beforeLines="20" w:after="48" w:afterLines="20"/>
              <w:jc w:val="center"/>
              <w:rPr>
                <w:sz w:val="21"/>
                <w:szCs w:val="21"/>
              </w:rPr>
            </w:pPr>
          </w:p>
        </w:tc>
        <w:tc>
          <w:tcPr>
            <w:tcW w:w="1073" w:type="dxa"/>
            <w:noWrap w:val="0"/>
            <w:vAlign w:val="center"/>
          </w:tcPr>
          <w:p w14:paraId="0EA470DE">
            <w:pPr>
              <w:spacing w:before="4" w:after="4"/>
              <w:jc w:val="center"/>
              <w:rPr>
                <w:sz w:val="21"/>
                <w:szCs w:val="21"/>
                <w:lang w:val="en-US"/>
              </w:rPr>
            </w:pPr>
          </w:p>
        </w:tc>
        <w:tc>
          <w:tcPr>
            <w:tcW w:w="1440" w:type="dxa"/>
            <w:noWrap w:val="0"/>
            <w:vAlign w:val="bottom"/>
          </w:tcPr>
          <w:p w14:paraId="59EBD6D2">
            <w:pPr>
              <w:adjustRightInd w:val="0"/>
              <w:snapToGrid w:val="0"/>
              <w:spacing w:line="360" w:lineRule="auto"/>
              <w:jc w:val="center"/>
              <w:rPr>
                <w:rFonts w:ascii="Times New Roman"/>
              </w:rPr>
            </w:pPr>
          </w:p>
        </w:tc>
        <w:tc>
          <w:tcPr>
            <w:tcW w:w="1788" w:type="dxa"/>
            <w:noWrap w:val="0"/>
            <w:vAlign w:val="center"/>
          </w:tcPr>
          <w:p w14:paraId="615B70EC">
            <w:pPr>
              <w:autoSpaceDE/>
              <w:autoSpaceDN/>
              <w:spacing w:before="48" w:beforeLines="20" w:after="48" w:afterLines="20"/>
              <w:jc w:val="center"/>
              <w:rPr>
                <w:sz w:val="21"/>
                <w:szCs w:val="21"/>
              </w:rPr>
            </w:pPr>
          </w:p>
        </w:tc>
        <w:tc>
          <w:tcPr>
            <w:tcW w:w="526" w:type="dxa"/>
            <w:noWrap w:val="0"/>
            <w:vAlign w:val="center"/>
          </w:tcPr>
          <w:p w14:paraId="6E6480DD">
            <w:pPr>
              <w:autoSpaceDE/>
              <w:autoSpaceDN/>
              <w:spacing w:before="48" w:beforeLines="20" w:after="48" w:afterLines="20"/>
              <w:jc w:val="center"/>
              <w:rPr>
                <w:sz w:val="21"/>
                <w:szCs w:val="21"/>
                <w:lang w:val="en-US"/>
              </w:rPr>
            </w:pPr>
          </w:p>
        </w:tc>
      </w:tr>
      <w:tr w14:paraId="52C3A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66" w:type="dxa"/>
            <w:noWrap w:val="0"/>
            <w:vAlign w:val="center"/>
          </w:tcPr>
          <w:p w14:paraId="4F3D4627">
            <w:pPr>
              <w:autoSpaceDE/>
              <w:autoSpaceDN/>
              <w:spacing w:before="48" w:beforeLines="20" w:after="48" w:afterLines="20"/>
              <w:jc w:val="center"/>
              <w:rPr>
                <w:sz w:val="24"/>
              </w:rPr>
            </w:pPr>
          </w:p>
        </w:tc>
        <w:tc>
          <w:tcPr>
            <w:tcW w:w="958" w:type="dxa"/>
            <w:noWrap w:val="0"/>
            <w:vAlign w:val="center"/>
          </w:tcPr>
          <w:p w14:paraId="5273B20D">
            <w:pPr>
              <w:spacing w:line="360" w:lineRule="auto"/>
              <w:jc w:val="center"/>
              <w:rPr>
                <w:rFonts w:ascii="Times New Roman"/>
              </w:rPr>
            </w:pPr>
          </w:p>
        </w:tc>
        <w:tc>
          <w:tcPr>
            <w:tcW w:w="665" w:type="dxa"/>
            <w:noWrap w:val="0"/>
            <w:vAlign w:val="center"/>
          </w:tcPr>
          <w:p w14:paraId="10BA288D">
            <w:pPr>
              <w:autoSpaceDE/>
              <w:autoSpaceDN/>
              <w:snapToGrid w:val="0"/>
              <w:spacing w:before="48" w:beforeLines="20" w:after="48" w:afterLines="20"/>
              <w:jc w:val="center"/>
              <w:rPr>
                <w:rFonts w:ascii="Times New Roman"/>
              </w:rPr>
            </w:pPr>
          </w:p>
        </w:tc>
        <w:tc>
          <w:tcPr>
            <w:tcW w:w="667" w:type="dxa"/>
            <w:noWrap w:val="0"/>
            <w:vAlign w:val="center"/>
          </w:tcPr>
          <w:p w14:paraId="14219EC5">
            <w:pPr>
              <w:jc w:val="center"/>
              <w:rPr>
                <w:kern w:val="2"/>
                <w:sz w:val="21"/>
                <w:szCs w:val="21"/>
                <w:lang w:val="en-US" w:bidi="ar-SA"/>
              </w:rPr>
            </w:pPr>
          </w:p>
        </w:tc>
        <w:tc>
          <w:tcPr>
            <w:tcW w:w="972" w:type="dxa"/>
            <w:noWrap w:val="0"/>
            <w:vAlign w:val="center"/>
          </w:tcPr>
          <w:p w14:paraId="1DBFD0BA">
            <w:pPr>
              <w:spacing w:line="360" w:lineRule="auto"/>
              <w:jc w:val="center"/>
              <w:rPr>
                <w:rFonts w:ascii="Times New Roman"/>
              </w:rPr>
            </w:pPr>
          </w:p>
        </w:tc>
        <w:tc>
          <w:tcPr>
            <w:tcW w:w="960" w:type="dxa"/>
            <w:noWrap w:val="0"/>
            <w:vAlign w:val="center"/>
          </w:tcPr>
          <w:p w14:paraId="46D067DB">
            <w:pPr>
              <w:autoSpaceDE/>
              <w:autoSpaceDN/>
              <w:spacing w:before="48" w:beforeLines="20" w:after="48" w:afterLines="20"/>
              <w:jc w:val="center"/>
              <w:rPr>
                <w:sz w:val="21"/>
                <w:szCs w:val="21"/>
                <w:lang w:val="en-US"/>
              </w:rPr>
            </w:pPr>
          </w:p>
        </w:tc>
        <w:tc>
          <w:tcPr>
            <w:tcW w:w="1073" w:type="dxa"/>
            <w:noWrap w:val="0"/>
            <w:vAlign w:val="center"/>
          </w:tcPr>
          <w:p w14:paraId="0912C5E9">
            <w:pPr>
              <w:spacing w:before="4" w:after="4"/>
              <w:jc w:val="center"/>
              <w:rPr>
                <w:sz w:val="21"/>
                <w:szCs w:val="21"/>
                <w:lang w:val="en-US"/>
              </w:rPr>
            </w:pPr>
          </w:p>
        </w:tc>
        <w:tc>
          <w:tcPr>
            <w:tcW w:w="1440" w:type="dxa"/>
            <w:noWrap w:val="0"/>
            <w:vAlign w:val="bottom"/>
          </w:tcPr>
          <w:p w14:paraId="6B79AB96">
            <w:pPr>
              <w:adjustRightInd w:val="0"/>
              <w:snapToGrid w:val="0"/>
              <w:spacing w:line="360" w:lineRule="auto"/>
              <w:jc w:val="center"/>
              <w:rPr>
                <w:rFonts w:ascii="Times New Roman"/>
              </w:rPr>
            </w:pPr>
          </w:p>
        </w:tc>
        <w:tc>
          <w:tcPr>
            <w:tcW w:w="1788" w:type="dxa"/>
            <w:noWrap w:val="0"/>
            <w:vAlign w:val="center"/>
          </w:tcPr>
          <w:p w14:paraId="5F369529">
            <w:pPr>
              <w:autoSpaceDE/>
              <w:autoSpaceDN/>
              <w:spacing w:before="48" w:beforeLines="20" w:after="48" w:afterLines="20"/>
              <w:jc w:val="center"/>
              <w:rPr>
                <w:sz w:val="21"/>
                <w:szCs w:val="21"/>
              </w:rPr>
            </w:pPr>
          </w:p>
        </w:tc>
        <w:tc>
          <w:tcPr>
            <w:tcW w:w="526" w:type="dxa"/>
            <w:noWrap w:val="0"/>
            <w:vAlign w:val="center"/>
          </w:tcPr>
          <w:p w14:paraId="45DFB259">
            <w:pPr>
              <w:autoSpaceDE/>
              <w:autoSpaceDN/>
              <w:spacing w:before="48" w:beforeLines="20" w:after="48" w:afterLines="20"/>
              <w:jc w:val="center"/>
              <w:rPr>
                <w:sz w:val="21"/>
                <w:szCs w:val="21"/>
                <w:lang w:val="en-US"/>
              </w:rPr>
            </w:pPr>
          </w:p>
        </w:tc>
      </w:tr>
      <w:tr w14:paraId="4FBAC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center"/>
          </w:tcPr>
          <w:p w14:paraId="5350811E">
            <w:pPr>
              <w:autoSpaceDE/>
              <w:autoSpaceDN/>
              <w:spacing w:before="48" w:beforeLines="20" w:after="48" w:afterLines="20"/>
              <w:jc w:val="center"/>
              <w:rPr>
                <w:sz w:val="24"/>
              </w:rPr>
            </w:pPr>
          </w:p>
        </w:tc>
        <w:tc>
          <w:tcPr>
            <w:tcW w:w="958" w:type="dxa"/>
            <w:noWrap w:val="0"/>
            <w:vAlign w:val="center"/>
          </w:tcPr>
          <w:p w14:paraId="60F6F7B6">
            <w:pPr>
              <w:spacing w:line="360" w:lineRule="auto"/>
              <w:jc w:val="center"/>
              <w:rPr>
                <w:rFonts w:ascii="Times New Roman"/>
              </w:rPr>
            </w:pPr>
          </w:p>
        </w:tc>
        <w:tc>
          <w:tcPr>
            <w:tcW w:w="665" w:type="dxa"/>
            <w:noWrap w:val="0"/>
            <w:vAlign w:val="center"/>
          </w:tcPr>
          <w:p w14:paraId="56314B74">
            <w:pPr>
              <w:autoSpaceDE/>
              <w:autoSpaceDN/>
              <w:snapToGrid w:val="0"/>
              <w:spacing w:before="48" w:beforeLines="20" w:after="48" w:afterLines="20"/>
              <w:jc w:val="center"/>
              <w:rPr>
                <w:rFonts w:ascii="Times New Roman"/>
              </w:rPr>
            </w:pPr>
          </w:p>
        </w:tc>
        <w:tc>
          <w:tcPr>
            <w:tcW w:w="667" w:type="dxa"/>
            <w:noWrap w:val="0"/>
            <w:vAlign w:val="center"/>
          </w:tcPr>
          <w:p w14:paraId="66E92F49">
            <w:pPr>
              <w:jc w:val="center"/>
              <w:rPr>
                <w:kern w:val="2"/>
                <w:sz w:val="21"/>
                <w:szCs w:val="21"/>
                <w:lang w:val="en-US" w:bidi="ar-SA"/>
              </w:rPr>
            </w:pPr>
          </w:p>
        </w:tc>
        <w:tc>
          <w:tcPr>
            <w:tcW w:w="972" w:type="dxa"/>
            <w:noWrap w:val="0"/>
            <w:vAlign w:val="center"/>
          </w:tcPr>
          <w:p w14:paraId="1B2808E7">
            <w:pPr>
              <w:spacing w:line="360" w:lineRule="auto"/>
              <w:jc w:val="center"/>
              <w:rPr>
                <w:rFonts w:ascii="Times New Roman"/>
              </w:rPr>
            </w:pPr>
          </w:p>
        </w:tc>
        <w:tc>
          <w:tcPr>
            <w:tcW w:w="960" w:type="dxa"/>
            <w:noWrap w:val="0"/>
            <w:vAlign w:val="center"/>
          </w:tcPr>
          <w:p w14:paraId="0A67196F">
            <w:pPr>
              <w:autoSpaceDE/>
              <w:autoSpaceDN/>
              <w:spacing w:before="48" w:beforeLines="20" w:after="48" w:afterLines="20"/>
              <w:jc w:val="center"/>
              <w:rPr>
                <w:sz w:val="21"/>
                <w:szCs w:val="21"/>
              </w:rPr>
            </w:pPr>
          </w:p>
        </w:tc>
        <w:tc>
          <w:tcPr>
            <w:tcW w:w="1073" w:type="dxa"/>
            <w:noWrap w:val="0"/>
            <w:vAlign w:val="center"/>
          </w:tcPr>
          <w:p w14:paraId="5E0752D4">
            <w:pPr>
              <w:spacing w:before="4" w:after="4"/>
              <w:jc w:val="center"/>
              <w:rPr>
                <w:sz w:val="21"/>
                <w:szCs w:val="21"/>
                <w:lang w:val="en-US"/>
              </w:rPr>
            </w:pPr>
          </w:p>
        </w:tc>
        <w:tc>
          <w:tcPr>
            <w:tcW w:w="1440" w:type="dxa"/>
            <w:noWrap w:val="0"/>
            <w:vAlign w:val="center"/>
          </w:tcPr>
          <w:p w14:paraId="140142F2">
            <w:pPr>
              <w:spacing w:line="360" w:lineRule="auto"/>
              <w:jc w:val="center"/>
              <w:rPr>
                <w:rFonts w:ascii="Times New Roman"/>
              </w:rPr>
            </w:pPr>
          </w:p>
        </w:tc>
        <w:tc>
          <w:tcPr>
            <w:tcW w:w="1788" w:type="dxa"/>
            <w:noWrap w:val="0"/>
            <w:vAlign w:val="center"/>
          </w:tcPr>
          <w:p w14:paraId="6EB2B850">
            <w:pPr>
              <w:autoSpaceDE/>
              <w:autoSpaceDN/>
              <w:spacing w:before="48" w:beforeLines="20" w:after="48" w:afterLines="20"/>
              <w:jc w:val="center"/>
              <w:rPr>
                <w:sz w:val="21"/>
                <w:szCs w:val="21"/>
                <w:lang w:val="en-US"/>
              </w:rPr>
            </w:pPr>
          </w:p>
        </w:tc>
        <w:tc>
          <w:tcPr>
            <w:tcW w:w="526" w:type="dxa"/>
            <w:noWrap w:val="0"/>
            <w:vAlign w:val="center"/>
          </w:tcPr>
          <w:p w14:paraId="2E2771F5">
            <w:pPr>
              <w:autoSpaceDE/>
              <w:autoSpaceDN/>
              <w:spacing w:before="48" w:beforeLines="20" w:after="48" w:afterLines="20"/>
              <w:jc w:val="center"/>
              <w:rPr>
                <w:sz w:val="21"/>
                <w:szCs w:val="21"/>
                <w:lang w:val="en-US"/>
              </w:rPr>
            </w:pPr>
          </w:p>
        </w:tc>
      </w:tr>
      <w:tr w14:paraId="3D1A8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center"/>
          </w:tcPr>
          <w:p w14:paraId="64EE1E54">
            <w:pPr>
              <w:autoSpaceDE/>
              <w:autoSpaceDN/>
              <w:spacing w:before="48" w:beforeLines="20" w:after="48" w:afterLines="20"/>
              <w:jc w:val="center"/>
              <w:rPr>
                <w:sz w:val="24"/>
              </w:rPr>
            </w:pPr>
          </w:p>
        </w:tc>
        <w:tc>
          <w:tcPr>
            <w:tcW w:w="958" w:type="dxa"/>
            <w:noWrap w:val="0"/>
            <w:vAlign w:val="center"/>
          </w:tcPr>
          <w:p w14:paraId="4F428ABB">
            <w:pPr>
              <w:spacing w:line="360" w:lineRule="auto"/>
              <w:jc w:val="center"/>
              <w:rPr>
                <w:rFonts w:ascii="Times New Roman"/>
              </w:rPr>
            </w:pPr>
          </w:p>
        </w:tc>
        <w:tc>
          <w:tcPr>
            <w:tcW w:w="665" w:type="dxa"/>
            <w:noWrap w:val="0"/>
            <w:vAlign w:val="center"/>
          </w:tcPr>
          <w:p w14:paraId="635D70CC">
            <w:pPr>
              <w:autoSpaceDE/>
              <w:autoSpaceDN/>
              <w:snapToGrid w:val="0"/>
              <w:spacing w:before="48" w:beforeLines="20" w:after="48" w:afterLines="20"/>
              <w:jc w:val="center"/>
              <w:rPr>
                <w:rFonts w:ascii="Times New Roman"/>
                <w:lang w:val="en-US"/>
              </w:rPr>
            </w:pPr>
          </w:p>
        </w:tc>
        <w:tc>
          <w:tcPr>
            <w:tcW w:w="667" w:type="dxa"/>
            <w:noWrap w:val="0"/>
            <w:vAlign w:val="center"/>
          </w:tcPr>
          <w:p w14:paraId="6A7031E7">
            <w:pPr>
              <w:jc w:val="center"/>
              <w:rPr>
                <w:kern w:val="2"/>
                <w:sz w:val="21"/>
                <w:szCs w:val="21"/>
                <w:lang w:val="en-US" w:bidi="ar-SA"/>
              </w:rPr>
            </w:pPr>
          </w:p>
        </w:tc>
        <w:tc>
          <w:tcPr>
            <w:tcW w:w="972" w:type="dxa"/>
            <w:noWrap w:val="0"/>
            <w:vAlign w:val="center"/>
          </w:tcPr>
          <w:p w14:paraId="4728C6D1">
            <w:pPr>
              <w:spacing w:line="360" w:lineRule="auto"/>
              <w:jc w:val="center"/>
              <w:rPr>
                <w:rFonts w:ascii="Times New Roman"/>
              </w:rPr>
            </w:pPr>
          </w:p>
        </w:tc>
        <w:tc>
          <w:tcPr>
            <w:tcW w:w="960" w:type="dxa"/>
            <w:noWrap w:val="0"/>
            <w:vAlign w:val="center"/>
          </w:tcPr>
          <w:p w14:paraId="24FDC998">
            <w:pPr>
              <w:autoSpaceDE/>
              <w:autoSpaceDN/>
              <w:spacing w:before="48" w:beforeLines="20" w:after="48" w:afterLines="20"/>
              <w:jc w:val="center"/>
              <w:rPr>
                <w:sz w:val="21"/>
                <w:szCs w:val="21"/>
              </w:rPr>
            </w:pPr>
          </w:p>
        </w:tc>
        <w:tc>
          <w:tcPr>
            <w:tcW w:w="1073" w:type="dxa"/>
            <w:noWrap w:val="0"/>
            <w:vAlign w:val="center"/>
          </w:tcPr>
          <w:p w14:paraId="53DA7A2C">
            <w:pPr>
              <w:spacing w:before="4" w:after="4"/>
              <w:jc w:val="center"/>
              <w:rPr>
                <w:sz w:val="21"/>
                <w:szCs w:val="21"/>
                <w:lang w:val="en-US"/>
              </w:rPr>
            </w:pPr>
          </w:p>
        </w:tc>
        <w:tc>
          <w:tcPr>
            <w:tcW w:w="1440" w:type="dxa"/>
            <w:noWrap w:val="0"/>
            <w:vAlign w:val="center"/>
          </w:tcPr>
          <w:p w14:paraId="69DEA74D">
            <w:pPr>
              <w:spacing w:line="360" w:lineRule="auto"/>
              <w:jc w:val="center"/>
              <w:rPr>
                <w:rFonts w:ascii="Times New Roman"/>
              </w:rPr>
            </w:pPr>
          </w:p>
        </w:tc>
        <w:tc>
          <w:tcPr>
            <w:tcW w:w="1788" w:type="dxa"/>
            <w:noWrap w:val="0"/>
            <w:vAlign w:val="center"/>
          </w:tcPr>
          <w:p w14:paraId="13F2BA4F">
            <w:pPr>
              <w:autoSpaceDE/>
              <w:autoSpaceDN/>
              <w:spacing w:before="48" w:beforeLines="20" w:after="48" w:afterLines="20"/>
              <w:jc w:val="center"/>
              <w:rPr>
                <w:sz w:val="21"/>
                <w:szCs w:val="21"/>
                <w:lang w:val="en-US"/>
              </w:rPr>
            </w:pPr>
          </w:p>
        </w:tc>
        <w:tc>
          <w:tcPr>
            <w:tcW w:w="526" w:type="dxa"/>
            <w:noWrap w:val="0"/>
            <w:vAlign w:val="center"/>
          </w:tcPr>
          <w:p w14:paraId="780EF855">
            <w:pPr>
              <w:autoSpaceDE/>
              <w:autoSpaceDN/>
              <w:spacing w:before="48" w:beforeLines="20" w:after="48" w:afterLines="20"/>
              <w:jc w:val="center"/>
              <w:rPr>
                <w:sz w:val="21"/>
                <w:szCs w:val="21"/>
                <w:lang w:val="en-US"/>
              </w:rPr>
            </w:pPr>
          </w:p>
        </w:tc>
      </w:tr>
      <w:tr w14:paraId="20A8D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center"/>
          </w:tcPr>
          <w:p w14:paraId="14ADA346">
            <w:pPr>
              <w:autoSpaceDE/>
              <w:autoSpaceDN/>
              <w:spacing w:before="48" w:beforeLines="20" w:after="48" w:afterLines="20"/>
              <w:jc w:val="center"/>
              <w:rPr>
                <w:rFonts w:ascii="Times New Roman"/>
              </w:rPr>
            </w:pPr>
          </w:p>
        </w:tc>
        <w:tc>
          <w:tcPr>
            <w:tcW w:w="958" w:type="dxa"/>
            <w:noWrap w:val="0"/>
            <w:vAlign w:val="center"/>
          </w:tcPr>
          <w:p w14:paraId="182B3EB4">
            <w:pPr>
              <w:autoSpaceDE/>
              <w:autoSpaceDN/>
              <w:snapToGrid w:val="0"/>
              <w:spacing w:before="48" w:beforeLines="20" w:after="48" w:afterLines="20"/>
              <w:jc w:val="center"/>
              <w:rPr>
                <w:rFonts w:ascii="Times New Roman"/>
              </w:rPr>
            </w:pPr>
          </w:p>
        </w:tc>
        <w:tc>
          <w:tcPr>
            <w:tcW w:w="665" w:type="dxa"/>
            <w:noWrap w:val="0"/>
            <w:vAlign w:val="center"/>
          </w:tcPr>
          <w:p w14:paraId="39FC95AB">
            <w:pPr>
              <w:autoSpaceDE/>
              <w:autoSpaceDN/>
              <w:snapToGrid w:val="0"/>
              <w:spacing w:before="48" w:beforeLines="20" w:after="48" w:afterLines="20"/>
              <w:jc w:val="center"/>
              <w:rPr>
                <w:rFonts w:ascii="Times New Roman"/>
              </w:rPr>
            </w:pPr>
          </w:p>
        </w:tc>
        <w:tc>
          <w:tcPr>
            <w:tcW w:w="667" w:type="dxa"/>
            <w:noWrap w:val="0"/>
            <w:vAlign w:val="center"/>
          </w:tcPr>
          <w:p w14:paraId="5882CC19">
            <w:pPr>
              <w:jc w:val="center"/>
              <w:rPr>
                <w:kern w:val="2"/>
                <w:sz w:val="21"/>
                <w:szCs w:val="21"/>
                <w:lang w:val="en-US" w:bidi="ar-SA"/>
              </w:rPr>
            </w:pPr>
          </w:p>
        </w:tc>
        <w:tc>
          <w:tcPr>
            <w:tcW w:w="972" w:type="dxa"/>
            <w:noWrap w:val="0"/>
            <w:vAlign w:val="center"/>
          </w:tcPr>
          <w:p w14:paraId="634BEDCC">
            <w:pPr>
              <w:autoSpaceDE/>
              <w:autoSpaceDN/>
              <w:snapToGrid w:val="0"/>
              <w:spacing w:before="48" w:beforeLines="20" w:after="48" w:afterLines="20"/>
              <w:jc w:val="center"/>
              <w:rPr>
                <w:rFonts w:ascii="Times New Roman"/>
              </w:rPr>
            </w:pPr>
          </w:p>
        </w:tc>
        <w:tc>
          <w:tcPr>
            <w:tcW w:w="960" w:type="dxa"/>
            <w:noWrap w:val="0"/>
            <w:vAlign w:val="center"/>
          </w:tcPr>
          <w:p w14:paraId="047B5BB4">
            <w:pPr>
              <w:autoSpaceDE/>
              <w:autoSpaceDN/>
              <w:spacing w:before="48" w:beforeLines="20" w:after="48" w:afterLines="20"/>
              <w:jc w:val="center"/>
              <w:rPr>
                <w:kern w:val="2"/>
                <w:sz w:val="21"/>
                <w:szCs w:val="21"/>
                <w:lang w:val="en-US" w:bidi="ar-SA"/>
              </w:rPr>
            </w:pPr>
          </w:p>
        </w:tc>
        <w:tc>
          <w:tcPr>
            <w:tcW w:w="1073" w:type="dxa"/>
            <w:noWrap w:val="0"/>
            <w:vAlign w:val="center"/>
          </w:tcPr>
          <w:p w14:paraId="7F50B71E">
            <w:pPr>
              <w:spacing w:before="4" w:after="4"/>
              <w:jc w:val="center"/>
              <w:rPr>
                <w:sz w:val="21"/>
                <w:szCs w:val="21"/>
                <w:lang w:val="en-US"/>
              </w:rPr>
            </w:pPr>
          </w:p>
        </w:tc>
        <w:tc>
          <w:tcPr>
            <w:tcW w:w="1440" w:type="dxa"/>
            <w:noWrap w:val="0"/>
            <w:vAlign w:val="center"/>
          </w:tcPr>
          <w:p w14:paraId="472CFDD2">
            <w:pPr>
              <w:autoSpaceDE/>
              <w:autoSpaceDN/>
              <w:snapToGrid w:val="0"/>
              <w:spacing w:before="48" w:beforeLines="20" w:after="48" w:afterLines="20"/>
              <w:jc w:val="center"/>
              <w:rPr>
                <w:rFonts w:ascii="Times New Roman"/>
              </w:rPr>
            </w:pPr>
          </w:p>
        </w:tc>
        <w:tc>
          <w:tcPr>
            <w:tcW w:w="1788" w:type="dxa"/>
            <w:noWrap w:val="0"/>
            <w:vAlign w:val="center"/>
          </w:tcPr>
          <w:p w14:paraId="66264157">
            <w:pPr>
              <w:autoSpaceDE/>
              <w:autoSpaceDN/>
              <w:spacing w:before="48" w:beforeLines="20" w:after="48" w:afterLines="20"/>
              <w:jc w:val="center"/>
              <w:rPr>
                <w:sz w:val="21"/>
                <w:szCs w:val="21"/>
              </w:rPr>
            </w:pPr>
          </w:p>
        </w:tc>
        <w:tc>
          <w:tcPr>
            <w:tcW w:w="526" w:type="dxa"/>
            <w:noWrap w:val="0"/>
            <w:vAlign w:val="center"/>
          </w:tcPr>
          <w:p w14:paraId="1766A5C5">
            <w:pPr>
              <w:autoSpaceDE/>
              <w:autoSpaceDN/>
              <w:spacing w:before="48" w:beforeLines="20" w:after="48" w:afterLines="20"/>
              <w:jc w:val="center"/>
              <w:rPr>
                <w:sz w:val="21"/>
                <w:szCs w:val="21"/>
                <w:lang w:val="en-US"/>
              </w:rPr>
            </w:pPr>
          </w:p>
        </w:tc>
      </w:tr>
      <w:tr w14:paraId="1BDEE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66" w:type="dxa"/>
            <w:noWrap w:val="0"/>
            <w:vAlign w:val="center"/>
          </w:tcPr>
          <w:p w14:paraId="7AE3CF32">
            <w:pPr>
              <w:autoSpaceDE/>
              <w:autoSpaceDN/>
              <w:spacing w:before="48" w:beforeLines="20" w:after="48" w:afterLines="20"/>
              <w:jc w:val="center"/>
              <w:rPr>
                <w:rFonts w:ascii="Times New Roman"/>
              </w:rPr>
            </w:pPr>
          </w:p>
        </w:tc>
        <w:tc>
          <w:tcPr>
            <w:tcW w:w="958" w:type="dxa"/>
            <w:noWrap w:val="0"/>
            <w:vAlign w:val="center"/>
          </w:tcPr>
          <w:p w14:paraId="77E93546">
            <w:pPr>
              <w:autoSpaceDE/>
              <w:autoSpaceDN/>
              <w:snapToGrid w:val="0"/>
              <w:spacing w:before="48" w:beforeLines="20" w:after="48" w:afterLines="20"/>
              <w:jc w:val="center"/>
              <w:rPr>
                <w:rFonts w:ascii="Times New Roman"/>
              </w:rPr>
            </w:pPr>
          </w:p>
        </w:tc>
        <w:tc>
          <w:tcPr>
            <w:tcW w:w="665" w:type="dxa"/>
            <w:noWrap w:val="0"/>
            <w:vAlign w:val="center"/>
          </w:tcPr>
          <w:p w14:paraId="43E90BA2">
            <w:pPr>
              <w:autoSpaceDE/>
              <w:autoSpaceDN/>
              <w:snapToGrid w:val="0"/>
              <w:spacing w:before="48" w:beforeLines="20" w:after="48" w:afterLines="20"/>
              <w:jc w:val="center"/>
              <w:rPr>
                <w:rFonts w:ascii="Times New Roman"/>
              </w:rPr>
            </w:pPr>
          </w:p>
        </w:tc>
        <w:tc>
          <w:tcPr>
            <w:tcW w:w="667" w:type="dxa"/>
            <w:noWrap w:val="0"/>
            <w:vAlign w:val="center"/>
          </w:tcPr>
          <w:p w14:paraId="535D2B94">
            <w:pPr>
              <w:jc w:val="center"/>
              <w:rPr>
                <w:kern w:val="2"/>
                <w:sz w:val="21"/>
                <w:szCs w:val="21"/>
                <w:lang w:val="en-US" w:bidi="ar-SA"/>
              </w:rPr>
            </w:pPr>
          </w:p>
        </w:tc>
        <w:tc>
          <w:tcPr>
            <w:tcW w:w="972" w:type="dxa"/>
            <w:noWrap w:val="0"/>
            <w:vAlign w:val="center"/>
          </w:tcPr>
          <w:p w14:paraId="037A6A28">
            <w:pPr>
              <w:autoSpaceDE/>
              <w:autoSpaceDN/>
              <w:snapToGrid w:val="0"/>
              <w:spacing w:before="48" w:beforeLines="20" w:after="48" w:afterLines="20"/>
              <w:jc w:val="center"/>
              <w:rPr>
                <w:rFonts w:ascii="Times New Roman"/>
              </w:rPr>
            </w:pPr>
          </w:p>
        </w:tc>
        <w:tc>
          <w:tcPr>
            <w:tcW w:w="960" w:type="dxa"/>
            <w:noWrap w:val="0"/>
            <w:vAlign w:val="center"/>
          </w:tcPr>
          <w:p w14:paraId="472CDC0A">
            <w:pPr>
              <w:autoSpaceDE/>
              <w:autoSpaceDN/>
              <w:snapToGrid w:val="0"/>
              <w:spacing w:before="48" w:beforeLines="20" w:after="48" w:afterLines="20"/>
              <w:jc w:val="center"/>
              <w:rPr>
                <w:sz w:val="21"/>
                <w:szCs w:val="21"/>
                <w:lang w:val="en-US"/>
              </w:rPr>
            </w:pPr>
          </w:p>
        </w:tc>
        <w:tc>
          <w:tcPr>
            <w:tcW w:w="1073" w:type="dxa"/>
            <w:noWrap w:val="0"/>
            <w:vAlign w:val="center"/>
          </w:tcPr>
          <w:p w14:paraId="2926F55E">
            <w:pPr>
              <w:spacing w:before="4" w:after="4"/>
              <w:jc w:val="center"/>
              <w:rPr>
                <w:sz w:val="21"/>
                <w:szCs w:val="21"/>
                <w:lang w:val="en-US"/>
              </w:rPr>
            </w:pPr>
          </w:p>
        </w:tc>
        <w:tc>
          <w:tcPr>
            <w:tcW w:w="1440" w:type="dxa"/>
            <w:noWrap w:val="0"/>
            <w:vAlign w:val="center"/>
          </w:tcPr>
          <w:p w14:paraId="0F724A3E">
            <w:pPr>
              <w:autoSpaceDE/>
              <w:autoSpaceDN/>
              <w:snapToGrid w:val="0"/>
              <w:spacing w:before="48" w:beforeLines="20" w:after="48" w:afterLines="20"/>
              <w:jc w:val="center"/>
              <w:rPr>
                <w:rFonts w:ascii="Times New Roman"/>
              </w:rPr>
            </w:pPr>
          </w:p>
        </w:tc>
        <w:tc>
          <w:tcPr>
            <w:tcW w:w="1788" w:type="dxa"/>
            <w:noWrap w:val="0"/>
            <w:vAlign w:val="center"/>
          </w:tcPr>
          <w:p w14:paraId="04ED8839">
            <w:pPr>
              <w:autoSpaceDE/>
              <w:autoSpaceDN/>
              <w:spacing w:before="48" w:beforeLines="20" w:after="48" w:afterLines="20"/>
              <w:jc w:val="center"/>
              <w:rPr>
                <w:sz w:val="21"/>
                <w:szCs w:val="21"/>
                <w:lang w:val="en-US"/>
              </w:rPr>
            </w:pPr>
          </w:p>
        </w:tc>
        <w:tc>
          <w:tcPr>
            <w:tcW w:w="526" w:type="dxa"/>
            <w:noWrap w:val="0"/>
            <w:vAlign w:val="center"/>
          </w:tcPr>
          <w:p w14:paraId="0256911C">
            <w:pPr>
              <w:autoSpaceDE/>
              <w:autoSpaceDN/>
              <w:spacing w:before="48" w:beforeLines="20" w:after="48" w:afterLines="20"/>
              <w:jc w:val="center"/>
              <w:rPr>
                <w:sz w:val="21"/>
                <w:szCs w:val="21"/>
                <w:lang w:val="en-US"/>
              </w:rPr>
            </w:pPr>
          </w:p>
        </w:tc>
      </w:tr>
    </w:tbl>
    <w:p w14:paraId="33A4158D">
      <w:pPr>
        <w:pStyle w:val="3"/>
        <w:spacing w:before="11"/>
        <w:ind w:left="0"/>
        <w:rPr>
          <w:b/>
          <w:sz w:val="13"/>
        </w:rPr>
      </w:pPr>
    </w:p>
    <w:p w14:paraId="7A14C2C2">
      <w:pPr>
        <w:spacing w:before="46" w:line="285" w:lineRule="auto"/>
        <w:ind w:left="223" w:right="127"/>
        <w:rPr>
          <w:rFonts w:hint="eastAsia" w:ascii="宋体" w:hAnsi="宋体" w:eastAsia="宋体" w:cs="宋体"/>
          <w:b/>
          <w:sz w:val="21"/>
        </w:rPr>
      </w:pPr>
      <w:r>
        <w:rPr>
          <w:rFonts w:hint="eastAsia" w:ascii="宋体" w:hAnsi="宋体" w:eastAsia="宋体" w:cs="宋体"/>
          <w:b/>
          <w:sz w:val="21"/>
        </w:rPr>
        <w:t>备注：本表应根据《监理人员基本要求资历表》要求填写，人员数量和资历不低于其基本要求。本表可根据人员数量增栏填写，本表填写包括监理员。在备注栏中对人员状态进行标识：在册人员标识“○”， 外聘人员标识“□”。</w:t>
      </w:r>
    </w:p>
    <w:p w14:paraId="5961DA73">
      <w:pPr>
        <w:tabs>
          <w:tab w:val="left" w:pos="6064"/>
          <w:tab w:val="left" w:pos="8042"/>
        </w:tabs>
        <w:spacing w:before="133"/>
        <w:ind w:left="223"/>
        <w:rPr>
          <w:sz w:val="24"/>
        </w:rPr>
      </w:pPr>
      <w:r>
        <w:rPr>
          <w:sz w:val="21"/>
        </w:rPr>
        <w:t>法定代表人(或被授权人) 签章：</w:t>
      </w:r>
      <w:r>
        <w:rPr>
          <w:sz w:val="21"/>
        </w:rPr>
        <w:tab/>
      </w:r>
      <w:r>
        <w:rPr>
          <w:sz w:val="21"/>
        </w:rPr>
        <w:t>日期</w:t>
      </w:r>
      <w:r>
        <w:rPr>
          <w:sz w:val="24"/>
        </w:rPr>
        <w:t>： 202</w:t>
      </w:r>
      <w:r>
        <w:rPr>
          <w:rFonts w:hint="eastAsia"/>
          <w:sz w:val="24"/>
          <w:lang w:val="en-US" w:eastAsia="zh-CN"/>
        </w:rPr>
        <w:t>5</w:t>
      </w:r>
      <w:r>
        <w:rPr>
          <w:sz w:val="24"/>
        </w:rPr>
        <w:t xml:space="preserve"> 年</w:t>
      </w:r>
      <w:r>
        <w:rPr>
          <w:sz w:val="24"/>
        </w:rPr>
        <w:tab/>
      </w:r>
      <w:r>
        <w:rPr>
          <w:sz w:val="24"/>
        </w:rPr>
        <w:t xml:space="preserve">月 </w:t>
      </w:r>
      <w:r>
        <w:rPr>
          <w:rFonts w:hint="eastAsia"/>
          <w:sz w:val="24"/>
          <w:lang w:val="en-US" w:eastAsia="zh-CN"/>
        </w:rPr>
        <w:t xml:space="preserve"> </w:t>
      </w:r>
      <w:r>
        <w:rPr>
          <w:sz w:val="24"/>
        </w:rPr>
        <w:t>日</w:t>
      </w:r>
    </w:p>
    <w:p w14:paraId="4DDDE927">
      <w:pPr>
        <w:pStyle w:val="3"/>
        <w:ind w:left="0"/>
      </w:pPr>
    </w:p>
    <w:p w14:paraId="4B5D5301"/>
    <w:p w14:paraId="461A12D4">
      <w:pPr>
        <w:pStyle w:val="8"/>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E6F253D">
      <w:pPr>
        <w:pStyle w:val="36"/>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36"/>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36"/>
        <w:numPr>
          <w:ilvl w:val="0"/>
          <w:numId w:val="71"/>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36"/>
        <w:numPr>
          <w:ilvl w:val="0"/>
          <w:numId w:val="71"/>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36"/>
        <w:numPr>
          <w:ilvl w:val="0"/>
          <w:numId w:val="71"/>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36"/>
        <w:numPr>
          <w:ilvl w:val="0"/>
          <w:numId w:val="71"/>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36"/>
        <w:numPr>
          <w:ilvl w:val="0"/>
          <w:numId w:val="71"/>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36"/>
        <w:numPr>
          <w:ilvl w:val="0"/>
          <w:numId w:val="71"/>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36"/>
        <w:numPr>
          <w:ilvl w:val="0"/>
          <w:numId w:val="71"/>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36"/>
        <w:spacing w:line="360" w:lineRule="auto"/>
        <w:ind w:left="480" w:firstLine="0" w:firstLineChars="0"/>
        <w:rPr>
          <w:rFonts w:ascii="黑体" w:hAnsi="黑体" w:eastAsia="黑体" w:cs="黑体"/>
          <w:color w:val="000000"/>
          <w:sz w:val="24"/>
        </w:rPr>
      </w:pPr>
    </w:p>
    <w:p w14:paraId="63C68B55">
      <w:pPr>
        <w:pStyle w:val="36"/>
        <w:spacing w:line="360" w:lineRule="auto"/>
        <w:ind w:left="480" w:firstLine="0" w:firstLineChars="0"/>
        <w:rPr>
          <w:rFonts w:ascii="黑体" w:hAnsi="黑体" w:eastAsia="黑体" w:cs="黑体"/>
          <w:color w:val="000000"/>
          <w:sz w:val="24"/>
        </w:rPr>
      </w:pPr>
    </w:p>
    <w:p w14:paraId="72F65DA1">
      <w:pPr>
        <w:pStyle w:val="36"/>
        <w:spacing w:line="360" w:lineRule="auto"/>
        <w:ind w:left="480" w:firstLine="0" w:firstLineChars="0"/>
        <w:rPr>
          <w:rFonts w:ascii="黑体" w:hAnsi="黑体" w:eastAsia="黑体" w:cs="黑体"/>
          <w:color w:val="000000"/>
          <w:sz w:val="24"/>
        </w:rPr>
      </w:pPr>
    </w:p>
    <w:p w14:paraId="4AC0D508">
      <w:pPr>
        <w:pStyle w:val="36"/>
        <w:spacing w:line="360" w:lineRule="auto"/>
        <w:ind w:left="480" w:firstLine="0" w:firstLineChars="0"/>
        <w:rPr>
          <w:rFonts w:ascii="黑体" w:hAnsi="黑体" w:eastAsia="黑体" w:cs="黑体"/>
          <w:color w:val="000000"/>
          <w:sz w:val="24"/>
        </w:rPr>
      </w:pPr>
    </w:p>
    <w:p w14:paraId="17F29617">
      <w:pPr>
        <w:pStyle w:val="36"/>
        <w:spacing w:line="360" w:lineRule="auto"/>
        <w:ind w:left="480" w:firstLine="0" w:firstLineChars="0"/>
        <w:rPr>
          <w:rFonts w:ascii="黑体" w:hAnsi="黑体" w:eastAsia="黑体" w:cs="黑体"/>
          <w:color w:val="000000"/>
          <w:sz w:val="24"/>
        </w:rPr>
      </w:pPr>
    </w:p>
    <w:p w14:paraId="1BFB6A5B">
      <w:pPr>
        <w:pStyle w:val="36"/>
        <w:spacing w:line="360" w:lineRule="auto"/>
        <w:ind w:left="480" w:firstLine="0" w:firstLineChars="0"/>
        <w:rPr>
          <w:rFonts w:ascii="黑体" w:hAnsi="黑体" w:eastAsia="黑体" w:cs="黑体"/>
          <w:color w:val="000000"/>
          <w:sz w:val="24"/>
        </w:rPr>
      </w:pPr>
    </w:p>
    <w:p w14:paraId="2BF972BE">
      <w:pPr>
        <w:pStyle w:val="36"/>
        <w:spacing w:line="360" w:lineRule="auto"/>
        <w:ind w:left="480" w:firstLine="0" w:firstLineChars="0"/>
        <w:rPr>
          <w:rFonts w:ascii="黑体" w:hAnsi="黑体" w:eastAsia="黑体" w:cs="黑体"/>
          <w:color w:val="000000"/>
          <w:sz w:val="24"/>
        </w:rPr>
      </w:pPr>
    </w:p>
    <w:p w14:paraId="02DEA5CE">
      <w:pPr>
        <w:pStyle w:val="36"/>
        <w:spacing w:line="360" w:lineRule="auto"/>
        <w:ind w:left="480" w:firstLine="0" w:firstLineChars="0"/>
        <w:rPr>
          <w:rFonts w:ascii="黑体" w:hAnsi="黑体" w:eastAsia="黑体" w:cs="黑体"/>
          <w:color w:val="000000"/>
          <w:sz w:val="24"/>
        </w:rPr>
      </w:pPr>
    </w:p>
    <w:p w14:paraId="5E88D176">
      <w:pPr>
        <w:pStyle w:val="36"/>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20"/>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20"/>
        <w:spacing w:line="360" w:lineRule="auto"/>
        <w:ind w:firstLine="643" w:firstLineChars="200"/>
        <w:jc w:val="center"/>
        <w:rPr>
          <w:rFonts w:hAnsi="宋体" w:cs="宋体"/>
          <w:b/>
          <w:sz w:val="32"/>
          <w:szCs w:val="32"/>
        </w:rPr>
      </w:pPr>
    </w:p>
    <w:p w14:paraId="6692C73F">
      <w:pPr>
        <w:pStyle w:val="20"/>
        <w:spacing w:line="360" w:lineRule="auto"/>
        <w:ind w:firstLine="1928" w:firstLineChars="600"/>
        <w:jc w:val="left"/>
        <w:rPr>
          <w:rFonts w:hint="eastAsia" w:hAnsi="宋体" w:cs="宋体"/>
          <w:b/>
          <w:sz w:val="32"/>
          <w:szCs w:val="32"/>
          <w:lang w:eastAsia="zh-CN"/>
        </w:rPr>
      </w:pPr>
    </w:p>
    <w:p w14:paraId="60B61818">
      <w:pPr>
        <w:pStyle w:val="20"/>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20"/>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20"/>
        <w:spacing w:line="360" w:lineRule="auto"/>
        <w:ind w:firstLine="643" w:firstLineChars="200"/>
        <w:jc w:val="center"/>
        <w:rPr>
          <w:rFonts w:hAnsi="宋体" w:cs="宋体"/>
          <w:b/>
          <w:sz w:val="32"/>
          <w:szCs w:val="32"/>
        </w:rPr>
      </w:pPr>
    </w:p>
    <w:p w14:paraId="5654BB8B">
      <w:pPr>
        <w:pStyle w:val="20"/>
        <w:spacing w:line="360" w:lineRule="auto"/>
        <w:ind w:firstLine="643" w:firstLineChars="200"/>
        <w:jc w:val="center"/>
        <w:rPr>
          <w:rFonts w:hAnsi="宋体" w:cs="宋体"/>
          <w:b/>
          <w:sz w:val="32"/>
          <w:szCs w:val="32"/>
        </w:rPr>
      </w:pPr>
    </w:p>
    <w:p w14:paraId="61FFA84D">
      <w:pPr>
        <w:pStyle w:val="20"/>
        <w:spacing w:line="360" w:lineRule="auto"/>
        <w:ind w:firstLine="643" w:firstLineChars="200"/>
        <w:jc w:val="center"/>
        <w:rPr>
          <w:rFonts w:hAnsi="宋体" w:cs="宋体"/>
          <w:b/>
          <w:sz w:val="32"/>
          <w:szCs w:val="32"/>
        </w:rPr>
      </w:pPr>
    </w:p>
    <w:p w14:paraId="6ABAA749">
      <w:pPr>
        <w:pStyle w:val="20"/>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20"/>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20"/>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20"/>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9"/>
        <w:pageBreakBefore/>
        <w:jc w:val="center"/>
        <w:rPr>
          <w:rFonts w:ascii="Calibri" w:hAnsi="Calibri" w:eastAsia="宋体" w:cs="宋体"/>
          <w:sz w:val="24"/>
        </w:rPr>
      </w:pPr>
      <w:bookmarkStart w:id="137" w:name="_Toc97049462"/>
      <w:bookmarkStart w:id="138" w:name="_Toc97049463"/>
      <w:r>
        <w:rPr>
          <w:rFonts w:hint="eastAsia" w:ascii="黑体" w:hAnsi="黑体" w:cs="黑体"/>
          <w:sz w:val="36"/>
          <w:szCs w:val="36"/>
        </w:rPr>
        <w:t>响应文件目录</w:t>
      </w:r>
      <w:bookmarkEnd w:id="137"/>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36"/>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36"/>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36"/>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36"/>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36"/>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36"/>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36"/>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36"/>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36"/>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36"/>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36"/>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36"/>
        <w:ind w:firstLine="0" w:firstLineChars="0"/>
      </w:pPr>
    </w:p>
    <w:p w14:paraId="3249329A">
      <w:pPr>
        <w:pStyle w:val="36"/>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36"/>
        <w:ind w:firstLine="0" w:firstLineChars="0"/>
        <w:rPr>
          <w:rFonts w:ascii="宋体" w:hAnsi="宋体" w:cs="宋体"/>
          <w:sz w:val="24"/>
        </w:rPr>
      </w:pPr>
    </w:p>
    <w:p w14:paraId="58C1A95E">
      <w:pPr>
        <w:pStyle w:val="36"/>
        <w:ind w:firstLine="0" w:firstLineChars="0"/>
        <w:rPr>
          <w:rFonts w:ascii="宋体" w:hAnsi="宋体" w:cs="宋体"/>
          <w:sz w:val="24"/>
        </w:rPr>
      </w:pPr>
    </w:p>
    <w:p w14:paraId="318A1BEB">
      <w:pPr>
        <w:pStyle w:val="36"/>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7"/>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36"/>
        <w:adjustRightInd w:val="0"/>
        <w:snapToGrid w:val="0"/>
        <w:spacing w:line="360" w:lineRule="auto"/>
        <w:ind w:firstLine="0" w:firstLineChars="0"/>
        <w:rPr>
          <w:sz w:val="21"/>
          <w:szCs w:val="28"/>
        </w:rPr>
      </w:pPr>
    </w:p>
    <w:bookmarkEnd w:id="138"/>
    <w:p w14:paraId="53B0183A">
      <w:pPr>
        <w:pStyle w:val="9"/>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29"/>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3"/>
        <w:spacing w:line="360" w:lineRule="auto"/>
        <w:jc w:val="center"/>
        <w:outlineLvl w:val="1"/>
        <w:rPr>
          <w:rFonts w:ascii="宋体" w:hAnsi="宋体" w:cs="宋体"/>
          <w:bCs/>
          <w:sz w:val="10"/>
          <w:szCs w:val="21"/>
        </w:rPr>
      </w:pPr>
    </w:p>
    <w:tbl>
      <w:tblPr>
        <w:tblStyle w:val="29"/>
        <w:tblW w:w="4962"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733"/>
        <w:gridCol w:w="2426"/>
        <w:gridCol w:w="6558"/>
      </w:tblGrid>
      <w:tr w14:paraId="369528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77" w:type="pct"/>
            <w:noWrap/>
            <w:vAlign w:val="center"/>
          </w:tcPr>
          <w:p w14:paraId="4A38B6DC">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22" w:type="pct"/>
            <w:gridSpan w:val="2"/>
            <w:noWrap/>
            <w:vAlign w:val="center"/>
          </w:tcPr>
          <w:p w14:paraId="446BAC52">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5A1EA9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77" w:type="pct"/>
            <w:noWrap/>
            <w:vAlign w:val="center"/>
          </w:tcPr>
          <w:p w14:paraId="57B92F8E">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1248" w:type="pct"/>
            <w:noWrap/>
            <w:vAlign w:val="center"/>
          </w:tcPr>
          <w:p w14:paraId="0AA6705D">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w:t>
            </w:r>
            <w:r>
              <w:rPr>
                <w:rFonts w:hint="eastAsia" w:ascii="宋体" w:hAnsi="宋体" w:cs="宋体"/>
                <w:b/>
                <w:sz w:val="24"/>
                <w:lang w:val="en-US" w:eastAsia="zh-CN"/>
              </w:rPr>
              <w:t>监理服务费费率</w:t>
            </w:r>
          </w:p>
        </w:tc>
        <w:tc>
          <w:tcPr>
            <w:tcW w:w="3373" w:type="pct"/>
            <w:noWrap/>
            <w:vAlign w:val="center"/>
          </w:tcPr>
          <w:p w14:paraId="478147FB">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single"/>
                <w:lang w:val="en-US" w:eastAsia="zh-CN"/>
              </w:rPr>
              <w:t xml:space="preserve">          %</w:t>
            </w:r>
          </w:p>
        </w:tc>
      </w:tr>
      <w:tr w14:paraId="294A91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77" w:type="pct"/>
            <w:noWrap/>
            <w:vAlign w:val="center"/>
          </w:tcPr>
          <w:p w14:paraId="62CD3F5A">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1248" w:type="pct"/>
            <w:noWrap/>
            <w:vAlign w:val="center"/>
          </w:tcPr>
          <w:p w14:paraId="353DC135">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373" w:type="pct"/>
            <w:noWrap/>
            <w:vAlign w:val="center"/>
          </w:tcPr>
          <w:p w14:paraId="07413BCD">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14:paraId="67FEB2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77" w:type="pct"/>
            <w:noWrap/>
            <w:vAlign w:val="center"/>
          </w:tcPr>
          <w:p w14:paraId="0112D711">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1248" w:type="pct"/>
            <w:noWrap/>
            <w:vAlign w:val="center"/>
          </w:tcPr>
          <w:p w14:paraId="21BBD3B0">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373" w:type="pct"/>
            <w:noWrap/>
            <w:vAlign w:val="center"/>
          </w:tcPr>
          <w:p w14:paraId="3794EC10">
            <w:pPr>
              <w:tabs>
                <w:tab w:val="left" w:pos="8364"/>
              </w:tabs>
              <w:snapToGrid w:val="0"/>
              <w:spacing w:line="360" w:lineRule="auto"/>
              <w:ind w:right="-58"/>
              <w:jc w:val="center"/>
              <w:rPr>
                <w:rFonts w:ascii="宋体" w:hAnsi="宋体" w:cs="宋体"/>
                <w:sz w:val="24"/>
              </w:rPr>
            </w:pPr>
          </w:p>
        </w:tc>
      </w:tr>
    </w:tbl>
    <w:p w14:paraId="5B3CA269">
      <w:pPr>
        <w:adjustRightInd w:val="0"/>
        <w:snapToGrid w:val="0"/>
        <w:ind w:firstLine="420" w:firstLineChars="200"/>
        <w:rPr>
          <w:rFonts w:ascii="宋体" w:hAnsi="宋体" w:cs="宋体"/>
          <w:szCs w:val="21"/>
        </w:rPr>
      </w:pPr>
    </w:p>
    <w:p w14:paraId="73E00F6E">
      <w:pPr>
        <w:adjustRightInd w:val="0"/>
        <w:snapToGrid w:val="0"/>
      </w:pPr>
      <w:r>
        <w:rPr>
          <w:rFonts w:hint="eastAsia" w:ascii="宋体" w:hAnsi="宋体" w:cs="宋体"/>
          <w:szCs w:val="21"/>
        </w:rPr>
        <w:t>注：</w:t>
      </w:r>
    </w:p>
    <w:p w14:paraId="249D217D">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本项目采用费率报价</w:t>
      </w:r>
      <w:r>
        <w:rPr>
          <w:rFonts w:hint="eastAsia" w:ascii="宋体" w:hAnsi="宋体" w:cs="宋体"/>
          <w:szCs w:val="21"/>
        </w:rPr>
        <w:t>。</w:t>
      </w:r>
    </w:p>
    <w:p w14:paraId="6C295A1B">
      <w:pPr>
        <w:pStyle w:val="36"/>
        <w:tabs>
          <w:tab w:val="left" w:pos="3150"/>
        </w:tabs>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val="en-US" w:eastAsia="zh-CN"/>
        </w:rPr>
        <w:t>供应商的最高报价不得超过</w:t>
      </w:r>
      <w:r>
        <w:rPr>
          <w:rFonts w:hint="eastAsia" w:ascii="宋体" w:hAnsi="宋体" w:cs="宋体"/>
          <w:b/>
          <w:bCs/>
          <w:sz w:val="21"/>
          <w:szCs w:val="21"/>
          <w:lang w:val="en-US" w:eastAsia="zh-CN"/>
        </w:rPr>
        <w:t>最高</w:t>
      </w:r>
      <w:r>
        <w:rPr>
          <w:rFonts w:hint="eastAsia" w:ascii="宋体" w:hAnsi="宋体" w:cs="宋体"/>
          <w:b/>
          <w:sz w:val="21"/>
          <w:szCs w:val="21"/>
          <w:lang w:val="en-US" w:eastAsia="zh-CN"/>
        </w:rPr>
        <w:t>监理服务费</w:t>
      </w:r>
      <w:r>
        <w:rPr>
          <w:rFonts w:hint="eastAsia" w:ascii="宋体" w:hAnsi="宋体" w:cs="宋体"/>
          <w:b/>
          <w:bCs/>
          <w:sz w:val="21"/>
          <w:szCs w:val="21"/>
          <w:lang w:val="en-US" w:eastAsia="zh-CN"/>
        </w:rPr>
        <w:t>费率2.16%</w:t>
      </w:r>
      <w:r>
        <w:rPr>
          <w:rFonts w:hint="eastAsia" w:ascii="宋体" w:hAnsi="宋体" w:cs="宋体"/>
          <w:sz w:val="21"/>
          <w:szCs w:val="21"/>
        </w:rPr>
        <w:t>。</w:t>
      </w:r>
    </w:p>
    <w:p w14:paraId="0D278840">
      <w:pPr>
        <w:pStyle w:val="4"/>
        <w:jc w:val="left"/>
        <w:rPr>
          <w:rFonts w:ascii="宋体" w:hAnsi="宋体" w:cs="宋体"/>
          <w:sz w:val="21"/>
          <w:szCs w:val="21"/>
        </w:rPr>
      </w:pPr>
    </w:p>
    <w:p w14:paraId="32637A99">
      <w:pPr>
        <w:pStyle w:val="36"/>
        <w:ind w:firstLine="400"/>
      </w:pPr>
    </w:p>
    <w:p w14:paraId="366A97D8">
      <w:pPr>
        <w:pStyle w:val="36"/>
        <w:ind w:firstLine="400"/>
      </w:pPr>
    </w:p>
    <w:p w14:paraId="3447183D">
      <w:pPr>
        <w:pStyle w:val="36"/>
        <w:ind w:firstLine="400"/>
      </w:pPr>
    </w:p>
    <w:p w14:paraId="1D733912">
      <w:pPr>
        <w:pStyle w:val="36"/>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0BC2B8C5"/>
    <w:p w14:paraId="49822132">
      <w:pPr>
        <w:pStyle w:val="9"/>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29"/>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r>
              <w:rPr>
                <w:rFonts w:hint="eastAsia" w:ascii="宋体" w:hAnsi="宋体" w:cs="宋体"/>
                <w:color w:val="auto"/>
                <w:szCs w:val="21"/>
              </w:rPr>
              <w:t>，格式详见“</w:t>
            </w:r>
            <w:r>
              <w:rPr>
                <w:rFonts w:hint="eastAsia" w:ascii="宋体" w:hAnsi="宋体" w:cs="宋体"/>
                <w:color w:val="auto"/>
                <w:szCs w:val="21"/>
                <w:lang w:val="en-US" w:eastAsia="zh-CN"/>
              </w:rPr>
              <w:t>2.1</w:t>
            </w:r>
            <w:r>
              <w:rPr>
                <w:rFonts w:hint="eastAsia" w:ascii="宋体" w:hAnsi="宋体" w:cs="宋体"/>
                <w:color w:val="auto"/>
                <w:szCs w:val="21"/>
              </w:rPr>
              <w:t>资格声明函”</w:t>
            </w:r>
            <w:r>
              <w:rPr>
                <w:rFonts w:hint="eastAsia"/>
                <w:color w:val="auto"/>
              </w:rPr>
              <w:t>）</w:t>
            </w:r>
          </w:p>
          <w:p w14:paraId="730C2C96">
            <w:pPr>
              <w:pStyle w:val="36"/>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36"/>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36"/>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r>
              <w:rPr>
                <w:rFonts w:hint="eastAsia" w:ascii="宋体" w:hAnsi="宋体" w:eastAsia="宋体" w:cs="宋体"/>
                <w:color w:val="auto"/>
                <w:sz w:val="21"/>
                <w:szCs w:val="21"/>
              </w:rPr>
              <w:t>已由总公司授权的，总公司取得的相关资质证书对分公司有效，法律法规或者行业另有规定的除外。</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，不得同时参加本项目的采购活动。（出具有效的声明函加盖公章，格式详见“</w:t>
            </w:r>
            <w:r>
              <w:rPr>
                <w:rFonts w:hint="eastAsia"/>
                <w:color w:val="auto"/>
                <w:lang w:val="en-US" w:eastAsia="zh-CN"/>
              </w:rPr>
              <w:t>2.1</w:t>
            </w:r>
            <w:r>
              <w:rPr>
                <w:rFonts w:hint="eastAsia"/>
                <w:color w:val="auto"/>
              </w:rPr>
              <w:t>资格声明函”）</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5A511C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C0168CF">
            <w:pPr>
              <w:jc w:val="center"/>
              <w:rPr>
                <w:rFonts w:ascii="宋体" w:hAnsi="宋体" w:cs="华文仿宋"/>
                <w:bCs/>
                <w:color w:val="auto"/>
                <w:szCs w:val="21"/>
              </w:rPr>
            </w:pPr>
          </w:p>
        </w:tc>
        <w:tc>
          <w:tcPr>
            <w:tcW w:w="6160" w:type="dxa"/>
            <w:vAlign w:val="center"/>
          </w:tcPr>
          <w:p w14:paraId="15F75222">
            <w:pPr>
              <w:widowControl/>
              <w:autoSpaceDE w:val="0"/>
              <w:autoSpaceDN w:val="0"/>
              <w:adjustRightInd w:val="0"/>
              <w:snapToGrid w:val="0"/>
              <w:spacing w:beforeLines="50" w:line="360" w:lineRule="auto"/>
              <w:rPr>
                <w:rFonts w:hint="eastAsia"/>
                <w:color w:val="auto"/>
                <w:sz w:val="21"/>
                <w:szCs w:val="21"/>
              </w:rPr>
            </w:pPr>
            <w:r>
              <w:rPr>
                <w:rFonts w:hint="eastAsia" w:ascii="宋体" w:hAnsi="宋体" w:cs="宋体"/>
                <w:sz w:val="21"/>
                <w:szCs w:val="21"/>
              </w:rPr>
              <w:t>为采购项目提供整体设计、规范编制或者项目管理、监理、检测等服务的供应商，不得再参加该采购项目的其他采购活动。</w:t>
            </w:r>
            <w:r>
              <w:rPr>
                <w:rFonts w:hint="eastAsia"/>
                <w:color w:val="auto"/>
                <w:sz w:val="21"/>
                <w:szCs w:val="21"/>
              </w:rPr>
              <w:t>（出具有效的声明函加盖公章，格式详见“</w:t>
            </w:r>
            <w:r>
              <w:rPr>
                <w:rFonts w:hint="eastAsia"/>
                <w:color w:val="auto"/>
                <w:sz w:val="21"/>
                <w:szCs w:val="21"/>
                <w:lang w:val="en-US" w:eastAsia="zh-CN"/>
              </w:rPr>
              <w:t>2.1</w:t>
            </w:r>
            <w:r>
              <w:rPr>
                <w:rFonts w:hint="eastAsia"/>
                <w:color w:val="auto"/>
                <w:sz w:val="21"/>
                <w:szCs w:val="21"/>
              </w:rPr>
              <w:t>资格声明函”）</w:t>
            </w:r>
          </w:p>
        </w:tc>
        <w:tc>
          <w:tcPr>
            <w:tcW w:w="1189" w:type="dxa"/>
            <w:vAlign w:val="center"/>
          </w:tcPr>
          <w:p w14:paraId="4B592734">
            <w:pPr>
              <w:ind w:left="36" w:leftChars="17"/>
              <w:jc w:val="center"/>
              <w:rPr>
                <w:rFonts w:ascii="宋体" w:hAnsi="宋体" w:cs="宋体"/>
                <w:color w:val="auto"/>
                <w:sz w:val="21"/>
                <w:szCs w:val="21"/>
              </w:rPr>
            </w:pPr>
            <w:r>
              <w:rPr>
                <w:rFonts w:hint="eastAsia" w:ascii="宋体" w:hAnsi="宋体" w:cs="宋体"/>
                <w:color w:val="auto"/>
                <w:sz w:val="21"/>
                <w:szCs w:val="21"/>
              </w:rPr>
              <w:t>□通  过</w:t>
            </w:r>
          </w:p>
          <w:p w14:paraId="16D6EFE3">
            <w:pPr>
              <w:ind w:left="36" w:leftChars="17"/>
              <w:jc w:val="center"/>
              <w:rPr>
                <w:rFonts w:hint="eastAsia" w:ascii="宋体" w:hAnsi="宋体" w:cs="宋体"/>
                <w:color w:val="auto"/>
                <w:sz w:val="21"/>
                <w:szCs w:val="21"/>
              </w:rPr>
            </w:pPr>
            <w:r>
              <w:rPr>
                <w:rFonts w:hint="eastAsia" w:ascii="宋体" w:hAnsi="宋体" w:cs="宋体"/>
                <w:color w:val="auto"/>
                <w:sz w:val="21"/>
                <w:szCs w:val="21"/>
              </w:rPr>
              <w:t>□不通过</w:t>
            </w:r>
          </w:p>
        </w:tc>
        <w:tc>
          <w:tcPr>
            <w:tcW w:w="2289" w:type="dxa"/>
            <w:vAlign w:val="center"/>
          </w:tcPr>
          <w:p w14:paraId="6D6F9D8B">
            <w:pPr>
              <w:ind w:right="-78" w:rightChars="-37"/>
              <w:jc w:val="center"/>
              <w:rPr>
                <w:rFonts w:hint="eastAsia" w:ascii="宋体" w:hAnsi="宋体" w:cs="宋体"/>
                <w:color w:val="auto"/>
                <w:szCs w:val="21"/>
              </w:rPr>
            </w:pPr>
            <w:r>
              <w:rPr>
                <w:rFonts w:hint="eastAsia" w:ascii="宋体" w:hAnsi="宋体" w:cs="宋体"/>
                <w:color w:val="auto"/>
                <w:szCs w:val="21"/>
              </w:rPr>
              <w:t>见响应文件第（）页</w:t>
            </w:r>
          </w:p>
        </w:tc>
      </w:tr>
      <w:tr w14:paraId="492DAB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3F257D81">
            <w:pPr>
              <w:jc w:val="center"/>
              <w:rPr>
                <w:rFonts w:ascii="宋体" w:hAnsi="宋体" w:cs="华文仿宋"/>
                <w:bCs/>
                <w:szCs w:val="21"/>
              </w:rPr>
            </w:pPr>
          </w:p>
        </w:tc>
        <w:tc>
          <w:tcPr>
            <w:tcW w:w="6160" w:type="dxa"/>
            <w:vAlign w:val="center"/>
          </w:tcPr>
          <w:p w14:paraId="677DE5C7">
            <w:pPr>
              <w:widowControl/>
              <w:autoSpaceDE w:val="0"/>
              <w:autoSpaceDN w:val="0"/>
              <w:adjustRightInd w:val="0"/>
              <w:snapToGrid w:val="0"/>
              <w:spacing w:beforeLines="50" w:line="360" w:lineRule="auto"/>
              <w:rPr>
                <w:rFonts w:hint="eastAsia"/>
                <w:color w:val="auto"/>
              </w:rPr>
            </w:pPr>
            <w:r>
              <w:rPr>
                <w:rFonts w:hint="eastAsia" w:ascii="宋体" w:hAnsi="宋体" w:eastAsia="宋体" w:cs="宋体"/>
                <w:color w:val="auto"/>
                <w:sz w:val="21"/>
                <w:szCs w:val="21"/>
              </w:rPr>
              <w:t>供应商</w:t>
            </w:r>
            <w:r>
              <w:rPr>
                <w:rFonts w:hint="eastAsia" w:ascii="宋体" w:hAnsi="宋体" w:eastAsia="宋体" w:cs="宋体"/>
                <w:color w:val="auto"/>
                <w:sz w:val="21"/>
                <w:szCs w:val="21"/>
                <w:lang w:val="en-US" w:eastAsia="zh-CN"/>
              </w:rPr>
              <w:t>须具备</w:t>
            </w:r>
            <w:r>
              <w:rPr>
                <w:rFonts w:hint="eastAsia" w:ascii="宋体" w:hAnsi="宋体" w:cs="宋体"/>
                <w:color w:val="auto"/>
                <w:sz w:val="21"/>
                <w:szCs w:val="21"/>
              </w:rPr>
              <w:t>工程监理综合资质或房屋建筑工程监理乙级(或以上）资质。</w:t>
            </w:r>
            <w:r>
              <w:rPr>
                <w:rFonts w:hint="eastAsia" w:eastAsia="宋体"/>
                <w:color w:val="auto"/>
                <w:sz w:val="21"/>
                <w:szCs w:val="21"/>
              </w:rPr>
              <w:t>（</w:t>
            </w:r>
            <w:r>
              <w:rPr>
                <w:rFonts w:hint="eastAsia"/>
                <w:color w:val="auto"/>
                <w:sz w:val="21"/>
                <w:szCs w:val="21"/>
              </w:rPr>
              <w:t>供应商提供资质证书复印件并加盖公章）</w:t>
            </w:r>
          </w:p>
        </w:tc>
        <w:tc>
          <w:tcPr>
            <w:tcW w:w="1189" w:type="dxa"/>
            <w:vAlign w:val="center"/>
          </w:tcPr>
          <w:p w14:paraId="61D86E94">
            <w:pPr>
              <w:ind w:left="36" w:leftChars="17"/>
              <w:jc w:val="center"/>
              <w:rPr>
                <w:rFonts w:ascii="宋体" w:hAnsi="宋体" w:cs="宋体"/>
                <w:szCs w:val="21"/>
              </w:rPr>
            </w:pPr>
            <w:r>
              <w:rPr>
                <w:rFonts w:hint="eastAsia" w:ascii="宋体" w:hAnsi="宋体" w:cs="宋体"/>
                <w:szCs w:val="21"/>
              </w:rPr>
              <w:t>□通  过</w:t>
            </w:r>
          </w:p>
          <w:p w14:paraId="5B4960B6">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1CE5228F">
            <w:pPr>
              <w:ind w:right="-78" w:rightChars="-37"/>
              <w:jc w:val="center"/>
              <w:rPr>
                <w:rFonts w:ascii="宋体" w:hAnsi="宋体" w:cs="宋体"/>
                <w:szCs w:val="21"/>
              </w:rPr>
            </w:pPr>
            <w:r>
              <w:rPr>
                <w:rFonts w:hint="eastAsia" w:ascii="宋体" w:hAnsi="宋体" w:cs="宋体"/>
                <w:szCs w:val="21"/>
              </w:rPr>
              <w:t>见响应文件第（）页</w:t>
            </w:r>
          </w:p>
        </w:tc>
      </w:tr>
      <w:tr w14:paraId="47E14A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DF29B32">
            <w:pPr>
              <w:jc w:val="center"/>
              <w:rPr>
                <w:rFonts w:ascii="宋体" w:hAnsi="宋体" w:cs="华文仿宋"/>
                <w:bCs/>
                <w:szCs w:val="21"/>
              </w:rPr>
            </w:pPr>
          </w:p>
        </w:tc>
        <w:tc>
          <w:tcPr>
            <w:tcW w:w="6160" w:type="dxa"/>
            <w:vAlign w:val="center"/>
          </w:tcPr>
          <w:p w14:paraId="1E9B9212">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宋体" w:hAnsi="宋体" w:cs="宋体"/>
                <w:color w:val="auto"/>
                <w:sz w:val="21"/>
                <w:szCs w:val="21"/>
              </w:rPr>
              <w:t>拟派总监理工程师：具</w:t>
            </w:r>
            <w:r>
              <w:rPr>
                <w:rFonts w:hint="eastAsia" w:ascii="宋体" w:hAnsi="宋体" w:eastAsia="宋体" w:cs="宋体"/>
                <w:color w:val="auto"/>
                <w:sz w:val="21"/>
                <w:szCs w:val="21"/>
                <w:lang w:val="en-US" w:eastAsia="zh-CN"/>
              </w:rPr>
              <w:t>备建设部 2006 年 4 月 1 日后颁发</w:t>
            </w:r>
            <w:r>
              <w:rPr>
                <w:rFonts w:hint="eastAsia" w:ascii="宋体" w:hAnsi="宋体" w:cs="宋体"/>
                <w:color w:val="auto"/>
                <w:sz w:val="21"/>
                <w:szCs w:val="21"/>
                <w:lang w:val="en-US" w:eastAsia="zh-CN"/>
              </w:rPr>
              <w:t>的</w:t>
            </w:r>
            <w:r>
              <w:rPr>
                <w:rFonts w:hint="eastAsia" w:ascii="宋体" w:hAnsi="宋体" w:eastAsia="宋体" w:cs="宋体"/>
                <w:color w:val="auto"/>
                <w:sz w:val="21"/>
                <w:szCs w:val="21"/>
                <w:lang w:val="en-US" w:eastAsia="zh-CN"/>
              </w:rPr>
              <w:t>中华人民共</w:t>
            </w:r>
            <w:r>
              <w:rPr>
                <w:rFonts w:hint="eastAsia" w:ascii="宋体" w:hAnsi="宋体" w:cs="宋体"/>
                <w:color w:val="auto"/>
                <w:sz w:val="21"/>
                <w:szCs w:val="21"/>
              </w:rPr>
              <w:t>和国注册监理工程师注册执业证书，且其注册专业为房屋建筑工程，注册执业单位为本公司</w:t>
            </w:r>
            <w:r>
              <w:rPr>
                <w:rFonts w:hint="eastAsia" w:ascii="宋体" w:hAnsi="宋体" w:eastAsia="宋体" w:cs="宋体"/>
                <w:color w:val="auto"/>
                <w:sz w:val="21"/>
                <w:szCs w:val="21"/>
                <w:lang w:val="en-US" w:eastAsia="zh-CN"/>
              </w:rPr>
              <w:t>。提供响应截止日前三个月内任一月份由供应商缴纳的社保证明。</w:t>
            </w:r>
            <w:r>
              <w:rPr>
                <w:rFonts w:hint="eastAsia" w:eastAsia="宋体"/>
                <w:color w:val="auto"/>
                <w:sz w:val="21"/>
                <w:szCs w:val="21"/>
              </w:rPr>
              <w:t>（</w:t>
            </w:r>
            <w:r>
              <w:rPr>
                <w:rFonts w:hint="eastAsia"/>
                <w:color w:val="auto"/>
                <w:sz w:val="21"/>
                <w:szCs w:val="21"/>
              </w:rPr>
              <w:t>供应商提供</w:t>
            </w:r>
            <w:r>
              <w:rPr>
                <w:rFonts w:hint="eastAsia"/>
                <w:color w:val="auto"/>
                <w:sz w:val="21"/>
                <w:szCs w:val="21"/>
                <w:lang w:val="en-US" w:eastAsia="zh-CN"/>
              </w:rPr>
              <w:t>注册执业</w:t>
            </w:r>
            <w:r>
              <w:rPr>
                <w:rFonts w:hint="eastAsia"/>
                <w:color w:val="auto"/>
                <w:sz w:val="21"/>
                <w:szCs w:val="21"/>
              </w:rPr>
              <w:t>证书</w:t>
            </w:r>
            <w:r>
              <w:rPr>
                <w:rFonts w:hint="eastAsia"/>
                <w:color w:val="auto"/>
                <w:sz w:val="21"/>
                <w:szCs w:val="21"/>
                <w:lang w:val="en-US" w:eastAsia="zh-CN"/>
              </w:rPr>
              <w:t>及社保证明</w:t>
            </w:r>
            <w:r>
              <w:rPr>
                <w:rFonts w:hint="eastAsia"/>
                <w:color w:val="auto"/>
                <w:sz w:val="21"/>
                <w:szCs w:val="21"/>
              </w:rPr>
              <w:t>复印件并加盖公章）</w:t>
            </w:r>
          </w:p>
        </w:tc>
        <w:tc>
          <w:tcPr>
            <w:tcW w:w="1189" w:type="dxa"/>
            <w:vAlign w:val="center"/>
          </w:tcPr>
          <w:p w14:paraId="063997F0">
            <w:pPr>
              <w:ind w:left="36" w:leftChars="17"/>
              <w:jc w:val="center"/>
              <w:rPr>
                <w:rFonts w:ascii="宋体" w:hAnsi="宋体" w:cs="宋体"/>
                <w:szCs w:val="21"/>
              </w:rPr>
            </w:pPr>
            <w:r>
              <w:rPr>
                <w:rFonts w:hint="eastAsia" w:ascii="宋体" w:hAnsi="宋体" w:cs="宋体"/>
                <w:szCs w:val="21"/>
              </w:rPr>
              <w:t>□通  过</w:t>
            </w:r>
          </w:p>
          <w:p w14:paraId="3BBE93BF">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14:paraId="5728A07D">
            <w:pPr>
              <w:ind w:right="-78" w:rightChars="-37"/>
              <w:jc w:val="center"/>
              <w:rPr>
                <w:rFonts w:hint="eastAsia" w:ascii="宋体" w:hAnsi="宋体" w:cs="宋体"/>
                <w:szCs w:val="21"/>
              </w:rPr>
            </w:pPr>
            <w:r>
              <w:rPr>
                <w:rFonts w:hint="eastAsia" w:ascii="宋体" w:hAnsi="宋体" w:cs="宋体"/>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9FDC81B">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本项目不接受联合体响应，供应商不得分包、转包。（出具有效的声明函加盖公章，格式详见“2.1资格声明函”）</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36"/>
        <w:rPr>
          <w:rFonts w:ascii="宋体" w:hAnsi="宋体" w:cs="宋体"/>
          <w:sz w:val="21"/>
          <w:szCs w:val="21"/>
        </w:rPr>
      </w:pPr>
      <w:r>
        <w:rPr>
          <w:rFonts w:hint="eastAsia" w:ascii="宋体" w:hAnsi="宋体" w:cs="宋体"/>
          <w:sz w:val="21"/>
          <w:szCs w:val="21"/>
        </w:rPr>
        <w:t>3.本自查表不得擅自删改。</w:t>
      </w:r>
    </w:p>
    <w:p w14:paraId="12481F9A">
      <w:pPr>
        <w:autoSpaceDE w:val="0"/>
        <w:autoSpaceDN w:val="0"/>
        <w:adjustRightInd w:val="0"/>
        <w:ind w:firstLine="420" w:firstLineChars="200"/>
        <w:jc w:val="left"/>
        <w:rPr>
          <w:rFonts w:ascii="宋体" w:hAnsi="宋体" w:cs="宋体"/>
          <w:szCs w:val="21"/>
        </w:rPr>
      </w:pPr>
    </w:p>
    <w:p w14:paraId="56DD3193">
      <w:pPr>
        <w:pStyle w:val="36"/>
        <w:ind w:firstLine="0" w:firstLineChars="0"/>
        <w:rPr>
          <w:rFonts w:ascii="宋体" w:hAnsi="宋体" w:cs="宋体"/>
          <w:szCs w:val="21"/>
        </w:rPr>
      </w:pPr>
    </w:p>
    <w:p w14:paraId="00C7F78D"/>
    <w:p w14:paraId="7D3913CB">
      <w:pPr>
        <w:pStyle w:val="8"/>
      </w:pP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B5B641">
      <w:pPr>
        <w:spacing w:line="360" w:lineRule="auto"/>
        <w:ind w:firstLine="3542" w:firstLineChars="1476"/>
        <w:rPr>
          <w:rFonts w:hint="eastAsia" w:ascii="宋体" w:hAnsi="宋体" w:cs="宋体"/>
          <w:sz w:val="24"/>
        </w:rPr>
      </w:pPr>
    </w:p>
    <w:p w14:paraId="663845BA">
      <w:pPr>
        <w:pStyle w:val="37"/>
        <w:rPr>
          <w:rFonts w:hint="eastAsia" w:ascii="宋体" w:hAnsi="宋体" w:cs="宋体"/>
          <w:sz w:val="24"/>
        </w:rPr>
      </w:pPr>
    </w:p>
    <w:p w14:paraId="4429DDC4">
      <w:pPr>
        <w:pStyle w:val="37"/>
        <w:rPr>
          <w:rFonts w:hint="eastAsia" w:ascii="宋体" w:hAnsi="宋体" w:cs="宋体"/>
          <w:sz w:val="24"/>
        </w:rPr>
      </w:pPr>
    </w:p>
    <w:p w14:paraId="441044E2">
      <w:pPr>
        <w:pStyle w:val="37"/>
        <w:rPr>
          <w:rFonts w:hint="eastAsia" w:ascii="宋体" w:hAnsi="宋体" w:cs="宋体"/>
          <w:sz w:val="24"/>
        </w:rPr>
      </w:pPr>
    </w:p>
    <w:p w14:paraId="689BDBBE">
      <w:pPr>
        <w:pStyle w:val="37"/>
        <w:rPr>
          <w:rFonts w:hint="eastAsia" w:ascii="宋体" w:hAnsi="宋体" w:cs="宋体"/>
          <w:sz w:val="24"/>
        </w:rPr>
      </w:pPr>
    </w:p>
    <w:p w14:paraId="7F1784C4">
      <w:pPr>
        <w:pStyle w:val="37"/>
        <w:rPr>
          <w:rFonts w:hint="eastAsia" w:ascii="宋体" w:hAnsi="宋体" w:cs="宋体"/>
          <w:sz w:val="24"/>
        </w:rPr>
      </w:pPr>
    </w:p>
    <w:p w14:paraId="19A2B1F0">
      <w:pPr>
        <w:pStyle w:val="37"/>
        <w:rPr>
          <w:rFonts w:hint="eastAsia" w:ascii="宋体" w:hAnsi="宋体" w:cs="宋体"/>
          <w:sz w:val="24"/>
        </w:rPr>
      </w:pPr>
    </w:p>
    <w:p w14:paraId="3C97AD9C">
      <w:pPr>
        <w:pStyle w:val="37"/>
        <w:rPr>
          <w:rFonts w:hint="eastAsia" w:ascii="宋体" w:hAnsi="宋体" w:cs="宋体"/>
          <w:sz w:val="24"/>
        </w:rPr>
      </w:pPr>
    </w:p>
    <w:p w14:paraId="4C567095">
      <w:pPr>
        <w:pStyle w:val="37"/>
        <w:rPr>
          <w:rFonts w:hint="eastAsia" w:ascii="宋体" w:hAnsi="宋体" w:cs="宋体"/>
          <w:sz w:val="24"/>
        </w:rPr>
      </w:pPr>
    </w:p>
    <w:p w14:paraId="32AA8F18">
      <w:pPr>
        <w:pStyle w:val="37"/>
        <w:rPr>
          <w:rFonts w:hint="eastAsia" w:ascii="宋体" w:hAnsi="宋体" w:cs="宋体"/>
          <w:sz w:val="24"/>
        </w:rPr>
      </w:pPr>
    </w:p>
    <w:p w14:paraId="26B2E2C8">
      <w:pPr>
        <w:pStyle w:val="37"/>
        <w:rPr>
          <w:rFonts w:hint="eastAsia" w:ascii="宋体" w:hAnsi="宋体" w:cs="宋体"/>
          <w:sz w:val="24"/>
        </w:rPr>
      </w:pPr>
    </w:p>
    <w:p w14:paraId="7BF54459">
      <w:pPr>
        <w:pStyle w:val="37"/>
        <w:rPr>
          <w:rFonts w:hint="eastAsia" w:ascii="宋体" w:hAnsi="宋体" w:cs="宋体"/>
          <w:sz w:val="24"/>
        </w:rPr>
      </w:pPr>
    </w:p>
    <w:p w14:paraId="13896D3F">
      <w:pPr>
        <w:pStyle w:val="37"/>
        <w:rPr>
          <w:rFonts w:hint="eastAsia" w:ascii="宋体" w:hAnsi="宋体" w:cs="宋体"/>
          <w:sz w:val="24"/>
        </w:rPr>
      </w:pPr>
    </w:p>
    <w:p w14:paraId="1B931034">
      <w:pPr>
        <w:pStyle w:val="37"/>
        <w:rPr>
          <w:rFonts w:hint="eastAsia" w:ascii="宋体" w:hAnsi="宋体" w:cs="宋体"/>
          <w:sz w:val="24"/>
        </w:rPr>
      </w:pPr>
    </w:p>
    <w:p w14:paraId="1C55B6AA">
      <w:pPr>
        <w:pStyle w:val="37"/>
        <w:rPr>
          <w:rFonts w:hint="eastAsia" w:ascii="宋体" w:hAnsi="宋体" w:cs="宋体"/>
          <w:sz w:val="24"/>
        </w:rPr>
      </w:pPr>
    </w:p>
    <w:p w14:paraId="47F97354">
      <w:pPr>
        <w:pStyle w:val="37"/>
        <w:rPr>
          <w:rFonts w:hint="eastAsia" w:ascii="宋体" w:hAnsi="宋体" w:cs="宋体"/>
          <w:sz w:val="24"/>
        </w:rPr>
      </w:pPr>
    </w:p>
    <w:p w14:paraId="04AC56A8">
      <w:pPr>
        <w:pStyle w:val="37"/>
        <w:rPr>
          <w:rFonts w:hint="eastAsia" w:ascii="宋体" w:hAnsi="宋体" w:cs="宋体"/>
          <w:sz w:val="24"/>
        </w:rPr>
      </w:pPr>
    </w:p>
    <w:p w14:paraId="1095513A">
      <w:pPr>
        <w:pStyle w:val="37"/>
        <w:rPr>
          <w:rFonts w:hint="eastAsia" w:ascii="宋体" w:hAnsi="宋体" w:cs="宋体"/>
          <w:sz w:val="24"/>
        </w:rPr>
      </w:pPr>
    </w:p>
    <w:p w14:paraId="2820652D">
      <w:pPr>
        <w:pStyle w:val="37"/>
        <w:rPr>
          <w:rFonts w:hint="eastAsia" w:ascii="宋体" w:hAnsi="宋体" w:cs="宋体"/>
          <w:sz w:val="24"/>
        </w:rPr>
      </w:pPr>
    </w:p>
    <w:p w14:paraId="7880EC29">
      <w:pPr>
        <w:pStyle w:val="3"/>
        <w:rPr>
          <w:rFonts w:hint="eastAsia" w:ascii="宋体" w:hAnsi="宋体" w:cs="宋体"/>
          <w:sz w:val="24"/>
        </w:rPr>
      </w:pPr>
    </w:p>
    <w:p w14:paraId="3A5CC2FE">
      <w:pPr>
        <w:pStyle w:val="36"/>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36"/>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7D24FD13">
      <w:pPr>
        <w:pStyle w:val="36"/>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36"/>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1323C4FA">
      <w:pPr>
        <w:pStyle w:val="36"/>
        <w:adjustRightInd w:val="0"/>
        <w:snapToGrid w:val="0"/>
        <w:spacing w:line="360" w:lineRule="auto"/>
        <w:ind w:firstLineChars="175"/>
        <w:rPr>
          <w:rFonts w:hint="eastAsia"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543AD85">
      <w:pPr>
        <w:pStyle w:val="36"/>
        <w:adjustRightInd w:val="0"/>
        <w:snapToGrid w:val="0"/>
        <w:spacing w:line="360" w:lineRule="auto"/>
        <w:ind w:firstLineChars="175"/>
        <w:rPr>
          <w:rFonts w:hint="default" w:ascii="宋体" w:hAnsi="宋体" w:cs="宋体"/>
          <w:sz w:val="24"/>
          <w:lang w:val="en-US" w:eastAsia="zh-CN"/>
        </w:rPr>
      </w:pPr>
      <w:r>
        <w:rPr>
          <w:rFonts w:hint="eastAsia" w:ascii="宋体" w:hAnsi="宋体" w:cs="宋体"/>
          <w:sz w:val="24"/>
          <w:lang w:eastAsia="zh-CN"/>
        </w:rPr>
        <w:t>（</w:t>
      </w:r>
      <w:r>
        <w:rPr>
          <w:rFonts w:hint="eastAsia" w:ascii="宋体" w:hAnsi="宋体" w:cs="宋体"/>
          <w:sz w:val="24"/>
          <w:lang w:val="en-US" w:eastAsia="zh-CN"/>
        </w:rPr>
        <w:t>5）</w:t>
      </w:r>
      <w:r>
        <w:rPr>
          <w:rFonts w:hint="eastAsia" w:ascii="宋体" w:hAnsi="宋体" w:cs="宋体"/>
          <w:sz w:val="24"/>
        </w:rPr>
        <w:t>为采购项目提供整体设计、规范编制或者项目管理、监理、检测等服务的供应商，不得再参加该采购项目的其他采购活动。</w:t>
      </w:r>
    </w:p>
    <w:p w14:paraId="64BED159">
      <w:pPr>
        <w:pStyle w:val="36"/>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6</w:t>
      </w:r>
      <w:r>
        <w:rPr>
          <w:rFonts w:hint="eastAsia" w:ascii="宋体" w:hAnsi="宋体" w:cs="宋体"/>
          <w:sz w:val="24"/>
        </w:rPr>
        <w:t>)本单位（企业）参加本次采购活动，具备独立实施能力，属于非联合体响应。</w:t>
      </w:r>
    </w:p>
    <w:p w14:paraId="4A1564FE">
      <w:pPr>
        <w:pStyle w:val="36"/>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36"/>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36"/>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9BD1C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5A937107">
      <w:pPr>
        <w:pStyle w:val="36"/>
        <w:ind w:firstLine="400"/>
        <w:rPr>
          <w:rFonts w:ascii="宋体" w:hAnsi="宋体" w:cs="宋体"/>
          <w:color w:val="auto"/>
          <w:szCs w:val="21"/>
        </w:rPr>
      </w:pPr>
    </w:p>
    <w:p w14:paraId="6DDB74D6">
      <w:pPr>
        <w:pStyle w:val="36"/>
        <w:ind w:firstLine="400"/>
        <w:rPr>
          <w:rFonts w:ascii="宋体" w:hAnsi="宋体" w:cs="宋体"/>
          <w:color w:val="auto"/>
          <w:szCs w:val="21"/>
        </w:rPr>
      </w:pPr>
    </w:p>
    <w:p w14:paraId="4A8AA558">
      <w:pPr>
        <w:pStyle w:val="36"/>
        <w:ind w:firstLine="400"/>
        <w:rPr>
          <w:rFonts w:ascii="宋体" w:hAnsi="宋体" w:cs="宋体"/>
          <w:color w:val="auto"/>
          <w:szCs w:val="21"/>
        </w:rPr>
      </w:pPr>
    </w:p>
    <w:p w14:paraId="58BB6E46">
      <w:pPr>
        <w:pStyle w:val="36"/>
        <w:ind w:firstLine="400"/>
        <w:rPr>
          <w:rFonts w:ascii="宋体" w:hAnsi="宋体" w:cs="宋体"/>
          <w:color w:val="auto"/>
          <w:szCs w:val="21"/>
        </w:rPr>
      </w:pPr>
    </w:p>
    <w:p w14:paraId="5EF21909">
      <w:pPr>
        <w:pStyle w:val="36"/>
        <w:ind w:firstLine="400"/>
        <w:rPr>
          <w:rFonts w:ascii="宋体" w:hAnsi="宋体" w:cs="宋体"/>
          <w:color w:val="auto"/>
          <w:szCs w:val="21"/>
        </w:rPr>
      </w:pPr>
    </w:p>
    <w:p w14:paraId="4F56F2E9">
      <w:pPr>
        <w:pStyle w:val="36"/>
        <w:ind w:firstLine="400"/>
        <w:rPr>
          <w:rFonts w:ascii="宋体" w:hAnsi="宋体" w:cs="宋体"/>
          <w:color w:val="auto"/>
          <w:szCs w:val="21"/>
        </w:rPr>
      </w:pPr>
    </w:p>
    <w:p w14:paraId="3042A3FE">
      <w:pPr>
        <w:pStyle w:val="41"/>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36"/>
        <w:ind w:firstLine="400"/>
        <w:rPr>
          <w:rFonts w:ascii="宋体" w:hAnsi="宋体" w:cs="宋体"/>
          <w:color w:val="auto"/>
          <w:szCs w:val="21"/>
        </w:rPr>
      </w:pPr>
    </w:p>
    <w:p w14:paraId="5498DC52">
      <w:pPr>
        <w:pStyle w:val="36"/>
        <w:ind w:firstLine="400"/>
        <w:rPr>
          <w:rFonts w:ascii="宋体" w:hAnsi="宋体" w:cs="宋体"/>
          <w:color w:val="auto"/>
          <w:szCs w:val="21"/>
        </w:rPr>
      </w:pPr>
    </w:p>
    <w:p w14:paraId="5215F4F1">
      <w:pPr>
        <w:pStyle w:val="36"/>
        <w:ind w:firstLine="400"/>
        <w:rPr>
          <w:rFonts w:ascii="宋体" w:hAnsi="宋体" w:cs="宋体"/>
          <w:color w:val="auto"/>
          <w:szCs w:val="21"/>
        </w:rPr>
      </w:pPr>
    </w:p>
    <w:p w14:paraId="499930CA">
      <w:pPr>
        <w:pStyle w:val="36"/>
        <w:ind w:firstLine="400"/>
        <w:rPr>
          <w:rFonts w:ascii="宋体" w:hAnsi="宋体" w:cs="宋体"/>
          <w:color w:val="auto"/>
          <w:szCs w:val="21"/>
        </w:rPr>
      </w:pPr>
    </w:p>
    <w:p w14:paraId="31C253CF">
      <w:pPr>
        <w:pStyle w:val="36"/>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7A9097E7">
      <w:pPr>
        <w:pStyle w:val="36"/>
        <w:numPr>
          <w:ilvl w:val="0"/>
          <w:numId w:val="0"/>
        </w:numPr>
        <w:ind w:firstLine="480" w:firstLineChars="200"/>
        <w:jc w:val="left"/>
        <w:rPr>
          <w:rFonts w:ascii="宋体" w:hAnsi="宋体" w:cs="宋体"/>
          <w:sz w:val="24"/>
          <w:szCs w:val="24"/>
        </w:rPr>
      </w:pPr>
      <w:r>
        <w:rPr>
          <w:rFonts w:hint="eastAsia" w:ascii="宋体" w:hAnsi="宋体" w:eastAsia="宋体" w:cs="宋体"/>
          <w:color w:val="auto"/>
          <w:sz w:val="24"/>
          <w:szCs w:val="24"/>
          <w:lang w:val="en-US" w:eastAsia="zh-CN"/>
        </w:rPr>
        <w:t>具备</w:t>
      </w:r>
      <w:r>
        <w:rPr>
          <w:rFonts w:hint="eastAsia" w:ascii="宋体" w:hAnsi="宋体" w:cs="宋体"/>
          <w:sz w:val="24"/>
          <w:szCs w:val="24"/>
        </w:rPr>
        <w:t>工程</w:t>
      </w:r>
      <w:r>
        <w:rPr>
          <w:rFonts w:hint="eastAsia" w:ascii="宋体" w:hAnsi="宋体" w:cs="宋体"/>
          <w:color w:val="auto"/>
          <w:sz w:val="24"/>
          <w:szCs w:val="24"/>
        </w:rPr>
        <w:t>监理综合资质或房屋建筑工程监理乙级(或以上）资质。</w:t>
      </w:r>
      <w:r>
        <w:rPr>
          <w:rFonts w:hint="eastAsia"/>
          <w:color w:val="auto"/>
          <w:sz w:val="24"/>
          <w:szCs w:val="24"/>
        </w:rPr>
        <w:t>供应商提供资质证书复印件并加盖公章</w:t>
      </w:r>
      <w:r>
        <w:rPr>
          <w:rFonts w:hint="eastAsia"/>
          <w:color w:val="auto"/>
          <w:sz w:val="24"/>
          <w:szCs w:val="24"/>
          <w:lang w:eastAsia="zh-CN"/>
        </w:rPr>
        <w:t>。</w:t>
      </w:r>
    </w:p>
    <w:p w14:paraId="2D0F8B90">
      <w:pPr>
        <w:pStyle w:val="36"/>
        <w:ind w:firstLine="400"/>
        <w:rPr>
          <w:rFonts w:ascii="宋体" w:hAnsi="宋体" w:cs="宋体"/>
          <w:szCs w:val="21"/>
        </w:rPr>
      </w:pPr>
    </w:p>
    <w:p w14:paraId="1ED3D179">
      <w:pPr>
        <w:pStyle w:val="36"/>
        <w:ind w:firstLine="400"/>
        <w:rPr>
          <w:rFonts w:ascii="宋体" w:hAnsi="宋体" w:cs="宋体"/>
          <w:szCs w:val="21"/>
        </w:rPr>
      </w:pPr>
    </w:p>
    <w:p w14:paraId="1C7FF9DE">
      <w:pPr>
        <w:pStyle w:val="36"/>
        <w:ind w:firstLine="400"/>
        <w:rPr>
          <w:rFonts w:ascii="宋体" w:hAnsi="宋体" w:cs="宋体"/>
          <w:szCs w:val="21"/>
        </w:rPr>
      </w:pPr>
    </w:p>
    <w:p w14:paraId="012296F2">
      <w:pPr>
        <w:pStyle w:val="36"/>
        <w:ind w:firstLine="400"/>
      </w:pPr>
    </w:p>
    <w:p w14:paraId="677C81CA">
      <w:pPr>
        <w:pStyle w:val="36"/>
        <w:ind w:firstLine="400"/>
      </w:pPr>
    </w:p>
    <w:p w14:paraId="7A628398">
      <w:pPr>
        <w:pStyle w:val="36"/>
        <w:ind w:firstLine="400"/>
      </w:pPr>
    </w:p>
    <w:p w14:paraId="4AE8C933">
      <w:pPr>
        <w:pStyle w:val="36"/>
        <w:ind w:firstLine="400"/>
      </w:pPr>
    </w:p>
    <w:p w14:paraId="77F65FC0">
      <w:pPr>
        <w:pStyle w:val="36"/>
        <w:ind w:firstLine="400"/>
      </w:pPr>
    </w:p>
    <w:p w14:paraId="68714E1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1F4B57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80A96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86B1CE1">
      <w:pPr>
        <w:spacing w:line="360" w:lineRule="auto"/>
        <w:ind w:firstLine="3542" w:firstLineChars="1476"/>
        <w:jc w:val="left"/>
        <w:rPr>
          <w:rFonts w:hint="eastAsia" w:ascii="宋体" w:hAnsi="宋体" w:cs="宋体"/>
          <w:sz w:val="24"/>
        </w:rPr>
      </w:pPr>
    </w:p>
    <w:p w14:paraId="1F7D40A6">
      <w:pPr>
        <w:pStyle w:val="36"/>
        <w:ind w:firstLine="400"/>
      </w:pPr>
    </w:p>
    <w:p w14:paraId="749DA2C8">
      <w:pPr>
        <w:pStyle w:val="36"/>
        <w:ind w:firstLine="400"/>
      </w:pPr>
    </w:p>
    <w:p w14:paraId="628B5587">
      <w:pPr>
        <w:pStyle w:val="53"/>
        <w:tabs>
          <w:tab w:val="left" w:pos="1050"/>
          <w:tab w:val="center" w:pos="4535"/>
        </w:tabs>
        <w:spacing w:line="360" w:lineRule="auto"/>
        <w:jc w:val="center"/>
        <w:outlineLvl w:val="0"/>
        <w:rPr>
          <w:rFonts w:hint="default" w:eastAsia="宋体"/>
          <w:b/>
          <w:bCs/>
          <w:color w:val="000000" w:themeColor="text1"/>
          <w:sz w:val="32"/>
          <w:szCs w:val="32"/>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2.4总监理工程师要求</w:t>
      </w:r>
    </w:p>
    <w:p w14:paraId="1502BA42">
      <w:pPr>
        <w:pStyle w:val="18"/>
        <w:numPr>
          <w:ilvl w:val="0"/>
          <w:numId w:val="0"/>
        </w:numPr>
        <w:ind w:firstLine="480" w:firstLineChars="200"/>
        <w:rPr>
          <w:b/>
          <w:bCs/>
          <w:color w:val="000000" w:themeColor="text1"/>
          <w:sz w:val="32"/>
          <w:szCs w:val="32"/>
          <w14:textFill>
            <w14:solidFill>
              <w14:schemeClr w14:val="tx1"/>
            </w14:solidFill>
          </w14:textFill>
        </w:rPr>
      </w:pPr>
      <w:r>
        <w:rPr>
          <w:rFonts w:hint="eastAsia" w:ascii="宋体" w:hAnsi="宋体" w:cs="宋体"/>
          <w:sz w:val="24"/>
          <w:szCs w:val="24"/>
        </w:rPr>
        <w:t>具</w:t>
      </w:r>
      <w:r>
        <w:rPr>
          <w:rFonts w:hint="eastAsia" w:ascii="宋体" w:hAnsi="宋体" w:eastAsia="宋体" w:cs="宋体"/>
          <w:color w:val="auto"/>
          <w:sz w:val="24"/>
          <w:szCs w:val="24"/>
          <w:lang w:val="en-US" w:eastAsia="zh-CN"/>
        </w:rPr>
        <w:t>备建设部 2006 年 4 月 1 日后颁发</w:t>
      </w:r>
      <w:r>
        <w:rPr>
          <w:rFonts w:hint="eastAsia" w:ascii="宋体" w:hAnsi="宋体" w:cs="宋体"/>
          <w:color w:val="auto"/>
          <w:sz w:val="24"/>
          <w:szCs w:val="24"/>
          <w:lang w:val="en-US" w:eastAsia="zh-CN"/>
        </w:rPr>
        <w:t>的</w:t>
      </w:r>
      <w:r>
        <w:rPr>
          <w:rFonts w:hint="eastAsia" w:ascii="宋体" w:hAnsi="宋体" w:eastAsia="宋体" w:cs="宋体"/>
          <w:color w:val="auto"/>
          <w:sz w:val="24"/>
          <w:szCs w:val="24"/>
          <w:lang w:val="en-US" w:eastAsia="zh-CN"/>
        </w:rPr>
        <w:t>中华人民共</w:t>
      </w:r>
      <w:r>
        <w:rPr>
          <w:rFonts w:hint="eastAsia" w:ascii="宋体" w:hAnsi="宋体" w:cs="宋体"/>
          <w:color w:val="auto"/>
          <w:sz w:val="24"/>
          <w:szCs w:val="24"/>
        </w:rPr>
        <w:t>和国注册监理工程师注册</w:t>
      </w:r>
      <w:r>
        <w:rPr>
          <w:rFonts w:hint="eastAsia" w:ascii="宋体" w:hAnsi="宋体" w:cs="宋体"/>
          <w:sz w:val="24"/>
          <w:szCs w:val="24"/>
        </w:rPr>
        <w:t>执业证书，且其注册专业为房屋建筑工程，注册执业单位为本公司</w:t>
      </w:r>
      <w:r>
        <w:rPr>
          <w:rFonts w:hint="eastAsia" w:ascii="宋体" w:hAnsi="宋体" w:eastAsia="宋体" w:cs="宋体"/>
          <w:color w:val="auto"/>
          <w:sz w:val="24"/>
          <w:szCs w:val="24"/>
          <w:lang w:val="en-US" w:eastAsia="zh-CN"/>
        </w:rPr>
        <w:t>。提供响应截止日前三个月内任一月份由供应商缴纳的社保证明。</w:t>
      </w:r>
      <w:r>
        <w:rPr>
          <w:rFonts w:hint="eastAsia" w:ascii="宋体" w:hAnsi="宋体" w:eastAsia="宋体" w:cs="宋体"/>
          <w:color w:val="auto"/>
          <w:sz w:val="24"/>
          <w:szCs w:val="24"/>
        </w:rPr>
        <w:t>供应商提供资质证书复印件并加盖公章</w:t>
      </w:r>
      <w:r>
        <w:rPr>
          <w:rFonts w:hint="eastAsia" w:ascii="宋体" w:hAnsi="宋体" w:eastAsia="宋体" w:cs="宋体"/>
          <w:color w:val="auto"/>
          <w:sz w:val="24"/>
          <w:szCs w:val="24"/>
          <w:lang w:eastAsia="zh-CN"/>
        </w:rPr>
        <w:t>。</w:t>
      </w:r>
    </w:p>
    <w:p w14:paraId="668AE146">
      <w:pPr>
        <w:pStyle w:val="53"/>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7E6A0F1">
      <w:pPr>
        <w:pStyle w:val="53"/>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A8C380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C9D74E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74ECEFC">
      <w:pPr>
        <w:pStyle w:val="36"/>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1EFE2CF">
      <w:pPr>
        <w:pStyle w:val="36"/>
        <w:ind w:firstLine="400"/>
      </w:pPr>
    </w:p>
    <w:p w14:paraId="3DA05210">
      <w:pPr>
        <w:pStyle w:val="36"/>
        <w:ind w:firstLine="400"/>
      </w:pPr>
    </w:p>
    <w:p w14:paraId="00A2225B">
      <w:pPr>
        <w:pStyle w:val="36"/>
        <w:ind w:firstLine="400"/>
      </w:pPr>
    </w:p>
    <w:p w14:paraId="515DD764">
      <w:pPr>
        <w:pStyle w:val="36"/>
        <w:ind w:firstLine="400"/>
      </w:pPr>
    </w:p>
    <w:p w14:paraId="2FF4C62D">
      <w:pPr>
        <w:pStyle w:val="36"/>
        <w:ind w:firstLine="400"/>
      </w:pPr>
    </w:p>
    <w:p w14:paraId="090E2CD0">
      <w:pPr>
        <w:pStyle w:val="36"/>
        <w:ind w:firstLine="400"/>
      </w:pPr>
    </w:p>
    <w:p w14:paraId="0D0F7B46">
      <w:pPr>
        <w:pStyle w:val="36"/>
        <w:ind w:firstLine="400"/>
      </w:pPr>
    </w:p>
    <w:p w14:paraId="5E3EDB23">
      <w:pPr>
        <w:pStyle w:val="53"/>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2.5报名</w:t>
      </w:r>
      <w:r>
        <w:rPr>
          <w:rFonts w:hint="eastAsia"/>
          <w:b/>
          <w:bCs/>
          <w:color w:val="000000" w:themeColor="text1"/>
          <w:sz w:val="32"/>
          <w:szCs w:val="32"/>
          <w:lang w:val="en-US" w:eastAsia="zh-CN"/>
          <w14:textFill>
            <w14:solidFill>
              <w14:schemeClr w14:val="tx1"/>
            </w14:solidFill>
          </w14:textFill>
        </w:rPr>
        <w:t>邮件截图</w:t>
      </w:r>
    </w:p>
    <w:p w14:paraId="5F47B7E9">
      <w:pPr>
        <w:pStyle w:val="53"/>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8"/>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8"/>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3"/>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8"/>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8"/>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8"/>
        <w:numPr>
          <w:ilvl w:val="0"/>
          <w:numId w:val="0"/>
        </w:numPr>
        <w:ind w:firstLine="480" w:firstLineChars="200"/>
        <w:rPr>
          <w:rFonts w:hint="eastAsia" w:ascii="宋体" w:hAnsi="宋体" w:eastAsia="宋体" w:cs="宋体"/>
          <w:color w:val="auto"/>
          <w:sz w:val="24"/>
          <w:highlight w:val="none"/>
          <w:lang w:val="en-US" w:eastAsia="zh-CN"/>
        </w:rPr>
      </w:pPr>
    </w:p>
    <w:p w14:paraId="7104DBAB">
      <w:pPr>
        <w:pStyle w:val="18"/>
        <w:numPr>
          <w:ilvl w:val="0"/>
          <w:numId w:val="0"/>
        </w:numPr>
        <w:ind w:firstLine="480" w:firstLineChars="200"/>
        <w:rPr>
          <w:rFonts w:hint="eastAsia" w:ascii="宋体" w:hAnsi="宋体" w:eastAsia="宋体" w:cs="宋体"/>
          <w:color w:val="auto"/>
          <w:sz w:val="24"/>
          <w:highlight w:val="none"/>
          <w:lang w:val="en-US" w:eastAsia="zh-CN"/>
        </w:rPr>
      </w:pPr>
    </w:p>
    <w:p w14:paraId="096D381E">
      <w:pPr>
        <w:pStyle w:val="36"/>
        <w:ind w:firstLine="400"/>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9"/>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提供《响应承诺函》，响应有效期为提交响应文件的截止之日起90天（格式详见“3</w:t>
            </w:r>
            <w:r>
              <w:rPr>
                <w:rFonts w:hint="eastAsia" w:ascii="宋体" w:hAnsi="宋体" w:cs="华文仿宋"/>
                <w:szCs w:val="21"/>
                <w:lang w:val="en-US" w:eastAsia="zh-CN"/>
              </w:rPr>
              <w:t>.3</w:t>
            </w:r>
            <w:r>
              <w:rPr>
                <w:rFonts w:hint="eastAsia" w:ascii="宋体" w:hAnsi="宋体" w:cs="华文仿宋"/>
                <w:szCs w:val="21"/>
              </w:rPr>
              <w:t>响应承诺函”）。</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法定代表人资格证明书及授权委托书：按对应格式文件签署、盖章。（格式详见“3</w:t>
            </w:r>
            <w:r>
              <w:rPr>
                <w:rFonts w:hint="eastAsia" w:ascii="宋体" w:hAnsi="宋体" w:cs="华文仿宋"/>
                <w:szCs w:val="21"/>
                <w:lang w:val="en-US" w:eastAsia="zh-CN"/>
              </w:rPr>
              <w:t>.1及3.2</w:t>
            </w:r>
            <w:r>
              <w:rPr>
                <w:rFonts w:hint="eastAsia" w:ascii="宋体" w:hAnsi="宋体" w:cs="华文仿宋"/>
                <w:szCs w:val="21"/>
              </w:rPr>
              <w:t>”）</w:t>
            </w:r>
          </w:p>
        </w:tc>
        <w:tc>
          <w:tcPr>
            <w:tcW w:w="1275" w:type="dxa"/>
            <w:vAlign w:val="center"/>
          </w:tcPr>
          <w:p w14:paraId="646565D3">
            <w:pPr>
              <w:ind w:left="36" w:leftChars="17"/>
              <w:jc w:val="center"/>
            </w:pPr>
            <w:r>
              <w:rPr>
                <w:rFonts w:hint="eastAsia"/>
              </w:rPr>
              <w:t>□通  过</w:t>
            </w:r>
          </w:p>
          <w:p w14:paraId="0CF77B98">
            <w:pPr>
              <w:pStyle w:val="36"/>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r>
              <w:rPr>
                <w:rFonts w:hint="eastAsia" w:ascii="宋体" w:hAnsi="宋体" w:cs="华文仿宋"/>
                <w:szCs w:val="21"/>
                <w:highlight w:val="none"/>
              </w:rPr>
              <w:t>（格式详见“3</w:t>
            </w:r>
            <w:r>
              <w:rPr>
                <w:rFonts w:hint="eastAsia" w:ascii="宋体" w:hAnsi="宋体" w:cs="华文仿宋"/>
                <w:szCs w:val="21"/>
                <w:highlight w:val="none"/>
                <w:lang w:val="en-US" w:eastAsia="zh-CN"/>
              </w:rPr>
              <w:t>.3</w:t>
            </w:r>
            <w:r>
              <w:rPr>
                <w:rFonts w:hint="eastAsia" w:ascii="宋体" w:hAnsi="宋体" w:cs="华文仿宋"/>
                <w:szCs w:val="21"/>
                <w:highlight w:val="none"/>
              </w:rPr>
              <w:t>响应承诺函”）</w:t>
            </w:r>
            <w:r>
              <w:rPr>
                <w:rFonts w:hint="eastAsia" w:ascii="宋体" w:hAnsi="宋体" w:cs="华文仿宋"/>
                <w:szCs w:val="21"/>
              </w:rPr>
              <w:t>。</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470B80D">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0F40D39D">
            <w:pPr>
              <w:ind w:left="-21" w:leftChars="-10"/>
              <w:rPr>
                <w:rFonts w:hint="eastAsia" w:ascii="宋体" w:hAnsi="宋体" w:cs="华文仿宋"/>
                <w:szCs w:val="21"/>
              </w:rPr>
            </w:pPr>
            <w:r>
              <w:rPr>
                <w:rFonts w:hint="eastAsia" w:ascii="宋体" w:hAnsi="宋体" w:cs="华文仿宋"/>
                <w:szCs w:val="21"/>
              </w:rPr>
              <w:t>（</w:t>
            </w:r>
            <w:r>
              <w:rPr>
                <w:rFonts w:hint="eastAsia" w:ascii="宋体" w:hAnsi="宋体" w:cs="华文仿宋"/>
                <w:szCs w:val="21"/>
                <w:highlight w:val="none"/>
              </w:rPr>
              <w:t>格式详见“3</w:t>
            </w:r>
            <w:r>
              <w:rPr>
                <w:rFonts w:hint="eastAsia" w:ascii="宋体" w:hAnsi="宋体" w:cs="华文仿宋"/>
                <w:szCs w:val="21"/>
                <w:highlight w:val="none"/>
                <w:lang w:val="en-US" w:eastAsia="zh-CN"/>
              </w:rPr>
              <w:t>.3</w:t>
            </w:r>
            <w:r>
              <w:rPr>
                <w:rFonts w:hint="eastAsia" w:ascii="宋体" w:hAnsi="宋体" w:cs="华文仿宋"/>
                <w:szCs w:val="21"/>
                <w:highlight w:val="none"/>
              </w:rPr>
              <w:t>响应承诺函”</w:t>
            </w:r>
            <w:r>
              <w:rPr>
                <w:rFonts w:hint="eastAsia" w:ascii="宋体" w:hAnsi="宋体" w:cs="华文仿宋"/>
                <w:szCs w:val="21"/>
              </w:rPr>
              <w:t>）。</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9"/>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9"/>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9"/>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9"/>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06E44762">
      <w:pPr>
        <w:pStyle w:val="36"/>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36"/>
        <w:rPr>
          <w:rFonts w:hint="eastAsia" w:ascii="宋体" w:hAnsi="宋体" w:cs="宋体"/>
          <w:color w:val="000000" w:themeColor="text1"/>
          <w:sz w:val="24"/>
          <w14:textFill>
            <w14:solidFill>
              <w14:schemeClr w14:val="tx1"/>
            </w14:solidFill>
          </w14:textFill>
        </w:rPr>
      </w:pPr>
    </w:p>
    <w:p w14:paraId="183256D8">
      <w:pPr>
        <w:pStyle w:val="36"/>
        <w:rPr>
          <w:rFonts w:hint="eastAsia" w:ascii="宋体" w:hAnsi="宋体" w:cs="宋体"/>
          <w:color w:val="000000" w:themeColor="text1"/>
          <w:sz w:val="24"/>
          <w14:textFill>
            <w14:solidFill>
              <w14:schemeClr w14:val="tx1"/>
            </w14:solidFill>
          </w14:textFill>
        </w:rPr>
      </w:pPr>
    </w:p>
    <w:p w14:paraId="00EC59B2">
      <w:pPr>
        <w:pStyle w:val="36"/>
        <w:rPr>
          <w:rFonts w:hint="eastAsia" w:ascii="宋体" w:hAnsi="宋体" w:cs="宋体"/>
          <w:color w:val="000000" w:themeColor="text1"/>
          <w:sz w:val="24"/>
          <w14:textFill>
            <w14:solidFill>
              <w14:schemeClr w14:val="tx1"/>
            </w14:solidFill>
          </w14:textFill>
        </w:rPr>
      </w:pPr>
    </w:p>
    <w:p w14:paraId="1C9DAE76">
      <w:pPr>
        <w:pStyle w:val="36"/>
        <w:rPr>
          <w:rFonts w:hint="eastAsia" w:ascii="宋体" w:hAnsi="宋体" w:cs="宋体"/>
          <w:color w:val="000000" w:themeColor="text1"/>
          <w:sz w:val="24"/>
          <w14:textFill>
            <w14:solidFill>
              <w14:schemeClr w14:val="tx1"/>
            </w14:solidFill>
          </w14:textFill>
        </w:rPr>
      </w:pPr>
    </w:p>
    <w:p w14:paraId="5FAA18D8">
      <w:pPr>
        <w:pStyle w:val="36"/>
        <w:rPr>
          <w:rFonts w:hint="eastAsia" w:ascii="宋体" w:hAnsi="宋体" w:cs="宋体"/>
          <w:color w:val="000000" w:themeColor="text1"/>
          <w:sz w:val="24"/>
          <w14:textFill>
            <w14:solidFill>
              <w14:schemeClr w14:val="tx1"/>
            </w14:solidFill>
          </w14:textFill>
        </w:rPr>
      </w:pPr>
    </w:p>
    <w:p w14:paraId="687542DA">
      <w:pPr>
        <w:pStyle w:val="36"/>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6"/>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6"/>
        <w:tabs>
          <w:tab w:val="left" w:pos="900"/>
        </w:tabs>
        <w:spacing w:line="400" w:lineRule="exact"/>
        <w:ind w:firstLine="0"/>
        <w:jc w:val="center"/>
        <w:rPr>
          <w:rFonts w:cs="仿宋_GB2312"/>
          <w:bCs/>
          <w:color w:val="000000"/>
          <w:sz w:val="22"/>
          <w:szCs w:val="22"/>
        </w:rPr>
      </w:pPr>
    </w:p>
    <w:p w14:paraId="03EE1120">
      <w:pPr>
        <w:pStyle w:val="6"/>
        <w:tabs>
          <w:tab w:val="left" w:pos="900"/>
        </w:tabs>
        <w:spacing w:line="400" w:lineRule="exact"/>
        <w:ind w:firstLine="0"/>
        <w:rPr>
          <w:rFonts w:cs="仿宋_GB2312"/>
          <w:bCs/>
          <w:color w:val="000000"/>
        </w:rPr>
      </w:pPr>
    </w:p>
    <w:p w14:paraId="0D3CFA33">
      <w:pPr>
        <w:pStyle w:val="6"/>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6"/>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6"/>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6"/>
        <w:tabs>
          <w:tab w:val="left" w:pos="900"/>
        </w:tabs>
        <w:adjustRightInd w:val="0"/>
        <w:snapToGrid w:val="0"/>
        <w:spacing w:line="360" w:lineRule="auto"/>
        <w:ind w:firstLine="560" w:firstLineChars="200"/>
        <w:jc w:val="left"/>
        <w:rPr>
          <w:rFonts w:cs="仿宋_GB2312"/>
          <w:bCs/>
          <w:color w:val="000000"/>
          <w:szCs w:val="28"/>
        </w:rPr>
      </w:pPr>
    </w:p>
    <w:p w14:paraId="54B44C5D">
      <w:pPr>
        <w:pStyle w:val="6"/>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6"/>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6"/>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6"/>
        <w:tabs>
          <w:tab w:val="left" w:pos="900"/>
        </w:tabs>
        <w:adjustRightInd w:val="0"/>
        <w:snapToGrid w:val="0"/>
        <w:spacing w:line="360" w:lineRule="auto"/>
        <w:ind w:firstLine="3732" w:firstLineChars="1333"/>
        <w:jc w:val="left"/>
        <w:rPr>
          <w:rFonts w:cs="仿宋_GB2312"/>
          <w:bCs/>
          <w:color w:val="000000"/>
          <w:szCs w:val="28"/>
        </w:rPr>
      </w:pPr>
    </w:p>
    <w:p w14:paraId="30586C10">
      <w:pPr>
        <w:pStyle w:val="6"/>
        <w:tabs>
          <w:tab w:val="left" w:pos="900"/>
        </w:tabs>
        <w:adjustRightInd w:val="0"/>
        <w:snapToGrid w:val="0"/>
        <w:spacing w:line="360" w:lineRule="auto"/>
        <w:ind w:firstLine="3732" w:firstLineChars="1333"/>
        <w:jc w:val="left"/>
        <w:rPr>
          <w:rFonts w:cs="仿宋_GB2312"/>
          <w:bCs/>
          <w:color w:val="000000"/>
          <w:szCs w:val="28"/>
        </w:rPr>
      </w:pPr>
    </w:p>
    <w:p w14:paraId="784BDE1F">
      <w:pPr>
        <w:pStyle w:val="6"/>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6"/>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6"/>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D3E323F">
      <w:pPr>
        <w:pStyle w:val="6"/>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6"/>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3"/>
                              <w:rPr>
                                <w:sz w:val="20"/>
                              </w:rPr>
                            </w:pPr>
                          </w:p>
                          <w:p w14:paraId="25C41F86">
                            <w:pPr>
                              <w:pStyle w:val="3"/>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3"/>
                        <w:rPr>
                          <w:sz w:val="20"/>
                        </w:rPr>
                      </w:pPr>
                    </w:p>
                    <w:p w14:paraId="25C41F86">
                      <w:pPr>
                        <w:pStyle w:val="3"/>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3"/>
                              <w:rPr>
                                <w:sz w:val="20"/>
                              </w:rPr>
                            </w:pPr>
                          </w:p>
                          <w:p w14:paraId="25FE8BD7">
                            <w:pPr>
                              <w:pStyle w:val="3"/>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3"/>
                        <w:rPr>
                          <w:sz w:val="20"/>
                        </w:rPr>
                      </w:pPr>
                    </w:p>
                    <w:p w14:paraId="25FE8BD7">
                      <w:pPr>
                        <w:pStyle w:val="3"/>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7CADCBA1">
      <w:pPr>
        <w:tabs>
          <w:tab w:val="left" w:pos="4602"/>
        </w:tabs>
        <w:ind w:left="391"/>
        <w:rPr>
          <w:sz w:val="20"/>
        </w:rPr>
      </w:pPr>
    </w:p>
    <w:p w14:paraId="591A46D0">
      <w:pPr>
        <w:pStyle w:val="5"/>
      </w:pPr>
    </w:p>
    <w:p w14:paraId="3DBBB83E">
      <w:pPr>
        <w:pStyle w:val="6"/>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6"/>
        <w:tabs>
          <w:tab w:val="left" w:pos="900"/>
        </w:tabs>
        <w:spacing w:line="400" w:lineRule="exact"/>
        <w:ind w:firstLine="0"/>
        <w:rPr>
          <w:rFonts w:cs="仿宋_GB2312"/>
          <w:bCs/>
          <w:color w:val="000000"/>
          <w:sz w:val="24"/>
          <w:szCs w:val="24"/>
        </w:rPr>
      </w:pPr>
    </w:p>
    <w:p w14:paraId="02717140">
      <w:pPr>
        <w:pStyle w:val="6"/>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6"/>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6"/>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6"/>
        <w:tabs>
          <w:tab w:val="left" w:pos="900"/>
        </w:tabs>
        <w:adjustRightInd w:val="0"/>
        <w:snapToGrid w:val="0"/>
        <w:spacing w:line="360" w:lineRule="auto"/>
        <w:ind w:firstLine="560" w:firstLineChars="200"/>
        <w:rPr>
          <w:rFonts w:cs="仿宋_GB2312"/>
          <w:bCs/>
          <w:color w:val="000000"/>
          <w:szCs w:val="28"/>
        </w:rPr>
      </w:pPr>
    </w:p>
    <w:p w14:paraId="6CAB92BC">
      <w:pPr>
        <w:pStyle w:val="6"/>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6"/>
        <w:tabs>
          <w:tab w:val="left" w:pos="900"/>
        </w:tabs>
        <w:adjustRightInd w:val="0"/>
        <w:snapToGrid w:val="0"/>
        <w:spacing w:line="360" w:lineRule="auto"/>
        <w:ind w:firstLine="560" w:firstLineChars="200"/>
        <w:rPr>
          <w:rFonts w:cs="仿宋_GB2312"/>
          <w:bCs/>
          <w:color w:val="000000"/>
          <w:szCs w:val="28"/>
        </w:rPr>
      </w:pPr>
    </w:p>
    <w:p w14:paraId="5B907622">
      <w:pPr>
        <w:pStyle w:val="6"/>
        <w:tabs>
          <w:tab w:val="left" w:pos="900"/>
        </w:tabs>
        <w:adjustRightInd w:val="0"/>
        <w:snapToGrid w:val="0"/>
        <w:spacing w:line="360" w:lineRule="auto"/>
        <w:ind w:firstLine="560" w:firstLineChars="200"/>
        <w:rPr>
          <w:rFonts w:cs="仿宋_GB2312"/>
          <w:bCs/>
          <w:color w:val="000000"/>
          <w:szCs w:val="28"/>
        </w:rPr>
      </w:pPr>
    </w:p>
    <w:p w14:paraId="42887D96">
      <w:pPr>
        <w:pStyle w:val="6"/>
        <w:tabs>
          <w:tab w:val="left" w:pos="900"/>
        </w:tabs>
        <w:adjustRightInd w:val="0"/>
        <w:snapToGrid w:val="0"/>
        <w:spacing w:line="360" w:lineRule="auto"/>
        <w:ind w:firstLine="560" w:firstLineChars="200"/>
        <w:rPr>
          <w:rFonts w:cs="仿宋_GB2312"/>
          <w:bCs/>
          <w:color w:val="000000"/>
          <w:szCs w:val="28"/>
        </w:rPr>
      </w:pPr>
    </w:p>
    <w:p w14:paraId="49CA9295">
      <w:pPr>
        <w:pStyle w:val="6"/>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6"/>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6"/>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1C1C18C8">
      <w:pPr>
        <w:pStyle w:val="6"/>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6"/>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6"/>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3"/>
                              <w:rPr>
                                <w:sz w:val="20"/>
                              </w:rPr>
                            </w:pPr>
                          </w:p>
                          <w:p w14:paraId="46101762">
                            <w:pPr>
                              <w:pStyle w:val="3"/>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3"/>
                        <w:rPr>
                          <w:sz w:val="20"/>
                        </w:rPr>
                      </w:pPr>
                    </w:p>
                    <w:p w14:paraId="46101762">
                      <w:pPr>
                        <w:pStyle w:val="3"/>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3"/>
                              <w:rPr>
                                <w:sz w:val="20"/>
                              </w:rPr>
                            </w:pPr>
                          </w:p>
                          <w:p w14:paraId="27A015CD">
                            <w:pPr>
                              <w:pStyle w:val="3"/>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3"/>
                        <w:rPr>
                          <w:sz w:val="20"/>
                        </w:rPr>
                      </w:pPr>
                    </w:p>
                    <w:p w14:paraId="27A015CD">
                      <w:pPr>
                        <w:pStyle w:val="3"/>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6215CDB">
      <w:pPr>
        <w:pStyle w:val="3"/>
        <w:spacing w:line="360" w:lineRule="auto"/>
        <w:jc w:val="center"/>
        <w:rPr>
          <w:rFonts w:hint="eastAsia" w:ascii="宋体" w:hAnsi="宋体" w:cs="宋体"/>
          <w:b/>
          <w:bCs/>
          <w:sz w:val="32"/>
          <w:szCs w:val="32"/>
          <w:lang w:val="en-US" w:eastAsia="zh-CN"/>
        </w:rPr>
      </w:pPr>
    </w:p>
    <w:p w14:paraId="3F5FF392">
      <w:pPr>
        <w:pStyle w:val="3"/>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36"/>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36"/>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36"/>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36"/>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36"/>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36"/>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36"/>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36"/>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36"/>
        <w:adjustRightInd w:val="0"/>
        <w:snapToGrid w:val="0"/>
        <w:spacing w:line="360" w:lineRule="exact"/>
        <w:ind w:firstLine="480"/>
        <w:rPr>
          <w:rFonts w:ascii="宋体" w:hAnsi="宋体" w:cs="宋体"/>
          <w:color w:val="auto"/>
          <w:sz w:val="24"/>
        </w:rPr>
      </w:pPr>
      <w:r>
        <w:rPr>
          <w:rFonts w:hint="eastAsia" w:ascii="宋体" w:hAnsi="宋体" w:cs="宋体"/>
          <w:sz w:val="24"/>
        </w:rPr>
        <w:t>7、我方承诺能够完全对比选文件所有带“</w:t>
      </w:r>
      <w:r>
        <w:rPr>
          <w:rFonts w:hint="eastAsia" w:ascii="宋体" w:hAnsi="宋体" w:cs="宋体"/>
          <w:sz w:val="21"/>
          <w:szCs w:val="21"/>
        </w:rPr>
        <w:t>★</w:t>
      </w:r>
      <w:r>
        <w:rPr>
          <w:rFonts w:hint="eastAsia" w:ascii="宋体" w:hAnsi="宋体" w:cs="宋体"/>
          <w:sz w:val="24"/>
        </w:rPr>
        <w:t>”号条款</w:t>
      </w:r>
      <w:r>
        <w:rPr>
          <w:rFonts w:hint="eastAsia" w:ascii="宋体" w:hAnsi="宋体" w:cs="宋体"/>
          <w:color w:val="auto"/>
          <w:sz w:val="24"/>
        </w:rPr>
        <w:t>作出响应，具体如下：</w:t>
      </w:r>
    </w:p>
    <w:p w14:paraId="36AB62D2">
      <w:pPr>
        <w:pStyle w:val="10"/>
        <w:numPr>
          <w:ilvl w:val="0"/>
          <w:numId w:val="0"/>
        </w:numPr>
        <w:tabs>
          <w:tab w:val="clear" w:pos="851"/>
        </w:tabs>
        <w:ind w:firstLine="482" w:firstLineChars="200"/>
        <w:rPr>
          <w:rFonts w:hint="default" w:ascii="宋体" w:hAnsi="宋体" w:eastAsia="宋体" w:cs="宋体"/>
          <w:b w:val="0"/>
          <w:color w:val="auto"/>
          <w:sz w:val="24"/>
          <w:szCs w:val="24"/>
          <w:highlight w:val="none"/>
          <w:lang w:val="en-US" w:eastAsia="zh-CN"/>
        </w:rPr>
      </w:pPr>
      <w:r>
        <w:rPr>
          <w:rFonts w:hint="eastAsia" w:ascii="宋体" w:hAnsi="宋体" w:cs="宋体"/>
          <w:bCs/>
          <w:sz w:val="24"/>
          <w:lang w:val="en-US" w:eastAsia="zh-CN"/>
        </w:rPr>
        <w:t>7.1</w:t>
      </w:r>
      <w:r>
        <w:rPr>
          <w:rFonts w:hint="eastAsia" w:ascii="宋体" w:hAnsi="宋体" w:cs="宋体"/>
          <w:bCs/>
          <w:sz w:val="24"/>
        </w:rPr>
        <w:t>★</w:t>
      </w:r>
      <w:r>
        <w:rPr>
          <w:rFonts w:hint="eastAsia" w:ascii="宋体" w:hAnsi="宋体" w:cs="宋体"/>
          <w:b/>
          <w:bCs w:val="0"/>
          <w:color w:val="auto"/>
          <w:sz w:val="24"/>
          <w:szCs w:val="24"/>
          <w:highlight w:val="none"/>
          <w:lang w:val="en-US" w:eastAsia="zh-CN"/>
        </w:rPr>
        <w:t>八</w:t>
      </w:r>
      <w:r>
        <w:rPr>
          <w:rFonts w:hint="eastAsia" w:ascii="宋体" w:hAnsi="宋体" w:eastAsia="宋体" w:cs="宋体"/>
          <w:b/>
          <w:bCs w:val="0"/>
          <w:color w:val="auto"/>
          <w:sz w:val="24"/>
          <w:szCs w:val="24"/>
          <w:highlight w:val="none"/>
          <w:lang w:val="en-US" w:eastAsia="zh-CN"/>
        </w:rPr>
        <w:t>、</w:t>
      </w:r>
      <w:r>
        <w:rPr>
          <w:rFonts w:hint="eastAsia" w:ascii="宋体" w:hAnsi="宋体" w:cs="宋体"/>
          <w:b/>
          <w:bCs w:val="0"/>
          <w:color w:val="auto"/>
          <w:sz w:val="24"/>
          <w:szCs w:val="24"/>
          <w:highlight w:val="none"/>
          <w:lang w:val="en-US" w:eastAsia="zh-CN"/>
        </w:rPr>
        <w:t>履约保证金</w:t>
      </w:r>
    </w:p>
    <w:p w14:paraId="1E177DCE">
      <w:pPr>
        <w:pStyle w:val="36"/>
        <w:adjustRightInd w:val="0"/>
        <w:snapToGrid w:val="0"/>
        <w:spacing w:line="360" w:lineRule="exact"/>
        <w:ind w:firstLine="480"/>
        <w:rPr>
          <w:rFonts w:hint="eastAsia" w:ascii="宋体" w:hAnsi="宋体" w:cs="宋体"/>
          <w:sz w:val="24"/>
          <w:lang w:val="en-US" w:eastAsia="zh-CN"/>
        </w:rPr>
      </w:pPr>
      <w:r>
        <w:rPr>
          <w:rFonts w:hint="eastAsia" w:ascii="宋体" w:hAnsi="宋体" w:cs="宋体"/>
          <w:sz w:val="24"/>
          <w:lang w:val="en-US" w:eastAsia="zh-CN"/>
        </w:rPr>
        <w:t>7.1.1成交供应商需</w:t>
      </w:r>
      <w:r>
        <w:rPr>
          <w:rFonts w:hint="eastAsia" w:ascii="宋体" w:hAnsi="宋体" w:cs="宋体"/>
          <w:bCs/>
          <w:sz w:val="24"/>
          <w:lang w:val="en-US" w:eastAsia="zh-CN"/>
        </w:rPr>
        <w:t>向</w:t>
      </w:r>
      <w:r>
        <w:rPr>
          <w:rFonts w:hint="eastAsia"/>
          <w:sz w:val="24"/>
          <w:lang w:val="en-US" w:eastAsia="zh-CN"/>
        </w:rPr>
        <w:t>采购人缴纳金额为5万元（大写：人民币伍万元整）的履约保证金。</w:t>
      </w:r>
      <w:r>
        <w:rPr>
          <w:rFonts w:hint="eastAsia" w:ascii="宋体" w:hAnsi="宋体" w:cs="宋体"/>
          <w:sz w:val="24"/>
          <w:lang w:val="en-US" w:eastAsia="zh-CN"/>
        </w:rPr>
        <w:t>服务期满或双方协商解除合同后，采购人将无息退还履约保证金给成交供应商。成交供应商在合同签署15天内不缴纳履约保证金视为放弃此次服务协议，成交供应商将承担所有责任后果。</w:t>
      </w:r>
    </w:p>
    <w:p w14:paraId="30DB20AA">
      <w:pPr>
        <w:pStyle w:val="36"/>
        <w:adjustRightInd w:val="0"/>
        <w:snapToGrid w:val="0"/>
        <w:spacing w:line="360" w:lineRule="exact"/>
        <w:ind w:firstLine="480"/>
        <w:rPr>
          <w:rFonts w:hint="eastAsia" w:ascii="宋体" w:hAnsi="宋体" w:cs="宋体"/>
          <w:sz w:val="24"/>
          <w:lang w:val="en-US" w:eastAsia="zh-CN"/>
        </w:rPr>
      </w:pPr>
      <w:r>
        <w:rPr>
          <w:rFonts w:hint="eastAsia" w:ascii="宋体" w:hAnsi="宋体" w:cs="宋体"/>
          <w:sz w:val="24"/>
          <w:lang w:val="en-US" w:eastAsia="zh-CN"/>
        </w:rPr>
        <w:t>采购人账号名称：中山大学孙逸仙纪念医院</w:t>
      </w:r>
    </w:p>
    <w:p w14:paraId="47B2FDC4">
      <w:pPr>
        <w:pStyle w:val="36"/>
        <w:adjustRightInd w:val="0"/>
        <w:snapToGrid w:val="0"/>
        <w:spacing w:line="360" w:lineRule="exact"/>
        <w:ind w:firstLine="480"/>
        <w:rPr>
          <w:rFonts w:hint="eastAsia" w:ascii="宋体" w:hAnsi="宋体" w:cs="宋体"/>
          <w:sz w:val="24"/>
          <w:lang w:val="en-US" w:eastAsia="zh-CN"/>
        </w:rPr>
      </w:pPr>
      <w:r>
        <w:rPr>
          <w:rFonts w:hint="eastAsia" w:ascii="宋体" w:hAnsi="宋体" w:cs="宋体"/>
          <w:sz w:val="24"/>
          <w:lang w:val="en-US" w:eastAsia="zh-CN"/>
        </w:rPr>
        <w:t>账号：3602000509000704422 </w:t>
      </w:r>
    </w:p>
    <w:p w14:paraId="366B3A0B">
      <w:pPr>
        <w:pStyle w:val="36"/>
        <w:adjustRightInd w:val="0"/>
        <w:snapToGrid w:val="0"/>
        <w:spacing w:line="360" w:lineRule="exact"/>
        <w:ind w:firstLine="480"/>
        <w:rPr>
          <w:rFonts w:hint="eastAsia" w:ascii="宋体" w:hAnsi="宋体" w:cs="宋体"/>
          <w:sz w:val="24"/>
          <w:lang w:val="en-US" w:eastAsia="zh-CN"/>
        </w:rPr>
      </w:pPr>
      <w:r>
        <w:rPr>
          <w:rFonts w:hint="eastAsia" w:ascii="宋体" w:hAnsi="宋体" w:cs="宋体"/>
          <w:sz w:val="24"/>
          <w:lang w:val="en-US" w:eastAsia="zh-CN"/>
        </w:rPr>
        <w:t>开户行：广州市工商银行第二支行。</w:t>
      </w:r>
    </w:p>
    <w:p w14:paraId="5EC34C39">
      <w:pPr>
        <w:pStyle w:val="36"/>
        <w:adjustRightInd w:val="0"/>
        <w:snapToGrid w:val="0"/>
        <w:spacing w:line="360" w:lineRule="exact"/>
        <w:ind w:firstLine="480"/>
        <w:rPr>
          <w:rFonts w:hint="eastAsia" w:ascii="宋体" w:hAnsi="宋体" w:cs="宋体"/>
          <w:sz w:val="24"/>
          <w:lang w:val="en-US" w:eastAsia="zh-CN"/>
        </w:rPr>
      </w:pPr>
      <w:r>
        <w:rPr>
          <w:rFonts w:hint="eastAsia" w:ascii="宋体" w:hAnsi="宋体" w:cs="宋体"/>
          <w:sz w:val="24"/>
          <w:lang w:val="en-US" w:eastAsia="zh-CN"/>
        </w:rPr>
        <w:t>7.1.2</w:t>
      </w:r>
      <w:r>
        <w:rPr>
          <w:rFonts w:hint="eastAsia" w:ascii="宋体" w:hAnsi="宋体" w:cs="宋体"/>
          <w:bCs/>
          <w:sz w:val="24"/>
          <w:lang w:val="en-US" w:eastAsia="zh-CN"/>
        </w:rPr>
        <w:t>如提交履约保函，须确保履约保函有效期</w:t>
      </w:r>
      <w:r>
        <w:rPr>
          <w:rFonts w:hint="eastAsia" w:ascii="宋体" w:hAnsi="宋体" w:cs="宋体"/>
          <w:sz w:val="24"/>
          <w:lang w:val="en-US" w:eastAsia="zh-CN"/>
        </w:rPr>
        <w:t>覆盖本项目合同履行全过程（含每项工程验收完成进入质量保证期后成交供应商应当按照合同及其附件完成的各项义务）。</w:t>
      </w:r>
    </w:p>
    <w:p w14:paraId="06506EB8">
      <w:pPr>
        <w:pStyle w:val="36"/>
        <w:adjustRightInd w:val="0"/>
        <w:snapToGrid w:val="0"/>
        <w:spacing w:line="360" w:lineRule="exact"/>
        <w:ind w:firstLine="480"/>
        <w:rPr>
          <w:rFonts w:hint="eastAsia" w:ascii="宋体" w:hAnsi="宋体" w:cs="宋体"/>
          <w:sz w:val="24"/>
          <w:lang w:val="en-US" w:eastAsia="zh-CN"/>
        </w:rPr>
      </w:pPr>
      <w:r>
        <w:rPr>
          <w:rFonts w:hint="eastAsia" w:ascii="宋体" w:hAnsi="宋体" w:cs="宋体"/>
          <w:sz w:val="24"/>
          <w:lang w:val="en-US" w:eastAsia="zh-CN"/>
        </w:rPr>
        <w:t>7.1.3如在合同执行期间因成交供应商违约导致履约保证金部分扣除的，成交供应商需在5个工作日内将扣除的履约保证金补齐。因成交供应商原因导致提前终止合同时，采购人有权不退回履约保证金给成交供应商。</w:t>
      </w:r>
    </w:p>
    <w:p w14:paraId="56ED25BB">
      <w:pPr>
        <w:pStyle w:val="36"/>
        <w:adjustRightInd w:val="0"/>
        <w:snapToGrid w:val="0"/>
        <w:spacing w:line="360" w:lineRule="exact"/>
        <w:ind w:firstLine="480"/>
        <w:rPr>
          <w:rFonts w:hint="default"/>
          <w:sz w:val="24"/>
          <w:lang w:val="en-US" w:eastAsia="zh-CN"/>
        </w:rPr>
      </w:pPr>
      <w:r>
        <w:rPr>
          <w:rFonts w:hint="eastAsia" w:ascii="宋体" w:hAnsi="宋体" w:cs="宋体"/>
          <w:sz w:val="24"/>
          <w:lang w:val="en-US" w:eastAsia="zh-CN"/>
        </w:rPr>
        <w:t>7.1.4在成交供应商完成合同约定的所有事项，包括任何保证义务后90日内，一次性无息退还履约保证金。</w:t>
      </w:r>
    </w:p>
    <w:p w14:paraId="3E80E509">
      <w:pPr>
        <w:numPr>
          <w:ilvl w:val="-1"/>
          <w:numId w:val="0"/>
        </w:numPr>
        <w:rPr>
          <w:rFonts w:hint="default"/>
          <w:lang w:val="en-US" w:eastAsia="zh-CN"/>
        </w:rPr>
      </w:pPr>
    </w:p>
    <w:p w14:paraId="29DF84C8">
      <w:pPr>
        <w:pStyle w:val="10"/>
        <w:numPr>
          <w:ilvl w:val="0"/>
          <w:numId w:val="0"/>
        </w:numPr>
        <w:tabs>
          <w:tab w:val="clear" w:pos="851"/>
        </w:tabs>
        <w:ind w:firstLine="482" w:firstLineChars="200"/>
        <w:rPr>
          <w:rFonts w:hint="eastAsia" w:ascii="宋体" w:hAnsi="宋体" w:cs="宋体"/>
          <w:b w:val="0"/>
          <w:color w:val="auto"/>
          <w:sz w:val="24"/>
          <w:szCs w:val="24"/>
          <w:highlight w:val="none"/>
          <w:lang w:val="en-US" w:eastAsia="zh-CN"/>
        </w:rPr>
      </w:pPr>
      <w:r>
        <w:rPr>
          <w:rFonts w:hint="eastAsia" w:ascii="宋体" w:hAnsi="宋体" w:cs="宋体"/>
          <w:bCs/>
          <w:sz w:val="24"/>
          <w:lang w:val="en-US" w:eastAsia="zh-CN"/>
        </w:rPr>
        <w:t>7.2</w:t>
      </w:r>
      <w:r>
        <w:rPr>
          <w:rFonts w:hint="eastAsia" w:ascii="宋体" w:hAnsi="宋体" w:cs="宋体"/>
          <w:bCs/>
          <w:sz w:val="24"/>
        </w:rPr>
        <w:t>★</w:t>
      </w:r>
      <w:r>
        <w:rPr>
          <w:rFonts w:hint="eastAsia" w:ascii="宋体" w:hAnsi="宋体" w:cs="宋体"/>
          <w:bCs/>
          <w:sz w:val="24"/>
          <w:lang w:val="en-US" w:eastAsia="zh-CN"/>
        </w:rPr>
        <w:t>九</w:t>
      </w:r>
      <w:r>
        <w:rPr>
          <w:rFonts w:hint="eastAsia" w:ascii="宋体" w:hAnsi="宋体" w:eastAsia="宋体" w:cs="宋体"/>
          <w:b/>
          <w:bCs w:val="0"/>
          <w:color w:val="auto"/>
          <w:sz w:val="24"/>
          <w:szCs w:val="24"/>
          <w:highlight w:val="none"/>
          <w:lang w:val="en-US" w:eastAsia="zh-CN"/>
        </w:rPr>
        <w:t>、支付方式</w:t>
      </w:r>
    </w:p>
    <w:p w14:paraId="186F9C60">
      <w:pPr>
        <w:pStyle w:val="10"/>
        <w:numPr>
          <w:ilvl w:val="0"/>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cs="宋体"/>
          <w:b w:val="0"/>
          <w:color w:val="auto"/>
          <w:sz w:val="24"/>
          <w:szCs w:val="24"/>
          <w:highlight w:val="none"/>
          <w:lang w:val="en-US" w:eastAsia="zh-CN"/>
        </w:rPr>
        <w:t>监理</w:t>
      </w:r>
      <w:r>
        <w:rPr>
          <w:rFonts w:hint="eastAsia" w:ascii="宋体" w:hAnsi="宋体" w:eastAsia="宋体" w:cs="宋体"/>
          <w:b w:val="0"/>
          <w:color w:val="auto"/>
          <w:sz w:val="24"/>
          <w:szCs w:val="24"/>
          <w:highlight w:val="none"/>
        </w:rPr>
        <w:t>费支付进度详见下表：</w:t>
      </w:r>
    </w:p>
    <w:tbl>
      <w:tblPr>
        <w:tblStyle w:val="29"/>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2955"/>
        <w:gridCol w:w="5350"/>
      </w:tblGrid>
      <w:tr w14:paraId="4E9C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505" w:type="dxa"/>
            <w:tcBorders>
              <w:top w:val="single" w:color="auto" w:sz="4" w:space="0"/>
              <w:left w:val="single" w:color="auto" w:sz="4" w:space="0"/>
              <w:bottom w:val="single" w:color="auto" w:sz="4" w:space="0"/>
              <w:right w:val="single" w:color="auto" w:sz="4" w:space="0"/>
            </w:tcBorders>
            <w:vAlign w:val="center"/>
          </w:tcPr>
          <w:p w14:paraId="6F43B765">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支</w:t>
            </w:r>
            <w:r>
              <w:rPr>
                <w:rFonts w:hint="eastAsia" w:ascii="宋体" w:hAnsi="宋体" w:eastAsia="宋体" w:cs="宋体"/>
                <w:sz w:val="24"/>
                <w:szCs w:val="24"/>
              </w:rPr>
              <w:t>付次序</w:t>
            </w:r>
          </w:p>
        </w:tc>
        <w:tc>
          <w:tcPr>
            <w:tcW w:w="2955" w:type="dxa"/>
            <w:tcBorders>
              <w:top w:val="single" w:color="auto" w:sz="4" w:space="0"/>
              <w:left w:val="single" w:color="auto" w:sz="4" w:space="0"/>
              <w:bottom w:val="single" w:color="auto" w:sz="4" w:space="0"/>
              <w:right w:val="single" w:color="auto" w:sz="4" w:space="0"/>
            </w:tcBorders>
            <w:vAlign w:val="center"/>
          </w:tcPr>
          <w:p w14:paraId="6A6C4BA6">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占</w:t>
            </w:r>
            <w:r>
              <w:rPr>
                <w:rFonts w:hint="eastAsia" w:ascii="宋体" w:hAnsi="宋体" w:eastAsia="宋体" w:cs="宋体"/>
                <w:sz w:val="24"/>
                <w:szCs w:val="24"/>
                <w:lang w:val="en-US" w:eastAsia="zh-CN"/>
              </w:rPr>
              <w:t>单个项目</w:t>
            </w:r>
            <w:r>
              <w:rPr>
                <w:rFonts w:hint="eastAsia" w:ascii="宋体" w:hAnsi="宋体" w:cs="宋体"/>
                <w:sz w:val="24"/>
                <w:szCs w:val="24"/>
                <w:lang w:val="en-US" w:eastAsia="zh-CN"/>
              </w:rPr>
              <w:t>监理</w:t>
            </w:r>
            <w:r>
              <w:rPr>
                <w:rFonts w:hint="eastAsia" w:ascii="宋体" w:hAnsi="宋体" w:eastAsia="宋体" w:cs="宋体"/>
                <w:sz w:val="24"/>
                <w:szCs w:val="24"/>
              </w:rPr>
              <w:t>费（%）</w:t>
            </w:r>
          </w:p>
        </w:tc>
        <w:tc>
          <w:tcPr>
            <w:tcW w:w="5350" w:type="dxa"/>
            <w:tcBorders>
              <w:top w:val="single" w:color="auto" w:sz="4" w:space="0"/>
              <w:left w:val="single" w:color="auto" w:sz="4" w:space="0"/>
              <w:bottom w:val="single" w:color="auto" w:sz="4" w:space="0"/>
              <w:right w:val="single" w:color="auto" w:sz="4" w:space="0"/>
            </w:tcBorders>
            <w:vAlign w:val="center"/>
          </w:tcPr>
          <w:p w14:paraId="01639F84">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支付</w:t>
            </w:r>
            <w:r>
              <w:rPr>
                <w:rFonts w:hint="eastAsia" w:ascii="宋体" w:hAnsi="宋体" w:eastAsia="宋体" w:cs="宋体"/>
                <w:sz w:val="24"/>
                <w:szCs w:val="24"/>
              </w:rPr>
              <w:t>时间（由交付设计文件所决定）</w:t>
            </w:r>
          </w:p>
        </w:tc>
      </w:tr>
      <w:tr w14:paraId="4613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tcBorders>
              <w:top w:val="single" w:color="auto" w:sz="4" w:space="0"/>
              <w:left w:val="single" w:color="auto" w:sz="4" w:space="0"/>
              <w:bottom w:val="single" w:color="auto" w:sz="4" w:space="0"/>
              <w:right w:val="single" w:color="auto" w:sz="4" w:space="0"/>
            </w:tcBorders>
            <w:vAlign w:val="center"/>
          </w:tcPr>
          <w:p w14:paraId="3588D035">
            <w:pPr>
              <w:spacing w:line="400" w:lineRule="exact"/>
              <w:rPr>
                <w:rFonts w:hint="eastAsia" w:ascii="宋体" w:hAnsi="宋体" w:eastAsia="宋体" w:cs="宋体"/>
                <w:sz w:val="24"/>
                <w:szCs w:val="24"/>
              </w:rPr>
            </w:pPr>
            <w:r>
              <w:rPr>
                <w:rFonts w:hint="eastAsia" w:ascii="宋体" w:hAnsi="宋体" w:eastAsia="宋体" w:cs="宋体"/>
                <w:sz w:val="24"/>
                <w:szCs w:val="24"/>
              </w:rPr>
              <w:t>第一次付费</w:t>
            </w:r>
          </w:p>
        </w:tc>
        <w:tc>
          <w:tcPr>
            <w:tcW w:w="2955" w:type="dxa"/>
            <w:tcBorders>
              <w:top w:val="single" w:color="auto" w:sz="4" w:space="0"/>
              <w:left w:val="single" w:color="auto" w:sz="4" w:space="0"/>
              <w:bottom w:val="single" w:color="auto" w:sz="4" w:space="0"/>
              <w:right w:val="single" w:color="auto" w:sz="4" w:space="0"/>
            </w:tcBorders>
            <w:vAlign w:val="center"/>
          </w:tcPr>
          <w:p w14:paraId="47B0CC11">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w:t>
            </w:r>
            <w:r>
              <w:rPr>
                <w:rFonts w:hint="eastAsia" w:ascii="宋体" w:hAnsi="宋体" w:cs="宋体"/>
                <w:color w:val="auto"/>
                <w:sz w:val="24"/>
                <w:szCs w:val="24"/>
                <w:highlight w:val="none"/>
                <w:lang w:val="en-US" w:eastAsia="zh-CN"/>
              </w:rPr>
              <w:t>监理</w:t>
            </w:r>
            <w:r>
              <w:rPr>
                <w:rFonts w:hint="eastAsia" w:ascii="宋体" w:hAnsi="宋体" w:eastAsia="宋体" w:cs="宋体"/>
                <w:color w:val="auto"/>
                <w:sz w:val="24"/>
                <w:szCs w:val="24"/>
                <w:highlight w:val="none"/>
                <w:lang w:val="en-US" w:eastAsia="zh-CN"/>
              </w:rPr>
              <w:t>费</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w:t>
            </w:r>
          </w:p>
        </w:tc>
        <w:tc>
          <w:tcPr>
            <w:tcW w:w="5350" w:type="dxa"/>
            <w:tcBorders>
              <w:top w:val="single" w:color="auto" w:sz="4" w:space="0"/>
              <w:left w:val="single" w:color="auto" w:sz="4" w:space="0"/>
              <w:bottom w:val="single" w:color="auto" w:sz="4" w:space="0"/>
              <w:right w:val="single" w:color="auto" w:sz="4" w:space="0"/>
            </w:tcBorders>
            <w:vAlign w:val="center"/>
          </w:tcPr>
          <w:p w14:paraId="49312D42">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每个项目进度达到50%时（以该项目施工进度款百分比为准），支付相应项目监理费的</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w:t>
            </w:r>
          </w:p>
        </w:tc>
      </w:tr>
      <w:tr w14:paraId="5B9D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tcBorders>
              <w:top w:val="single" w:color="auto" w:sz="4" w:space="0"/>
              <w:left w:val="single" w:color="auto" w:sz="4" w:space="0"/>
              <w:bottom w:val="single" w:color="auto" w:sz="4" w:space="0"/>
              <w:right w:val="single" w:color="auto" w:sz="4" w:space="0"/>
            </w:tcBorders>
            <w:vAlign w:val="center"/>
          </w:tcPr>
          <w:p w14:paraId="046051F9">
            <w:pPr>
              <w:spacing w:line="400" w:lineRule="exact"/>
              <w:rPr>
                <w:rFonts w:hint="eastAsia" w:ascii="宋体" w:hAnsi="宋体" w:eastAsia="宋体" w:cs="宋体"/>
                <w:sz w:val="24"/>
                <w:szCs w:val="24"/>
              </w:rPr>
            </w:pPr>
            <w:r>
              <w:rPr>
                <w:rFonts w:hint="eastAsia" w:ascii="宋体" w:hAnsi="宋体" w:eastAsia="宋体" w:cs="宋体"/>
                <w:sz w:val="24"/>
                <w:szCs w:val="24"/>
              </w:rPr>
              <w:t>第二次付费</w:t>
            </w:r>
          </w:p>
        </w:tc>
        <w:tc>
          <w:tcPr>
            <w:tcW w:w="2955" w:type="dxa"/>
            <w:tcBorders>
              <w:top w:val="single" w:color="auto" w:sz="4" w:space="0"/>
              <w:left w:val="single" w:color="auto" w:sz="4" w:space="0"/>
              <w:bottom w:val="single" w:color="auto" w:sz="4" w:space="0"/>
              <w:right w:val="single" w:color="auto" w:sz="4" w:space="0"/>
            </w:tcBorders>
            <w:vAlign w:val="center"/>
          </w:tcPr>
          <w:p w14:paraId="06E3C9DF">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w:t>
            </w:r>
            <w:r>
              <w:rPr>
                <w:rFonts w:hint="eastAsia" w:ascii="宋体" w:hAnsi="宋体" w:cs="宋体"/>
                <w:color w:val="auto"/>
                <w:sz w:val="24"/>
                <w:szCs w:val="24"/>
                <w:highlight w:val="none"/>
                <w:lang w:val="en-US" w:eastAsia="zh-CN"/>
              </w:rPr>
              <w:t>监理</w:t>
            </w:r>
            <w:r>
              <w:rPr>
                <w:rFonts w:hint="eastAsia" w:ascii="宋体" w:hAnsi="宋体" w:eastAsia="宋体" w:cs="宋体"/>
                <w:color w:val="auto"/>
                <w:sz w:val="24"/>
                <w:szCs w:val="24"/>
                <w:highlight w:val="none"/>
                <w:lang w:val="en-US" w:eastAsia="zh-CN"/>
              </w:rPr>
              <w:t>费</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0%</w:t>
            </w:r>
          </w:p>
        </w:tc>
        <w:tc>
          <w:tcPr>
            <w:tcW w:w="5350" w:type="dxa"/>
            <w:tcBorders>
              <w:top w:val="single" w:color="auto" w:sz="4" w:space="0"/>
              <w:left w:val="single" w:color="auto" w:sz="4" w:space="0"/>
              <w:bottom w:val="single" w:color="auto" w:sz="4" w:space="0"/>
              <w:right w:val="single" w:color="auto" w:sz="4" w:space="0"/>
            </w:tcBorders>
            <w:vAlign w:val="center"/>
          </w:tcPr>
          <w:p w14:paraId="15367A35">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每个项目竣工验收或交付使用后，支付至相应项目实际监理费的80％。</w:t>
            </w:r>
          </w:p>
        </w:tc>
      </w:tr>
      <w:tr w14:paraId="04C0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tcBorders>
              <w:top w:val="single" w:color="auto" w:sz="4" w:space="0"/>
              <w:left w:val="single" w:color="auto" w:sz="4" w:space="0"/>
              <w:bottom w:val="single" w:color="auto" w:sz="4" w:space="0"/>
              <w:right w:val="single" w:color="auto" w:sz="4" w:space="0"/>
            </w:tcBorders>
            <w:vAlign w:val="center"/>
          </w:tcPr>
          <w:p w14:paraId="7824A9CA">
            <w:pPr>
              <w:spacing w:line="400" w:lineRule="exact"/>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cs="宋体"/>
                <w:sz w:val="24"/>
                <w:szCs w:val="24"/>
                <w:lang w:val="en-US" w:eastAsia="zh-CN"/>
              </w:rPr>
              <w:t>三</w:t>
            </w:r>
            <w:r>
              <w:rPr>
                <w:rFonts w:hint="eastAsia" w:ascii="宋体" w:hAnsi="宋体" w:eastAsia="宋体" w:cs="宋体"/>
                <w:sz w:val="24"/>
                <w:szCs w:val="24"/>
              </w:rPr>
              <w:t>次付费</w:t>
            </w:r>
          </w:p>
        </w:tc>
        <w:tc>
          <w:tcPr>
            <w:tcW w:w="2955" w:type="dxa"/>
            <w:tcBorders>
              <w:top w:val="single" w:color="auto" w:sz="4" w:space="0"/>
              <w:left w:val="single" w:color="auto" w:sz="4" w:space="0"/>
              <w:bottom w:val="single" w:color="auto" w:sz="4" w:space="0"/>
              <w:right w:val="single" w:color="auto" w:sz="4" w:space="0"/>
            </w:tcBorders>
            <w:vAlign w:val="center"/>
          </w:tcPr>
          <w:p w14:paraId="6F8B0E48">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w:t>
            </w:r>
            <w:r>
              <w:rPr>
                <w:rFonts w:hint="eastAsia" w:ascii="宋体" w:hAnsi="宋体" w:cs="宋体"/>
                <w:color w:val="auto"/>
                <w:sz w:val="24"/>
                <w:szCs w:val="24"/>
                <w:highlight w:val="none"/>
                <w:lang w:val="en-US" w:eastAsia="zh-CN"/>
              </w:rPr>
              <w:t>监理</w:t>
            </w:r>
            <w:r>
              <w:rPr>
                <w:rFonts w:hint="eastAsia" w:ascii="宋体" w:hAnsi="宋体" w:eastAsia="宋体" w:cs="宋体"/>
                <w:color w:val="auto"/>
                <w:sz w:val="24"/>
                <w:szCs w:val="24"/>
                <w:highlight w:val="none"/>
                <w:lang w:val="en-US" w:eastAsia="zh-CN"/>
              </w:rPr>
              <w:t>费</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rPr>
              <w:t>%</w:t>
            </w:r>
          </w:p>
        </w:tc>
        <w:tc>
          <w:tcPr>
            <w:tcW w:w="5350" w:type="dxa"/>
            <w:tcBorders>
              <w:top w:val="single" w:color="auto" w:sz="4" w:space="0"/>
              <w:left w:val="single" w:color="auto" w:sz="4" w:space="0"/>
              <w:bottom w:val="single" w:color="auto" w:sz="4" w:space="0"/>
              <w:right w:val="single" w:color="auto" w:sz="4" w:space="0"/>
            </w:tcBorders>
            <w:vAlign w:val="center"/>
          </w:tcPr>
          <w:p w14:paraId="79CE9AE8">
            <w:pPr>
              <w:spacing w:line="400" w:lineRule="exact"/>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每个项目工程结算完成后，监理人于15天内向委托人移交监理资料后，支付至结算监理费的</w:t>
            </w:r>
            <w:r>
              <w:rPr>
                <w:rFonts w:hint="eastAsia" w:ascii="宋体" w:hAnsi="宋体" w:cs="宋体"/>
                <w:color w:val="auto"/>
                <w:sz w:val="24"/>
                <w:szCs w:val="24"/>
                <w:highlight w:val="none"/>
                <w:lang w:val="en-US" w:eastAsia="zh-CN"/>
              </w:rPr>
              <w:t>100</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p>
        </w:tc>
      </w:tr>
      <w:tr w14:paraId="052C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tcBorders>
              <w:top w:val="single" w:color="auto" w:sz="4" w:space="0"/>
              <w:left w:val="single" w:color="auto" w:sz="4" w:space="0"/>
              <w:bottom w:val="single" w:color="auto" w:sz="4" w:space="0"/>
              <w:right w:val="single" w:color="auto" w:sz="4" w:space="0"/>
            </w:tcBorders>
            <w:vAlign w:val="center"/>
          </w:tcPr>
          <w:p w14:paraId="318DA8EC">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合计</w:t>
            </w:r>
          </w:p>
        </w:tc>
        <w:tc>
          <w:tcPr>
            <w:tcW w:w="2955" w:type="dxa"/>
            <w:tcBorders>
              <w:top w:val="single" w:color="auto" w:sz="4" w:space="0"/>
              <w:left w:val="single" w:color="auto" w:sz="4" w:space="0"/>
              <w:bottom w:val="single" w:color="auto" w:sz="4" w:space="0"/>
              <w:right w:val="single" w:color="auto" w:sz="4" w:space="0"/>
            </w:tcBorders>
            <w:vAlign w:val="center"/>
          </w:tcPr>
          <w:p w14:paraId="15925B4A">
            <w:pPr>
              <w:spacing w:line="400" w:lineRule="exact"/>
              <w:rPr>
                <w:rFonts w:hint="eastAsia" w:ascii="宋体" w:hAnsi="宋体" w:eastAsia="宋体" w:cs="宋体"/>
                <w:sz w:val="24"/>
                <w:szCs w:val="24"/>
              </w:rPr>
            </w:pPr>
          </w:p>
        </w:tc>
        <w:tc>
          <w:tcPr>
            <w:tcW w:w="5350" w:type="dxa"/>
            <w:tcBorders>
              <w:top w:val="single" w:color="auto" w:sz="4" w:space="0"/>
              <w:left w:val="single" w:color="auto" w:sz="4" w:space="0"/>
              <w:bottom w:val="single" w:color="auto" w:sz="4" w:space="0"/>
              <w:right w:val="single" w:color="auto" w:sz="4" w:space="0"/>
            </w:tcBorders>
            <w:vAlign w:val="center"/>
          </w:tcPr>
          <w:p w14:paraId="6E77CD6A">
            <w:pPr>
              <w:spacing w:line="400" w:lineRule="exact"/>
              <w:rPr>
                <w:rFonts w:hint="eastAsia" w:ascii="宋体" w:hAnsi="宋体" w:eastAsia="宋体" w:cs="宋体"/>
                <w:sz w:val="24"/>
                <w:szCs w:val="24"/>
              </w:rPr>
            </w:pPr>
          </w:p>
        </w:tc>
      </w:tr>
    </w:tbl>
    <w:p w14:paraId="3E67837C">
      <w:pPr>
        <w:snapToGrid w:val="0"/>
        <w:spacing w:line="360" w:lineRule="auto"/>
        <w:ind w:firstLine="480" w:firstLineChars="200"/>
        <w:contextualSpacing/>
        <w:rPr>
          <w:rFonts w:hint="eastAsia" w:ascii="宋体" w:hAnsi="宋体" w:cs="宋体"/>
          <w:color w:val="auto"/>
          <w:sz w:val="24"/>
          <w:highlight w:val="none"/>
          <w:lang w:val="en-US" w:eastAsia="zh-CN"/>
        </w:rPr>
      </w:pPr>
    </w:p>
    <w:p w14:paraId="5D3A190D">
      <w:pPr>
        <w:pStyle w:val="36"/>
        <w:spacing w:line="380" w:lineRule="exact"/>
        <w:ind w:firstLine="480"/>
        <w:rPr>
          <w:rFonts w:hint="eastAsia" w:ascii="宋体" w:hAnsi="宋体" w:cs="宋体"/>
          <w:bCs/>
          <w:sz w:val="24"/>
          <w:lang w:val="en-US" w:eastAsia="zh-CN"/>
        </w:rPr>
      </w:pPr>
      <w:r>
        <w:rPr>
          <w:rFonts w:hint="eastAsia" w:ascii="宋体" w:hAnsi="宋体" w:cs="宋体"/>
          <w:color w:val="auto"/>
          <w:sz w:val="24"/>
          <w:highlight w:val="none"/>
          <w:lang w:val="en-US" w:eastAsia="zh-CN"/>
        </w:rPr>
        <w:t>7.2.1</w:t>
      </w:r>
      <w:r>
        <w:rPr>
          <w:rFonts w:hint="eastAsia"/>
          <w:bCs/>
          <w:sz w:val="24"/>
          <w:szCs w:val="36"/>
        </w:rPr>
        <w:t>监理</w:t>
      </w:r>
      <w:r>
        <w:rPr>
          <w:rFonts w:hint="eastAsia"/>
          <w:bCs/>
          <w:sz w:val="24"/>
          <w:szCs w:val="36"/>
          <w:lang w:val="en-US" w:eastAsia="zh-CN"/>
        </w:rPr>
        <w:t>服务</w:t>
      </w:r>
      <w:r>
        <w:rPr>
          <w:rFonts w:hint="eastAsia"/>
          <w:bCs/>
          <w:sz w:val="24"/>
          <w:szCs w:val="36"/>
        </w:rPr>
        <w:t>费用</w:t>
      </w:r>
      <w:r>
        <w:rPr>
          <w:rFonts w:hint="eastAsia"/>
          <w:bCs/>
          <w:sz w:val="24"/>
          <w:szCs w:val="36"/>
          <w:lang w:val="en-US" w:eastAsia="zh-CN"/>
        </w:rPr>
        <w:t>按项目分别结算。各项目监理费金额=</w:t>
      </w:r>
      <w:r>
        <w:rPr>
          <w:rFonts w:hint="eastAsia"/>
          <w:bCs/>
          <w:sz w:val="24"/>
          <w:szCs w:val="36"/>
        </w:rPr>
        <w:t>各项目施工合同价</w:t>
      </w:r>
      <w:r>
        <w:rPr>
          <w:rFonts w:hint="eastAsia"/>
          <w:bCs/>
          <w:sz w:val="24"/>
          <w:szCs w:val="36"/>
          <w:lang w:val="en-US" w:eastAsia="zh-CN"/>
        </w:rPr>
        <w:t>金额</w:t>
      </w:r>
      <w:r>
        <w:rPr>
          <w:rFonts w:hint="eastAsia"/>
          <w:bCs/>
          <w:sz w:val="24"/>
          <w:szCs w:val="36"/>
        </w:rPr>
        <w:t>×监理</w:t>
      </w:r>
      <w:r>
        <w:rPr>
          <w:rFonts w:hint="eastAsia"/>
          <w:bCs/>
          <w:sz w:val="24"/>
          <w:szCs w:val="36"/>
          <w:lang w:val="en-US" w:eastAsia="zh-CN"/>
        </w:rPr>
        <w:t>服务费</w:t>
      </w:r>
      <w:r>
        <w:rPr>
          <w:rFonts w:hint="eastAsia"/>
          <w:bCs/>
          <w:sz w:val="24"/>
          <w:szCs w:val="36"/>
        </w:rPr>
        <w:t>费率</w:t>
      </w:r>
      <w:r>
        <w:rPr>
          <w:rFonts w:hint="eastAsia"/>
          <w:bCs/>
          <w:sz w:val="24"/>
          <w:szCs w:val="36"/>
          <w:lang w:eastAsia="zh-CN"/>
        </w:rPr>
        <w:t>。</w:t>
      </w:r>
    </w:p>
    <w:p w14:paraId="53FB8B27">
      <w:pPr>
        <w:pStyle w:val="36"/>
        <w:spacing w:line="380" w:lineRule="exact"/>
        <w:ind w:firstLine="480"/>
        <w:rPr>
          <w:rFonts w:hint="default" w:ascii="宋体" w:hAnsi="宋体" w:cs="宋体"/>
          <w:bCs/>
          <w:sz w:val="24"/>
          <w:lang w:val="en-US" w:eastAsia="zh-CN"/>
        </w:rPr>
      </w:pPr>
      <w:r>
        <w:rPr>
          <w:rFonts w:hint="eastAsia" w:ascii="宋体" w:hAnsi="宋体" w:cs="宋体"/>
          <w:bCs/>
          <w:sz w:val="24"/>
          <w:lang w:val="en-US" w:eastAsia="zh-CN"/>
        </w:rPr>
        <w:t>7.2.2原则上监理费用每季度支付一次。</w:t>
      </w:r>
    </w:p>
    <w:p w14:paraId="37A107B3">
      <w:pPr>
        <w:pStyle w:val="36"/>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7.2.3成交供应商在完成各阶段相应工作后，应以书面形式向采购人申请监理费。请款资料</w:t>
      </w:r>
      <w:r>
        <w:rPr>
          <w:rFonts w:hint="eastAsia" w:ascii="宋体" w:hAnsi="宋体" w:cs="宋体"/>
          <w:bCs/>
          <w:color w:val="auto"/>
          <w:sz w:val="24"/>
          <w:lang w:val="en-US" w:eastAsia="zh-CN"/>
        </w:rPr>
        <w:t>经过采购人审计部门审核无误，采购人收到成交供应商合法等额发票且满足支付条件后30天内支付监理费</w:t>
      </w:r>
      <w:r>
        <w:rPr>
          <w:rFonts w:hint="eastAsia" w:ascii="宋体" w:hAnsi="宋体" w:cs="宋体"/>
          <w:bCs/>
          <w:sz w:val="24"/>
          <w:lang w:val="en-US" w:eastAsia="zh-CN"/>
        </w:rPr>
        <w:t>。</w:t>
      </w:r>
    </w:p>
    <w:p w14:paraId="3B6B0B17">
      <w:pPr>
        <w:pStyle w:val="36"/>
        <w:adjustRightInd w:val="0"/>
        <w:snapToGrid w:val="0"/>
        <w:spacing w:line="360" w:lineRule="exact"/>
        <w:ind w:firstLine="480"/>
        <w:rPr>
          <w:rFonts w:hint="eastAsia" w:ascii="宋体" w:hAnsi="宋体" w:cs="宋体"/>
          <w:sz w:val="24"/>
        </w:rPr>
      </w:pPr>
      <w:r>
        <w:rPr>
          <w:rFonts w:hint="eastAsia" w:ascii="宋体" w:hAnsi="宋体" w:cs="宋体"/>
          <w:bCs/>
          <w:sz w:val="24"/>
          <w:lang w:val="en-US" w:eastAsia="zh-CN"/>
        </w:rPr>
        <w:t>7.2.4</w:t>
      </w:r>
      <w:r>
        <w:rPr>
          <w:rFonts w:hint="eastAsia" w:ascii="宋体" w:hAnsi="宋体" w:cs="宋体"/>
          <w:bCs/>
          <w:color w:val="auto"/>
          <w:sz w:val="24"/>
          <w:lang w:val="en-US" w:eastAsia="zh-CN"/>
        </w:rPr>
        <w:t>付款形式：采用支票、银行汇付（含电汇）等形式。</w:t>
      </w:r>
    </w:p>
    <w:p w14:paraId="48A45706">
      <w:pPr>
        <w:pStyle w:val="36"/>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36"/>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36"/>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36"/>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36"/>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36"/>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36"/>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110417C7">
      <w:pPr>
        <w:spacing w:line="360" w:lineRule="auto"/>
        <w:ind w:firstLine="3542" w:firstLineChars="1476"/>
        <w:jc w:val="left"/>
        <w:rPr>
          <w:rFonts w:hint="eastAsia" w:ascii="宋体" w:hAnsi="宋体" w:cs="宋体"/>
          <w:sz w:val="24"/>
        </w:rPr>
      </w:pPr>
    </w:p>
    <w:p w14:paraId="6ED20772">
      <w:pPr>
        <w:spacing w:line="360" w:lineRule="auto"/>
        <w:ind w:firstLine="3542" w:firstLineChars="1476"/>
        <w:jc w:val="left"/>
        <w:rPr>
          <w:rFonts w:hint="eastAsia" w:ascii="宋体" w:hAnsi="宋体" w:cs="宋体"/>
          <w:sz w:val="24"/>
        </w:rPr>
      </w:pP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17E72C1">
      <w:pPr>
        <w:pStyle w:val="2"/>
        <w:rPr>
          <w:rFonts w:hint="eastAsia"/>
        </w:rPr>
      </w:pPr>
    </w:p>
    <w:p w14:paraId="7F3E2B51">
      <w:pPr>
        <w:pStyle w:val="5"/>
        <w:rPr>
          <w:rFonts w:hint="eastAsia"/>
        </w:rPr>
      </w:pPr>
    </w:p>
    <w:p w14:paraId="29462A4C">
      <w:pPr>
        <w:pStyle w:val="5"/>
        <w:rPr>
          <w:rFonts w:hint="eastAsia"/>
        </w:rPr>
      </w:pP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w:t>
      </w:r>
      <w:r>
        <w:rPr>
          <w:rFonts w:hint="eastAsia" w:ascii="黑体" w:hAnsi="黑体" w:eastAsia="黑体" w:cs="黑体"/>
          <w:b/>
          <w:bCs/>
          <w:sz w:val="40"/>
          <w:szCs w:val="40"/>
          <w:highlight w:val="none"/>
        </w:rPr>
        <w:t>商务评审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9"/>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5D1B486E">
        <w:tblPrEx>
          <w:tblCellMar>
            <w:top w:w="0" w:type="dxa"/>
            <w:left w:w="108" w:type="dxa"/>
            <w:bottom w:w="0" w:type="dxa"/>
            <w:right w:w="108" w:type="dxa"/>
          </w:tblCellMar>
        </w:tblPrEx>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14:paraId="230143F6">
            <w:pPr>
              <w:widowControl/>
              <w:jc w:val="center"/>
              <w:textAlignment w:val="center"/>
              <w:rPr>
                <w:rFonts w:hint="eastAsia" w:ascii="宋体" w:hAnsi="宋体"/>
                <w:szCs w:val="21"/>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p w14:paraId="04764FBE">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3分）</w:t>
            </w:r>
          </w:p>
        </w:tc>
        <w:tc>
          <w:tcPr>
            <w:tcW w:w="7253" w:type="dxa"/>
            <w:tcBorders>
              <w:top w:val="single" w:color="000000" w:sz="4" w:space="0"/>
              <w:left w:val="single" w:color="000000" w:sz="4" w:space="0"/>
              <w:right w:val="single" w:color="000000" w:sz="4" w:space="0"/>
            </w:tcBorders>
            <w:shd w:val="clear" w:color="auto" w:fill="auto"/>
            <w:vAlign w:val="center"/>
          </w:tcPr>
          <w:p w14:paraId="1AA986B9">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具有有效期内的管理体系认证证书：</w:t>
            </w:r>
          </w:p>
          <w:p w14:paraId="315C4638">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得1分</w:t>
            </w:r>
            <w:r>
              <w:rPr>
                <w:rFonts w:hint="eastAsia" w:ascii="宋体" w:hAnsi="宋体" w:cs="宋体"/>
                <w:color w:val="auto"/>
                <w:lang w:eastAsia="zh-CN"/>
              </w:rPr>
              <w:t>。</w:t>
            </w:r>
          </w:p>
          <w:p w14:paraId="5372CA7D">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得1分</w:t>
            </w:r>
            <w:r>
              <w:rPr>
                <w:rFonts w:hint="eastAsia" w:ascii="宋体" w:hAnsi="宋体" w:cs="宋体"/>
                <w:color w:val="auto"/>
                <w:lang w:eastAsia="zh-CN"/>
              </w:rPr>
              <w:t>。</w:t>
            </w:r>
          </w:p>
          <w:p w14:paraId="7F363EDB">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5B0AD685">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注：1）需提供有效的认证证书复印件加盖公章，经认证的管理体系需在有效期内。</w:t>
            </w:r>
          </w:p>
          <w:p w14:paraId="3FF9A669">
            <w:pPr>
              <w:widowControl/>
              <w:numPr>
                <w:ilvl w:val="0"/>
                <w:numId w:val="0"/>
              </w:numPr>
              <w:ind w:left="0" w:leftChars="0"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63211CCC">
            <w:pPr>
              <w:widowControl/>
              <w:numPr>
                <w:ilvl w:val="0"/>
                <w:numId w:val="0"/>
              </w:numPr>
              <w:ind w:firstLine="420" w:firstLineChars="200"/>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3）未按要求提供的不得分。</w:t>
            </w:r>
          </w:p>
        </w:tc>
        <w:tc>
          <w:tcPr>
            <w:tcW w:w="1108" w:type="dxa"/>
            <w:tcBorders>
              <w:top w:val="single" w:color="000000" w:sz="4" w:space="0"/>
              <w:left w:val="single" w:color="000000" w:sz="4" w:space="0"/>
              <w:right w:val="single" w:color="000000" w:sz="4" w:space="0"/>
            </w:tcBorders>
            <w:shd w:val="clear" w:color="auto" w:fill="auto"/>
            <w:vAlign w:val="center"/>
          </w:tcPr>
          <w:p w14:paraId="3F502BFE">
            <w:pPr>
              <w:widowControl/>
              <w:jc w:val="left"/>
              <w:textAlignment w:val="center"/>
              <w:rPr>
                <w:b/>
                <w:highlight w:val="none"/>
              </w:rPr>
            </w:pPr>
            <w:r>
              <w:rPr>
                <w:rFonts w:hint="eastAsia" w:ascii="宋体" w:hAnsi="宋体" w:cs="宋体"/>
                <w:szCs w:val="21"/>
                <w:highlight w:val="none"/>
              </w:rPr>
              <w:t>见响应文件（ ）页</w:t>
            </w:r>
          </w:p>
        </w:tc>
      </w:tr>
      <w:tr w14:paraId="5BA9BBDB">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6F64">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获奖监理业绩</w:t>
            </w:r>
          </w:p>
          <w:p w14:paraId="45D56AEA">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（14分）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4440">
            <w:pPr>
              <w:widowControl/>
              <w:ind w:firstLine="420" w:firstLineChars="200"/>
              <w:jc w:val="left"/>
              <w:textAlignment w:val="center"/>
              <w:rPr>
                <w:rFonts w:hint="eastAsia" w:ascii="宋体" w:hAnsi="宋体" w:cs="宋体"/>
                <w:color w:val="auto"/>
                <w:szCs w:val="21"/>
                <w:highlight w:val="none"/>
              </w:rPr>
            </w:pPr>
            <w:r>
              <w:rPr>
                <w:rFonts w:hint="eastAsia" w:ascii="宋体" w:hAnsi="宋体" w:eastAsia="宋体" w:cs="宋体"/>
                <w:color w:val="auto"/>
                <w:kern w:val="2"/>
                <w:sz w:val="21"/>
                <w:szCs w:val="24"/>
                <w:highlight w:val="none"/>
                <w:lang w:val="en-US" w:eastAsia="zh-CN" w:bidi="ar-SA"/>
              </w:rPr>
              <w:t>自2022年1月1日至今</w:t>
            </w:r>
            <w:r>
              <w:rPr>
                <w:rFonts w:hint="eastAsia" w:ascii="宋体" w:hAnsi="宋体" w:cs="宋体"/>
                <w:color w:val="auto"/>
                <w:kern w:val="2"/>
                <w:sz w:val="21"/>
                <w:szCs w:val="24"/>
                <w:highlight w:val="none"/>
                <w:lang w:val="en-US" w:eastAsia="zh-CN" w:bidi="ar-SA"/>
              </w:rPr>
              <w:t>，供应商监理的工程获省级或以上奖项的每项得4分，市级奖励的</w:t>
            </w:r>
            <w:r>
              <w:rPr>
                <w:rFonts w:hint="eastAsia" w:ascii="宋体" w:hAnsi="宋体" w:cs="宋体"/>
                <w:color w:val="auto"/>
                <w:szCs w:val="21"/>
                <w:highlight w:val="none"/>
              </w:rPr>
              <w:t>每</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分。</w:t>
            </w:r>
          </w:p>
          <w:p w14:paraId="1AEBA29F">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注：</w:t>
            </w:r>
            <w:r>
              <w:rPr>
                <w:rFonts w:hint="eastAsia" w:ascii="宋体" w:hAnsi="宋体" w:cs="宋体"/>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获奖时间以获奖证书所颁发时间为准。</w:t>
            </w:r>
          </w:p>
          <w:p w14:paraId="20F19C99">
            <w:pPr>
              <w:keepNext w:val="0"/>
              <w:keepLines w:val="0"/>
              <w:widowControl/>
              <w:suppressLineNumbers w:val="0"/>
              <w:ind w:firstLine="420" w:firstLineChars="200"/>
              <w:jc w:val="left"/>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同一个项目获得不同奖项的只计得分最高的奖项。</w:t>
            </w:r>
          </w:p>
          <w:p w14:paraId="0BDC10F9">
            <w:pPr>
              <w:keepNext w:val="0"/>
              <w:keepLines w:val="0"/>
              <w:widowControl/>
              <w:suppressLineNumbers w:val="0"/>
              <w:ind w:firstLine="420" w:firstLineChars="200"/>
              <w:jc w:val="left"/>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省级奖指省级建设行政主管部门或行业协会颁发的工程奖项等；市级奖是指市级建设行政主管部门或行业协会颁发的工程奖项。</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E4">
            <w:pPr>
              <w:widowControl/>
              <w:jc w:val="left"/>
              <w:textAlignment w:val="center"/>
              <w:rPr>
                <w:rFonts w:hint="eastAsia" w:ascii="Times New Roman" w:hAnsi="Times New Roman" w:eastAsia="宋体" w:cs="Times New Roman"/>
                <w:b/>
                <w:kern w:val="2"/>
                <w:sz w:val="21"/>
                <w:szCs w:val="24"/>
                <w:highlight w:val="none"/>
                <w:lang w:val="en-US" w:eastAsia="zh-CN" w:bidi="ar-SA"/>
              </w:rPr>
            </w:pPr>
            <w:r>
              <w:rPr>
                <w:rFonts w:hint="eastAsia" w:ascii="宋体" w:hAnsi="宋体" w:cs="宋体"/>
                <w:szCs w:val="21"/>
                <w:highlight w:val="none"/>
              </w:rPr>
              <w:t>见响应文件（ ）页</w:t>
            </w:r>
          </w:p>
        </w:tc>
      </w:tr>
      <w:tr w14:paraId="107D3835">
        <w:tblPrEx>
          <w:tblCellMar>
            <w:top w:w="0" w:type="dxa"/>
            <w:left w:w="108" w:type="dxa"/>
            <w:bottom w:w="0" w:type="dxa"/>
            <w:right w:w="108" w:type="dxa"/>
          </w:tblCellMar>
        </w:tblPrEx>
        <w:trPr>
          <w:trHeight w:val="1736" w:hRule="atLeast"/>
        </w:trPr>
        <w:tc>
          <w:tcPr>
            <w:tcW w:w="1108" w:type="dxa"/>
            <w:vMerge w:val="restart"/>
            <w:tcBorders>
              <w:top w:val="single" w:color="000000" w:sz="4" w:space="0"/>
              <w:left w:val="single" w:color="000000" w:sz="4" w:space="0"/>
              <w:right w:val="single" w:color="000000" w:sz="4" w:space="0"/>
            </w:tcBorders>
            <w:shd w:val="clear" w:color="auto" w:fill="auto"/>
            <w:vAlign w:val="center"/>
          </w:tcPr>
          <w:p w14:paraId="62F41711">
            <w:pPr>
              <w:widowControl/>
              <w:jc w:val="center"/>
              <w:textAlignment w:val="center"/>
              <w:rPr>
                <w:rFonts w:hint="eastAsia" w:ascii="宋体" w:hAnsi="宋体"/>
                <w:color w:val="auto"/>
                <w:szCs w:val="21"/>
                <w:lang w:eastAsia="zh-CN"/>
              </w:rPr>
            </w:pPr>
            <w:r>
              <w:rPr>
                <w:rFonts w:hint="eastAsia" w:ascii="宋体" w:hAnsi="宋体" w:cs="宋体"/>
                <w:color w:val="auto"/>
                <w:sz w:val="21"/>
                <w:szCs w:val="21"/>
              </w:rPr>
              <w:t>拟派</w:t>
            </w:r>
            <w:r>
              <w:rPr>
                <w:rFonts w:hint="eastAsia" w:ascii="宋体" w:hAnsi="宋体"/>
                <w:color w:val="auto"/>
                <w:szCs w:val="21"/>
                <w:lang w:val="en-US" w:eastAsia="zh-CN"/>
              </w:rPr>
              <w:t>总监理工程师资格和业绩</w:t>
            </w:r>
            <w:r>
              <w:rPr>
                <w:rFonts w:hint="eastAsia" w:ascii="宋体" w:hAnsi="宋体"/>
                <w:color w:val="auto"/>
                <w:szCs w:val="21"/>
                <w:lang w:eastAsia="zh-CN"/>
              </w:rPr>
              <w:t>（</w:t>
            </w:r>
            <w:r>
              <w:rPr>
                <w:rFonts w:hint="eastAsia" w:ascii="宋体" w:hAnsi="宋体"/>
                <w:color w:val="auto"/>
                <w:szCs w:val="21"/>
                <w:lang w:val="en-US" w:eastAsia="zh-CN"/>
              </w:rPr>
              <w:t>11分）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88BE">
            <w:pPr>
              <w:keepNext w:val="0"/>
              <w:keepLines w:val="0"/>
              <w:widowControl/>
              <w:suppressLineNumbers w:val="0"/>
              <w:ind w:firstLine="420" w:firstLineChars="200"/>
              <w:jc w:val="left"/>
              <w:rPr>
                <w:rFonts w:hint="eastAsia" w:ascii="宋体" w:hAnsi="宋体" w:cs="宋体"/>
                <w:color w:val="auto"/>
                <w:szCs w:val="21"/>
                <w:highlight w:val="none"/>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具有</w:t>
            </w:r>
            <w:r>
              <w:rPr>
                <w:rFonts w:hint="eastAsia" w:ascii="宋体" w:hAnsi="宋体" w:eastAsia="宋体" w:cs="宋体"/>
                <w:color w:val="000000"/>
                <w:kern w:val="0"/>
                <w:sz w:val="21"/>
                <w:szCs w:val="21"/>
                <w:lang w:val="en-US" w:eastAsia="zh-CN" w:bidi="ar"/>
              </w:rPr>
              <w:t>建筑工程相关专业</w:t>
            </w:r>
            <w:r>
              <w:rPr>
                <w:rFonts w:hint="eastAsia" w:ascii="宋体" w:hAnsi="宋体" w:eastAsia="宋体" w:cs="宋体"/>
                <w:color w:val="auto"/>
                <w:highlight w:val="none"/>
                <w:lang w:val="en-US" w:eastAsia="zh-CN"/>
              </w:rPr>
              <w:t>高级</w:t>
            </w:r>
            <w:r>
              <w:rPr>
                <w:rFonts w:hint="eastAsia" w:ascii="宋体" w:hAnsi="宋体" w:cs="宋体"/>
                <w:color w:val="auto"/>
                <w:highlight w:val="none"/>
                <w:lang w:val="en-US" w:eastAsia="zh-CN"/>
              </w:rPr>
              <w:t>工程师</w:t>
            </w:r>
            <w:r>
              <w:rPr>
                <w:rFonts w:hint="eastAsia" w:ascii="宋体" w:hAnsi="宋体" w:eastAsia="宋体" w:cs="宋体"/>
                <w:color w:val="auto"/>
                <w:highlight w:val="none"/>
                <w:lang w:val="en-US" w:eastAsia="zh-CN"/>
              </w:rPr>
              <w:t>职称的，得</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具有</w:t>
            </w:r>
            <w:r>
              <w:rPr>
                <w:rFonts w:hint="eastAsia" w:ascii="宋体" w:hAnsi="宋体" w:eastAsia="宋体" w:cs="宋体"/>
                <w:color w:val="000000"/>
                <w:kern w:val="0"/>
                <w:sz w:val="21"/>
                <w:szCs w:val="21"/>
                <w:lang w:val="en-US" w:eastAsia="zh-CN" w:bidi="ar"/>
              </w:rPr>
              <w:t>建筑工程相关专业</w:t>
            </w:r>
            <w:r>
              <w:rPr>
                <w:rFonts w:hint="eastAsia" w:ascii="宋体" w:hAnsi="宋体" w:cs="宋体"/>
                <w:color w:val="auto"/>
                <w:highlight w:val="none"/>
                <w:lang w:val="en-US" w:eastAsia="zh-CN"/>
              </w:rPr>
              <w:t>工程师</w:t>
            </w:r>
            <w:r>
              <w:rPr>
                <w:rFonts w:hint="eastAsia" w:ascii="宋体" w:hAnsi="宋体" w:eastAsia="宋体" w:cs="宋体"/>
                <w:color w:val="auto"/>
                <w:highlight w:val="none"/>
                <w:lang w:val="en-US" w:eastAsia="zh-CN"/>
              </w:rPr>
              <w:t>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r>
              <w:rPr>
                <w:rFonts w:hint="eastAsia" w:ascii="宋体" w:hAnsi="宋体" w:cs="宋体"/>
                <w:color w:val="auto"/>
                <w:highlight w:val="none"/>
                <w:lang w:val="en-US" w:eastAsia="zh-CN"/>
              </w:rPr>
              <w:t>。</w:t>
            </w:r>
            <w:r>
              <w:rPr>
                <w:rFonts w:hint="eastAsia" w:ascii="宋体" w:hAnsi="宋体" w:cs="宋体"/>
                <w:color w:val="auto"/>
                <w:szCs w:val="21"/>
                <w:highlight w:val="none"/>
              </w:rPr>
              <w:t>本</w:t>
            </w:r>
            <w:r>
              <w:rPr>
                <w:rFonts w:hint="eastAsia" w:ascii="宋体" w:hAnsi="宋体" w:cs="宋体"/>
                <w:color w:val="auto"/>
                <w:szCs w:val="21"/>
                <w:highlight w:val="none"/>
                <w:lang w:val="en-US" w:eastAsia="zh-CN"/>
              </w:rPr>
              <w:t>小</w:t>
            </w:r>
            <w:r>
              <w:rPr>
                <w:rFonts w:hint="eastAsia" w:ascii="宋体" w:hAnsi="宋体" w:cs="宋体"/>
                <w:color w:val="auto"/>
                <w:szCs w:val="21"/>
                <w:highlight w:val="none"/>
              </w:rPr>
              <w:t>项最高得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76CC16FC">
            <w:pPr>
              <w:pStyle w:val="17"/>
              <w:spacing w:before="0"/>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r>
              <w:rPr>
                <w:rFonts w:hint="eastAsia" w:ascii="宋体" w:hAnsi="宋体" w:cs="宋体"/>
                <w:color w:val="auto"/>
                <w:sz w:val="21"/>
                <w:szCs w:val="21"/>
              </w:rPr>
              <w:t>拟派总监</w:t>
            </w:r>
            <w:r>
              <w:rPr>
                <w:rFonts w:hint="eastAsia" w:ascii="宋体" w:hAnsi="宋体" w:cs="宋体"/>
                <w:color w:val="auto"/>
                <w:sz w:val="21"/>
                <w:szCs w:val="21"/>
                <w:lang w:val="en-US" w:eastAsia="zh-CN"/>
              </w:rPr>
              <w:t>理工程师</w:t>
            </w:r>
            <w:r>
              <w:rPr>
                <w:rFonts w:hint="eastAsia" w:ascii="宋体" w:hAnsi="宋体" w:cs="宋体"/>
                <w:color w:val="auto"/>
                <w:sz w:val="21"/>
                <w:szCs w:val="21"/>
              </w:rPr>
              <w:t>的国家注册监理工程师执业资</w:t>
            </w:r>
            <w:r>
              <w:rPr>
                <w:rFonts w:hint="eastAsia" w:ascii="宋体" w:hAnsi="宋体" w:cs="宋体"/>
                <w:color w:val="auto"/>
                <w:sz w:val="21"/>
                <w:szCs w:val="21"/>
                <w:highlight w:val="none"/>
              </w:rPr>
              <w:t>格证书满</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周年的加</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分，满</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周年的加</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分，满</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周年的</w:t>
            </w:r>
            <w:r>
              <w:rPr>
                <w:rFonts w:hint="eastAsia" w:ascii="宋体" w:hAnsi="宋体" w:cs="宋体"/>
                <w:color w:val="auto"/>
                <w:sz w:val="21"/>
                <w:szCs w:val="21"/>
              </w:rPr>
              <w:t>加</w:t>
            </w:r>
            <w:r>
              <w:rPr>
                <w:rFonts w:hint="eastAsia" w:ascii="宋体" w:hAnsi="宋体" w:cs="宋体"/>
                <w:color w:val="auto"/>
                <w:sz w:val="21"/>
                <w:szCs w:val="21"/>
                <w:lang w:val="en-US" w:eastAsia="zh-CN"/>
              </w:rPr>
              <w:t>3</w:t>
            </w:r>
            <w:r>
              <w:rPr>
                <w:rFonts w:hint="eastAsia" w:ascii="宋体" w:hAnsi="宋体" w:cs="宋体"/>
                <w:color w:val="auto"/>
                <w:sz w:val="21"/>
                <w:szCs w:val="21"/>
              </w:rPr>
              <w:t>分</w:t>
            </w:r>
            <w:r>
              <w:rPr>
                <w:rFonts w:hint="eastAsia" w:ascii="宋体" w:hAnsi="宋体" w:cs="宋体"/>
                <w:color w:val="auto"/>
                <w:sz w:val="21"/>
                <w:szCs w:val="21"/>
                <w:lang w:eastAsia="zh-CN"/>
              </w:rPr>
              <w:t>。</w:t>
            </w:r>
            <w:r>
              <w:rPr>
                <w:rFonts w:hint="eastAsia" w:ascii="宋体" w:hAnsi="宋体" w:cs="宋体"/>
                <w:color w:val="auto"/>
                <w:sz w:val="21"/>
                <w:szCs w:val="21"/>
                <w:highlight w:val="none"/>
              </w:rPr>
              <w:t>本</w:t>
            </w:r>
            <w:r>
              <w:rPr>
                <w:rFonts w:hint="eastAsia" w:ascii="宋体" w:hAnsi="宋体" w:cs="宋体"/>
                <w:color w:val="auto"/>
                <w:sz w:val="21"/>
                <w:szCs w:val="21"/>
                <w:highlight w:val="none"/>
                <w:lang w:val="en-US" w:eastAsia="zh-CN"/>
              </w:rPr>
              <w:t>小</w:t>
            </w:r>
            <w:r>
              <w:rPr>
                <w:rFonts w:hint="eastAsia" w:ascii="宋体" w:hAnsi="宋体" w:cs="宋体"/>
                <w:color w:val="auto"/>
                <w:sz w:val="21"/>
                <w:szCs w:val="21"/>
                <w:highlight w:val="none"/>
              </w:rPr>
              <w:t>项最高得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p w14:paraId="32A48002">
            <w:pPr>
              <w:widowControl/>
              <w:jc w:val="left"/>
              <w:textAlignment w:val="center"/>
              <w:rPr>
                <w:rFonts w:hint="eastAsia" w:ascii="宋体" w:hAnsi="宋体" w:eastAsia="宋体" w:cs="宋体"/>
                <w:color w:val="auto"/>
              </w:rPr>
            </w:pPr>
            <w:r>
              <w:rPr>
                <w:rFonts w:hint="eastAsia" w:ascii="宋体" w:hAnsi="宋体" w:cs="宋体"/>
                <w:sz w:val="21"/>
                <w:szCs w:val="21"/>
              </w:rPr>
              <w:t>注：提供职称证书、注册证书复印件，时间以证书颁发时间为准。</w:t>
            </w:r>
          </w:p>
        </w:tc>
        <w:tc>
          <w:tcPr>
            <w:tcW w:w="1108" w:type="dxa"/>
            <w:vMerge w:val="restart"/>
            <w:tcBorders>
              <w:top w:val="single" w:color="000000" w:sz="4" w:space="0"/>
              <w:left w:val="single" w:color="000000" w:sz="4" w:space="0"/>
              <w:right w:val="single" w:color="000000" w:sz="4" w:space="0"/>
            </w:tcBorders>
            <w:shd w:val="clear" w:color="auto" w:fill="auto"/>
            <w:vAlign w:val="center"/>
          </w:tcPr>
          <w:p w14:paraId="0364A953">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7145EF14">
        <w:tblPrEx>
          <w:tblCellMar>
            <w:top w:w="0" w:type="dxa"/>
            <w:left w:w="108" w:type="dxa"/>
            <w:bottom w:w="0" w:type="dxa"/>
            <w:right w:w="108" w:type="dxa"/>
          </w:tblCellMar>
        </w:tblPrEx>
        <w:trPr>
          <w:trHeight w:val="1736" w:hRule="atLeast"/>
        </w:trPr>
        <w:tc>
          <w:tcPr>
            <w:tcW w:w="1108" w:type="dxa"/>
            <w:vMerge w:val="continue"/>
            <w:tcBorders>
              <w:left w:val="single" w:color="000000" w:sz="4" w:space="0"/>
              <w:bottom w:val="single" w:color="000000" w:sz="4" w:space="0"/>
              <w:right w:val="single" w:color="000000" w:sz="4" w:space="0"/>
            </w:tcBorders>
            <w:shd w:val="clear" w:color="auto" w:fill="auto"/>
            <w:vAlign w:val="center"/>
          </w:tcPr>
          <w:p w14:paraId="7F5CD9CA">
            <w:pPr>
              <w:widowControl/>
              <w:jc w:val="center"/>
              <w:textAlignment w:val="center"/>
              <w:rPr>
                <w:rFonts w:hint="eastAsia" w:ascii="宋体" w:hAnsi="宋体"/>
                <w:color w:val="auto"/>
                <w:szCs w:val="21"/>
                <w:lang w:eastAsia="zh-CN"/>
              </w:rPr>
            </w:pP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00E7">
            <w:pPr>
              <w:widowControl/>
              <w:ind w:firstLine="420" w:firstLineChars="200"/>
              <w:jc w:val="left"/>
              <w:textAlignment w:val="center"/>
              <w:rPr>
                <w:rFonts w:ascii="宋体" w:hAnsi="宋体" w:cs="宋体"/>
                <w:color w:val="auto"/>
                <w:szCs w:val="21"/>
                <w:highlight w:val="none"/>
              </w:rPr>
            </w:pPr>
            <w:r>
              <w:rPr>
                <w:rFonts w:hint="eastAsia" w:ascii="宋体" w:hAnsi="宋体" w:eastAsia="宋体" w:cs="宋体"/>
                <w:color w:val="auto"/>
                <w:kern w:val="2"/>
                <w:sz w:val="21"/>
                <w:szCs w:val="24"/>
                <w:highlight w:val="none"/>
                <w:lang w:val="en-US" w:eastAsia="zh-CN" w:bidi="ar-SA"/>
              </w:rPr>
              <w:t>自2022年1月1日至今</w:t>
            </w:r>
            <w:r>
              <w:rPr>
                <w:rFonts w:hint="eastAsia" w:ascii="宋体" w:hAnsi="宋体" w:cs="宋体"/>
                <w:color w:val="auto"/>
                <w:kern w:val="2"/>
                <w:sz w:val="21"/>
                <w:szCs w:val="24"/>
                <w:highlight w:val="none"/>
                <w:lang w:val="en-US" w:eastAsia="zh-CN" w:bidi="ar-SA"/>
              </w:rPr>
              <w:t>担任总监</w:t>
            </w:r>
            <w:r>
              <w:rPr>
                <w:rFonts w:hint="eastAsia" w:ascii="宋体" w:hAnsi="宋体" w:eastAsia="宋体" w:cs="宋体"/>
                <w:color w:val="auto"/>
                <w:kern w:val="2"/>
                <w:sz w:val="21"/>
                <w:szCs w:val="24"/>
                <w:highlight w:val="none"/>
                <w:lang w:val="en-US" w:eastAsia="zh-CN" w:bidi="ar-SA"/>
              </w:rPr>
              <w:t>完成过质量合格的同类</w:t>
            </w:r>
            <w:r>
              <w:rPr>
                <w:rFonts w:hint="eastAsia" w:ascii="宋体" w:hAnsi="宋体" w:cs="宋体"/>
                <w:color w:val="auto"/>
                <w:kern w:val="2"/>
                <w:sz w:val="21"/>
                <w:szCs w:val="24"/>
                <w:highlight w:val="none"/>
                <w:lang w:val="en-US" w:eastAsia="zh-CN" w:bidi="ar-SA"/>
              </w:rPr>
              <w:t>工程，</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65E85522">
            <w:pPr>
              <w:widowControl/>
              <w:numPr>
                <w:ilvl w:val="0"/>
                <w:numId w:val="0"/>
              </w:numPr>
              <w:jc w:val="left"/>
              <w:textAlignment w:val="center"/>
              <w:rPr>
                <w:rFonts w:hint="eastAsia" w:ascii="宋体" w:hAnsi="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w:t>
            </w:r>
            <w:r>
              <w:rPr>
                <w:rFonts w:hint="eastAsia" w:ascii="宋体" w:hAnsi="宋体" w:cs="宋体"/>
                <w:color w:val="auto"/>
                <w:highlight w:val="none"/>
                <w:lang w:val="en-US" w:eastAsia="zh-CN"/>
              </w:rPr>
              <w:t>监理</w:t>
            </w:r>
            <w:r>
              <w:rPr>
                <w:rFonts w:hint="eastAsia" w:ascii="宋体" w:hAnsi="宋体" w:eastAsia="宋体" w:cs="宋体"/>
                <w:color w:val="auto"/>
                <w:highlight w:val="none"/>
                <w:lang w:val="en-US" w:eastAsia="zh-CN"/>
              </w:rPr>
              <w:t>合同关键信息页（至少包含</w:t>
            </w:r>
            <w:r>
              <w:rPr>
                <w:rFonts w:hint="eastAsia" w:ascii="宋体" w:hAnsi="宋体" w:cs="宋体"/>
                <w:color w:val="auto"/>
                <w:highlight w:val="none"/>
                <w:lang w:val="en-US" w:eastAsia="zh-CN"/>
              </w:rPr>
              <w:t>合同封面、</w:t>
            </w:r>
            <w:r>
              <w:rPr>
                <w:rFonts w:hint="eastAsia" w:ascii="宋体" w:hAnsi="宋体" w:eastAsia="宋体" w:cs="宋体"/>
                <w:color w:val="auto"/>
                <w:highlight w:val="none"/>
                <w:lang w:val="en-US" w:eastAsia="zh-CN"/>
              </w:rPr>
              <w:t>合同主要内容及合同各方盖章）</w:t>
            </w:r>
            <w:r>
              <w:rPr>
                <w:rFonts w:hint="eastAsia" w:ascii="宋体" w:hAnsi="宋体" w:cs="宋体"/>
                <w:color w:val="auto"/>
                <w:highlight w:val="none"/>
                <w:lang w:val="en-US" w:eastAsia="zh-CN"/>
              </w:rPr>
              <w:t>及竣工验收</w:t>
            </w:r>
            <w:r>
              <w:rPr>
                <w:rFonts w:hint="eastAsia" w:ascii="宋体" w:hAnsi="宋体" w:eastAsia="宋体" w:cs="宋体"/>
                <w:color w:val="auto"/>
                <w:highlight w:val="none"/>
                <w:lang w:val="en-US" w:eastAsia="zh-CN"/>
              </w:rPr>
              <w:t>证明材料，扫描件加盖供应商公章，业绩认定的时间以所提供证明材料中合同签署时间为准。</w:t>
            </w:r>
            <w:r>
              <w:rPr>
                <w:rFonts w:hint="eastAsia" w:ascii="宋体" w:hAnsi="宋体" w:cs="宋体"/>
                <w:color w:val="auto"/>
                <w:highlight w:val="none"/>
                <w:lang w:val="en-US" w:eastAsia="zh-CN"/>
              </w:rPr>
              <w:t>以上资料需体现项目负责人担任总监理工程师职责，如无体现，需提供其他证明材料（仅有供应商确认的材料不能作为佐证材料），否则不得分。</w:t>
            </w:r>
          </w:p>
          <w:p w14:paraId="22BBF058">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w:t>
            </w:r>
          </w:p>
          <w:p w14:paraId="646A1E07">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3）同一业绩只按最高分数计算一次分数， 不重复计算。</w:t>
            </w:r>
          </w:p>
          <w:p w14:paraId="7BF990DB">
            <w:pPr>
              <w:widowControl/>
              <w:ind w:firstLine="420" w:firstLineChars="200"/>
              <w:jc w:val="left"/>
              <w:textAlignment w:val="center"/>
              <w:rPr>
                <w:rFonts w:hint="eastAsia" w:ascii="宋体" w:hAnsi="宋体" w:eastAsia="宋体" w:cs="宋体"/>
                <w:color w:val="auto"/>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vMerge w:val="continue"/>
            <w:tcBorders>
              <w:left w:val="single" w:color="000000" w:sz="4" w:space="0"/>
              <w:bottom w:val="single" w:color="000000" w:sz="4" w:space="0"/>
              <w:right w:val="single" w:color="000000" w:sz="4" w:space="0"/>
            </w:tcBorders>
            <w:shd w:val="clear" w:color="auto" w:fill="auto"/>
            <w:vAlign w:val="center"/>
          </w:tcPr>
          <w:p w14:paraId="3CBD84A7">
            <w:pPr>
              <w:widowControl/>
              <w:jc w:val="left"/>
              <w:textAlignment w:val="center"/>
              <w:rPr>
                <w:rFonts w:hint="eastAsia" w:ascii="宋体" w:hAnsi="宋体" w:cs="宋体"/>
                <w:szCs w:val="21"/>
                <w:highlight w:val="none"/>
              </w:rPr>
            </w:pPr>
          </w:p>
        </w:tc>
      </w:tr>
      <w:tr w14:paraId="7DC859C9">
        <w:tblPrEx>
          <w:tblCellMar>
            <w:top w:w="0" w:type="dxa"/>
            <w:left w:w="108" w:type="dxa"/>
            <w:bottom w:w="0" w:type="dxa"/>
            <w:right w:w="108" w:type="dxa"/>
          </w:tblCellMar>
        </w:tblPrEx>
        <w:trPr>
          <w:trHeight w:val="1241" w:hRule="atLeast"/>
        </w:trPr>
        <w:tc>
          <w:tcPr>
            <w:tcW w:w="1108" w:type="dxa"/>
            <w:vMerge w:val="restart"/>
            <w:tcBorders>
              <w:top w:val="single" w:color="000000" w:sz="4" w:space="0"/>
              <w:left w:val="single" w:color="000000" w:sz="4" w:space="0"/>
              <w:right w:val="single" w:color="000000" w:sz="4" w:space="0"/>
            </w:tcBorders>
            <w:shd w:val="clear" w:color="auto" w:fill="auto"/>
            <w:vAlign w:val="center"/>
          </w:tcPr>
          <w:p w14:paraId="6DB27FB4">
            <w:pPr>
              <w:widowControl/>
              <w:jc w:val="center"/>
              <w:textAlignment w:val="center"/>
              <w:rPr>
                <w:rFonts w:hint="eastAsia" w:ascii="宋体" w:hAnsi="宋体"/>
                <w:color w:val="auto"/>
                <w:szCs w:val="21"/>
                <w:lang w:eastAsia="zh-CN"/>
              </w:rPr>
            </w:pPr>
            <w:r>
              <w:rPr>
                <w:rFonts w:hint="eastAsia" w:ascii="宋体" w:hAnsi="宋体" w:cs="宋体"/>
                <w:color w:val="auto"/>
                <w:sz w:val="21"/>
                <w:szCs w:val="21"/>
              </w:rPr>
              <w:t>拟派</w:t>
            </w:r>
            <w:r>
              <w:rPr>
                <w:rFonts w:hint="eastAsia" w:ascii="宋体" w:hAnsi="宋体"/>
                <w:color w:val="auto"/>
                <w:szCs w:val="21"/>
                <w:lang w:val="en-US" w:eastAsia="zh-CN"/>
              </w:rPr>
              <w:t>总监代表资格和业绩</w:t>
            </w:r>
            <w:r>
              <w:rPr>
                <w:rFonts w:hint="eastAsia" w:ascii="宋体" w:hAnsi="宋体"/>
                <w:color w:val="auto"/>
                <w:szCs w:val="21"/>
                <w:lang w:eastAsia="zh-CN"/>
              </w:rPr>
              <w:t>（</w:t>
            </w:r>
            <w:r>
              <w:rPr>
                <w:rFonts w:hint="eastAsia" w:ascii="宋体" w:hAnsi="宋体"/>
                <w:color w:val="auto"/>
                <w:szCs w:val="21"/>
                <w:lang w:val="en-US" w:eastAsia="zh-CN"/>
              </w:rPr>
              <w:t>8分）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4D1C">
            <w:pPr>
              <w:widowControl/>
              <w:numPr>
                <w:ilvl w:val="0"/>
                <w:numId w:val="0"/>
              </w:numPr>
              <w:ind w:left="0" w:leftChars="0" w:firstLine="420" w:firstLineChars="200"/>
              <w:jc w:val="left"/>
              <w:textAlignment w:val="center"/>
              <w:rPr>
                <w:rFonts w:hint="eastAsia" w:ascii="宋体" w:hAnsi="宋体" w:cs="宋体"/>
              </w:rPr>
            </w:pPr>
            <w:r>
              <w:rPr>
                <w:rFonts w:hint="eastAsia" w:ascii="宋体" w:hAnsi="宋体" w:cs="宋体"/>
              </w:rPr>
              <w:t>具有</w:t>
            </w:r>
            <w:r>
              <w:rPr>
                <w:rFonts w:hint="eastAsia" w:ascii="宋体" w:hAnsi="宋体" w:eastAsia="宋体" w:cs="宋体"/>
                <w:color w:val="000000"/>
                <w:kern w:val="0"/>
                <w:sz w:val="21"/>
                <w:szCs w:val="21"/>
                <w:lang w:val="en-US" w:eastAsia="zh-CN" w:bidi="ar"/>
              </w:rPr>
              <w:t>建筑工程相关专业</w:t>
            </w:r>
            <w:r>
              <w:rPr>
                <w:rFonts w:hint="eastAsia" w:ascii="宋体" w:hAnsi="宋体" w:eastAsia="宋体" w:cs="宋体"/>
                <w:color w:val="auto"/>
                <w:highlight w:val="none"/>
                <w:lang w:val="en-US" w:eastAsia="zh-CN"/>
              </w:rPr>
              <w:t>高级</w:t>
            </w:r>
            <w:r>
              <w:rPr>
                <w:rFonts w:hint="eastAsia" w:ascii="宋体" w:hAnsi="宋体" w:cs="宋体"/>
                <w:color w:val="auto"/>
                <w:highlight w:val="none"/>
                <w:lang w:val="en-US" w:eastAsia="zh-CN"/>
              </w:rPr>
              <w:t>工程师</w:t>
            </w:r>
            <w:r>
              <w:rPr>
                <w:rFonts w:hint="eastAsia" w:ascii="宋体" w:hAnsi="宋体" w:eastAsia="宋体" w:cs="宋体"/>
                <w:color w:val="auto"/>
                <w:highlight w:val="none"/>
                <w:lang w:val="en-US" w:eastAsia="zh-CN"/>
              </w:rPr>
              <w:t>职称的，得</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具有</w:t>
            </w:r>
            <w:r>
              <w:rPr>
                <w:rFonts w:hint="eastAsia" w:ascii="宋体" w:hAnsi="宋体" w:eastAsia="宋体" w:cs="宋体"/>
                <w:color w:val="000000"/>
                <w:kern w:val="0"/>
                <w:sz w:val="21"/>
                <w:szCs w:val="21"/>
                <w:lang w:val="en-US" w:eastAsia="zh-CN" w:bidi="ar"/>
              </w:rPr>
              <w:t>建筑工程相关专业</w:t>
            </w:r>
            <w:r>
              <w:rPr>
                <w:rFonts w:hint="eastAsia" w:ascii="宋体" w:hAnsi="宋体" w:cs="宋体"/>
                <w:color w:val="auto"/>
                <w:highlight w:val="none"/>
                <w:lang w:val="en-US" w:eastAsia="zh-CN"/>
              </w:rPr>
              <w:t>工程师</w:t>
            </w:r>
            <w:r>
              <w:rPr>
                <w:rFonts w:hint="eastAsia" w:ascii="宋体" w:hAnsi="宋体" w:eastAsia="宋体" w:cs="宋体"/>
                <w:color w:val="auto"/>
                <w:highlight w:val="none"/>
                <w:lang w:val="en-US" w:eastAsia="zh-CN"/>
              </w:rPr>
              <w:t>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r>
              <w:rPr>
                <w:rFonts w:hint="eastAsia" w:ascii="宋体" w:hAnsi="宋体" w:cs="宋体"/>
                <w:color w:val="auto"/>
                <w:highlight w:val="none"/>
                <w:lang w:val="en-US" w:eastAsia="zh-CN"/>
              </w:rPr>
              <w:t>。</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6F9CFE08">
            <w:pPr>
              <w:widowControl/>
              <w:jc w:val="left"/>
              <w:textAlignment w:val="center"/>
              <w:rPr>
                <w:rFonts w:hint="eastAsia" w:ascii="宋体" w:hAnsi="宋体" w:eastAsia="宋体" w:cs="宋体"/>
                <w:color w:val="auto"/>
              </w:rPr>
            </w:pPr>
            <w:r>
              <w:rPr>
                <w:rFonts w:hint="eastAsia" w:ascii="宋体" w:hAnsi="宋体" w:eastAsia="宋体" w:cs="宋体"/>
                <w:kern w:val="2"/>
                <w:sz w:val="21"/>
                <w:szCs w:val="24"/>
                <w:lang w:val="en-US" w:eastAsia="zh-CN" w:bidi="ar-SA"/>
              </w:rPr>
              <w:t>注：提供职称证书扫描件加盖供应商公章。</w:t>
            </w:r>
          </w:p>
        </w:tc>
        <w:tc>
          <w:tcPr>
            <w:tcW w:w="1108" w:type="dxa"/>
            <w:vMerge w:val="restart"/>
            <w:tcBorders>
              <w:top w:val="single" w:color="000000" w:sz="4" w:space="0"/>
              <w:left w:val="single" w:color="000000" w:sz="4" w:space="0"/>
              <w:right w:val="single" w:color="000000" w:sz="4" w:space="0"/>
            </w:tcBorders>
            <w:shd w:val="clear" w:color="auto" w:fill="auto"/>
            <w:vAlign w:val="center"/>
          </w:tcPr>
          <w:p w14:paraId="4A4D382B">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60C3A676">
        <w:tblPrEx>
          <w:tblCellMar>
            <w:top w:w="0" w:type="dxa"/>
            <w:left w:w="108" w:type="dxa"/>
            <w:bottom w:w="0" w:type="dxa"/>
            <w:right w:w="108" w:type="dxa"/>
          </w:tblCellMar>
        </w:tblPrEx>
        <w:trPr>
          <w:trHeight w:val="1736" w:hRule="atLeast"/>
        </w:trPr>
        <w:tc>
          <w:tcPr>
            <w:tcW w:w="1108" w:type="dxa"/>
            <w:vMerge w:val="continue"/>
            <w:tcBorders>
              <w:left w:val="single" w:color="000000" w:sz="4" w:space="0"/>
              <w:bottom w:val="single" w:color="000000" w:sz="4" w:space="0"/>
              <w:right w:val="single" w:color="000000" w:sz="4" w:space="0"/>
            </w:tcBorders>
            <w:shd w:val="clear" w:color="auto" w:fill="auto"/>
            <w:vAlign w:val="center"/>
          </w:tcPr>
          <w:p w14:paraId="2EE73905">
            <w:pPr>
              <w:widowControl/>
              <w:jc w:val="center"/>
              <w:textAlignment w:val="center"/>
              <w:rPr>
                <w:rFonts w:hint="eastAsia" w:ascii="宋体" w:hAnsi="宋体"/>
                <w:color w:val="auto"/>
                <w:szCs w:val="21"/>
                <w:lang w:eastAsia="zh-CN"/>
              </w:rPr>
            </w:pP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2BBC">
            <w:pPr>
              <w:widowControl/>
              <w:ind w:firstLine="420" w:firstLineChars="200"/>
              <w:jc w:val="left"/>
              <w:textAlignment w:val="center"/>
              <w:rPr>
                <w:rFonts w:ascii="宋体" w:hAnsi="宋体" w:cs="宋体"/>
                <w:color w:val="auto"/>
                <w:szCs w:val="21"/>
                <w:highlight w:val="none"/>
              </w:rPr>
            </w:pPr>
            <w:r>
              <w:rPr>
                <w:rFonts w:hint="eastAsia" w:ascii="宋体" w:hAnsi="宋体" w:eastAsia="宋体" w:cs="宋体"/>
                <w:color w:val="auto"/>
                <w:kern w:val="2"/>
                <w:sz w:val="21"/>
                <w:szCs w:val="24"/>
                <w:highlight w:val="none"/>
                <w:lang w:val="en-US" w:eastAsia="zh-CN" w:bidi="ar-SA"/>
              </w:rPr>
              <w:t>自2022年1月1日至今</w:t>
            </w:r>
            <w:r>
              <w:rPr>
                <w:rFonts w:hint="eastAsia" w:ascii="宋体" w:hAnsi="宋体" w:cs="宋体"/>
                <w:color w:val="auto"/>
                <w:kern w:val="2"/>
                <w:sz w:val="21"/>
                <w:szCs w:val="24"/>
                <w:highlight w:val="none"/>
                <w:lang w:val="en-US" w:eastAsia="zh-CN" w:bidi="ar-SA"/>
              </w:rPr>
              <w:t>担任总监或总监代表</w:t>
            </w:r>
            <w:r>
              <w:rPr>
                <w:rFonts w:hint="eastAsia" w:ascii="宋体" w:hAnsi="宋体" w:eastAsia="宋体" w:cs="宋体"/>
                <w:color w:val="auto"/>
                <w:kern w:val="2"/>
                <w:sz w:val="21"/>
                <w:szCs w:val="24"/>
                <w:highlight w:val="none"/>
                <w:lang w:val="en-US" w:eastAsia="zh-CN" w:bidi="ar-SA"/>
              </w:rPr>
              <w:t>完成过质量合格的同类</w:t>
            </w:r>
            <w:r>
              <w:rPr>
                <w:rFonts w:hint="eastAsia" w:ascii="宋体" w:hAnsi="宋体" w:cs="宋体"/>
                <w:color w:val="auto"/>
                <w:kern w:val="2"/>
                <w:sz w:val="21"/>
                <w:szCs w:val="24"/>
                <w:highlight w:val="none"/>
                <w:lang w:val="en-US" w:eastAsia="zh-CN" w:bidi="ar-SA"/>
              </w:rPr>
              <w:t>工程，</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16E47BA3">
            <w:pPr>
              <w:widowControl/>
              <w:jc w:val="left"/>
              <w:textAlignment w:val="center"/>
              <w:rPr>
                <w:rFonts w:hint="eastAsia" w:ascii="宋体" w:hAnsi="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w:t>
            </w:r>
            <w:r>
              <w:rPr>
                <w:rFonts w:hint="eastAsia" w:ascii="宋体" w:hAnsi="宋体" w:cs="宋体"/>
                <w:color w:val="auto"/>
                <w:highlight w:val="none"/>
                <w:lang w:val="en-US" w:eastAsia="zh-CN"/>
              </w:rPr>
              <w:t>监理</w:t>
            </w:r>
            <w:r>
              <w:rPr>
                <w:rFonts w:hint="eastAsia" w:ascii="宋体" w:hAnsi="宋体" w:eastAsia="宋体" w:cs="宋体"/>
                <w:color w:val="auto"/>
                <w:highlight w:val="none"/>
                <w:lang w:val="en-US" w:eastAsia="zh-CN"/>
              </w:rPr>
              <w:t>合同关键信息页（至少包含</w:t>
            </w:r>
            <w:r>
              <w:rPr>
                <w:rFonts w:hint="eastAsia" w:ascii="宋体" w:hAnsi="宋体" w:cs="宋体"/>
                <w:color w:val="auto"/>
                <w:highlight w:val="none"/>
                <w:lang w:val="en-US" w:eastAsia="zh-CN"/>
              </w:rPr>
              <w:t>合同封面、</w:t>
            </w:r>
            <w:r>
              <w:rPr>
                <w:rFonts w:hint="eastAsia" w:ascii="宋体" w:hAnsi="宋体" w:eastAsia="宋体" w:cs="宋体"/>
                <w:color w:val="auto"/>
                <w:highlight w:val="none"/>
                <w:lang w:val="en-US" w:eastAsia="zh-CN"/>
              </w:rPr>
              <w:t>合同主要内容及合同各方盖章）</w:t>
            </w:r>
            <w:r>
              <w:rPr>
                <w:rFonts w:hint="eastAsia" w:ascii="宋体" w:hAnsi="宋体" w:cs="宋体"/>
                <w:color w:val="auto"/>
                <w:highlight w:val="none"/>
                <w:lang w:val="en-US" w:eastAsia="zh-CN"/>
              </w:rPr>
              <w:t>及竣工验收</w:t>
            </w:r>
            <w:r>
              <w:rPr>
                <w:rFonts w:hint="eastAsia" w:ascii="宋体" w:hAnsi="宋体" w:eastAsia="宋体" w:cs="宋体"/>
                <w:color w:val="auto"/>
                <w:highlight w:val="none"/>
                <w:lang w:val="en-US" w:eastAsia="zh-CN"/>
              </w:rPr>
              <w:t>证明材料，时间以所提供证明材料中合同签署时间为准。扫描件加盖供应商公章。</w:t>
            </w:r>
            <w:r>
              <w:rPr>
                <w:rFonts w:hint="eastAsia" w:ascii="宋体" w:hAnsi="宋体" w:cs="宋体"/>
                <w:color w:val="auto"/>
                <w:highlight w:val="none"/>
                <w:lang w:val="en-US" w:eastAsia="zh-CN"/>
              </w:rPr>
              <w:t>以上资料需体现担任总监或总监代表职责，如无体现，需提供其他证明材料（仅有供应商确认的材料不能作为佐证材料），否则不得分。</w:t>
            </w:r>
          </w:p>
          <w:p w14:paraId="71E78E60">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提供响应截止日前三个月内任一月份由供应商为</w:t>
            </w:r>
            <w:r>
              <w:rPr>
                <w:rFonts w:hint="eastAsia" w:ascii="宋体" w:hAnsi="宋体" w:cs="宋体"/>
                <w:color w:val="auto"/>
                <w:highlight w:val="none"/>
                <w:lang w:val="en-US" w:eastAsia="zh-CN"/>
              </w:rPr>
              <w:t>总监代表</w:t>
            </w:r>
            <w:r>
              <w:rPr>
                <w:rFonts w:hint="eastAsia" w:ascii="宋体" w:hAnsi="宋体" w:eastAsia="宋体" w:cs="宋体"/>
                <w:color w:val="auto"/>
                <w:highlight w:val="none"/>
                <w:lang w:val="en-US" w:eastAsia="zh-CN"/>
              </w:rPr>
              <w:t>缴纳的社保证明复印件加盖供应商公章。</w:t>
            </w:r>
          </w:p>
          <w:p w14:paraId="3D335CE6">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w:t>
            </w:r>
          </w:p>
          <w:p w14:paraId="5E7FD0EE">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4）同一业绩只按最高分数计算一次分数， 不重复计算。</w:t>
            </w:r>
          </w:p>
          <w:p w14:paraId="3CCEDCEC">
            <w:pPr>
              <w:widowControl/>
              <w:ind w:firstLine="420" w:firstLineChars="200"/>
              <w:jc w:val="left"/>
              <w:textAlignment w:val="center"/>
              <w:rPr>
                <w:rFonts w:hint="eastAsia" w:ascii="宋体" w:hAnsi="宋体" w:eastAsia="宋体" w:cs="宋体"/>
                <w:color w:val="auto"/>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vMerge w:val="continue"/>
            <w:tcBorders>
              <w:left w:val="single" w:color="000000" w:sz="4" w:space="0"/>
              <w:bottom w:val="single" w:color="000000" w:sz="4" w:space="0"/>
              <w:right w:val="single" w:color="000000" w:sz="4" w:space="0"/>
            </w:tcBorders>
            <w:shd w:val="clear" w:color="auto" w:fill="auto"/>
            <w:vAlign w:val="center"/>
          </w:tcPr>
          <w:p w14:paraId="401D4FDE">
            <w:pPr>
              <w:widowControl/>
              <w:jc w:val="left"/>
              <w:textAlignment w:val="center"/>
              <w:rPr>
                <w:rFonts w:hint="eastAsia" w:ascii="宋体" w:hAnsi="宋体" w:cs="宋体"/>
                <w:szCs w:val="21"/>
                <w:highlight w:val="none"/>
              </w:rPr>
            </w:pPr>
          </w:p>
        </w:tc>
      </w:tr>
      <w:tr w14:paraId="4E69A3F1">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2A77">
            <w:pPr>
              <w:widowControl/>
              <w:jc w:val="center"/>
              <w:textAlignment w:val="center"/>
              <w:rPr>
                <w:rFonts w:hint="eastAsia" w:ascii="宋体" w:hAnsi="宋体"/>
                <w:color w:val="auto"/>
                <w:szCs w:val="21"/>
                <w:lang w:eastAsia="zh-CN"/>
              </w:rPr>
            </w:pPr>
            <w:r>
              <w:rPr>
                <w:rFonts w:hint="eastAsia" w:ascii="宋体" w:hAnsi="宋体"/>
                <w:color w:val="auto"/>
                <w:szCs w:val="21"/>
                <w:lang w:val="en-US" w:eastAsia="zh-CN"/>
              </w:rPr>
              <w:t>拟投入其他人员情况</w:t>
            </w:r>
            <w:r>
              <w:rPr>
                <w:rFonts w:hint="eastAsia" w:ascii="宋体" w:hAnsi="宋体"/>
                <w:color w:val="auto"/>
                <w:szCs w:val="21"/>
                <w:lang w:eastAsia="zh-CN"/>
              </w:rPr>
              <w:t>（</w:t>
            </w:r>
            <w:r>
              <w:rPr>
                <w:rFonts w:hint="eastAsia" w:ascii="宋体" w:hAnsi="宋体"/>
                <w:color w:val="auto"/>
                <w:szCs w:val="21"/>
                <w:lang w:val="en-US" w:eastAsia="zh-CN"/>
              </w:rPr>
              <w:t>14分）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9966">
            <w:pPr>
              <w:pStyle w:val="17"/>
              <w:spacing w:before="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拟投入</w:t>
            </w:r>
            <w:r>
              <w:rPr>
                <w:rFonts w:hint="default" w:ascii="宋体" w:hAnsi="宋体" w:eastAsia="宋体" w:cs="宋体"/>
                <w:color w:val="auto"/>
                <w:kern w:val="2"/>
                <w:sz w:val="21"/>
                <w:szCs w:val="24"/>
                <w:highlight w:val="none"/>
                <w:lang w:val="en-US" w:eastAsia="zh-CN" w:bidi="ar-SA"/>
              </w:rPr>
              <w:t>其他</w:t>
            </w:r>
            <w:r>
              <w:rPr>
                <w:rFonts w:hint="eastAsia" w:ascii="宋体" w:hAnsi="宋体" w:eastAsia="宋体" w:cs="宋体"/>
                <w:color w:val="auto"/>
                <w:kern w:val="2"/>
                <w:sz w:val="21"/>
                <w:szCs w:val="24"/>
                <w:highlight w:val="none"/>
                <w:lang w:val="en-US" w:eastAsia="zh-CN" w:bidi="ar-SA"/>
              </w:rPr>
              <w:t>专业（</w:t>
            </w:r>
            <w:r>
              <w:rPr>
                <w:rFonts w:hint="eastAsia" w:ascii="宋体" w:hAnsi="宋体" w:cs="宋体"/>
                <w:color w:val="auto"/>
                <w:kern w:val="2"/>
                <w:sz w:val="21"/>
                <w:szCs w:val="24"/>
                <w:highlight w:val="none"/>
                <w:lang w:val="en-US" w:eastAsia="zh-CN" w:bidi="ar-SA"/>
              </w:rPr>
              <w:t>房</w:t>
            </w:r>
            <w:r>
              <w:rPr>
                <w:rFonts w:hint="eastAsia" w:ascii="宋体" w:hAnsi="宋体" w:eastAsia="宋体" w:cs="宋体"/>
                <w:color w:val="auto"/>
                <w:kern w:val="2"/>
                <w:sz w:val="21"/>
                <w:szCs w:val="24"/>
                <w:highlight w:val="none"/>
                <w:lang w:val="en-US" w:eastAsia="zh-CN" w:bidi="ar-SA"/>
              </w:rPr>
              <w:t>建、电气、给排水、</w:t>
            </w:r>
            <w:r>
              <w:rPr>
                <w:rFonts w:hint="eastAsia" w:ascii="宋体" w:hAnsi="宋体" w:cs="宋体"/>
                <w:color w:val="auto"/>
                <w:kern w:val="2"/>
                <w:sz w:val="21"/>
                <w:szCs w:val="24"/>
                <w:highlight w:val="none"/>
                <w:lang w:val="en-US" w:eastAsia="zh-CN" w:bidi="ar-SA"/>
              </w:rPr>
              <w:t>机电安装、</w:t>
            </w:r>
            <w:r>
              <w:rPr>
                <w:rFonts w:hint="eastAsia" w:ascii="宋体" w:hAnsi="宋体" w:eastAsia="宋体" w:cs="宋体"/>
                <w:color w:val="auto"/>
                <w:kern w:val="2"/>
                <w:sz w:val="21"/>
                <w:szCs w:val="24"/>
                <w:highlight w:val="none"/>
                <w:lang w:val="en-US" w:eastAsia="zh-CN" w:bidi="ar-SA"/>
              </w:rPr>
              <w:t>工程测量）人员具备</w:t>
            </w:r>
            <w:r>
              <w:rPr>
                <w:rFonts w:hint="eastAsia" w:ascii="宋体" w:hAnsi="宋体" w:cs="宋体"/>
                <w:color w:val="auto"/>
                <w:kern w:val="2"/>
                <w:sz w:val="21"/>
                <w:szCs w:val="24"/>
                <w:highlight w:val="none"/>
                <w:lang w:val="en-US" w:eastAsia="zh-CN" w:bidi="ar-SA"/>
              </w:rPr>
              <w:t>注册监理</w:t>
            </w:r>
            <w:r>
              <w:rPr>
                <w:rFonts w:hint="eastAsia" w:ascii="宋体" w:hAnsi="宋体" w:eastAsia="宋体" w:cs="宋体"/>
                <w:color w:val="auto"/>
                <w:kern w:val="2"/>
                <w:sz w:val="21"/>
                <w:szCs w:val="24"/>
                <w:highlight w:val="none"/>
                <w:lang w:val="en-US" w:eastAsia="zh-CN" w:bidi="ar-SA"/>
              </w:rPr>
              <w:t>工程师</w:t>
            </w:r>
            <w:r>
              <w:rPr>
                <w:rFonts w:hint="eastAsia" w:ascii="宋体" w:hAnsi="宋体" w:cs="宋体"/>
                <w:color w:val="auto"/>
                <w:kern w:val="2"/>
                <w:sz w:val="21"/>
                <w:szCs w:val="24"/>
                <w:highlight w:val="none"/>
                <w:lang w:val="en-US" w:eastAsia="zh-CN" w:bidi="ar-SA"/>
              </w:rPr>
              <w:t>或专监证、</w:t>
            </w:r>
            <w:r>
              <w:rPr>
                <w:rFonts w:hint="eastAsia" w:ascii="宋体" w:hAnsi="宋体" w:eastAsia="宋体" w:cs="宋体"/>
                <w:color w:val="auto"/>
                <w:kern w:val="2"/>
                <w:sz w:val="21"/>
                <w:szCs w:val="24"/>
                <w:highlight w:val="none"/>
                <w:lang w:val="en-US" w:eastAsia="zh-CN" w:bidi="ar-SA"/>
              </w:rPr>
              <w:t>造价</w:t>
            </w:r>
            <w:r>
              <w:rPr>
                <w:rFonts w:hint="eastAsia" w:ascii="宋体" w:hAnsi="宋体" w:cs="宋体"/>
                <w:color w:val="auto"/>
                <w:kern w:val="2"/>
                <w:sz w:val="21"/>
                <w:szCs w:val="24"/>
                <w:highlight w:val="none"/>
                <w:lang w:val="en-US" w:eastAsia="zh-CN" w:bidi="ar-SA"/>
              </w:rPr>
              <w:t>人员具备二级造价师执业资格或以上、安全管理员具有安全生产考核合格证c类或b类的</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提供一个</w:t>
            </w:r>
            <w:r>
              <w:rPr>
                <w:rFonts w:hint="eastAsia" w:ascii="宋体" w:hAnsi="宋体" w:eastAsia="宋体" w:cs="宋体"/>
                <w:color w:val="auto"/>
                <w:kern w:val="2"/>
                <w:sz w:val="21"/>
                <w:szCs w:val="24"/>
                <w:highlight w:val="none"/>
                <w:lang w:val="en-US" w:eastAsia="zh-CN" w:bidi="ar-SA"/>
              </w:rPr>
              <w:t>得</w:t>
            </w:r>
            <w:r>
              <w:rPr>
                <w:rFonts w:hint="eastAsia" w:ascii="宋体" w:hAnsi="宋体" w:cs="宋体"/>
                <w:color w:val="auto"/>
                <w:kern w:val="2"/>
                <w:sz w:val="21"/>
                <w:szCs w:val="24"/>
                <w:highlight w:val="none"/>
                <w:lang w:val="en-US" w:eastAsia="zh-CN" w:bidi="ar-SA"/>
              </w:rPr>
              <w:t>2</w:t>
            </w:r>
            <w:r>
              <w:rPr>
                <w:rFonts w:hint="eastAsia" w:ascii="宋体" w:hAnsi="宋体" w:eastAsia="宋体" w:cs="宋体"/>
                <w:color w:val="auto"/>
                <w:kern w:val="2"/>
                <w:sz w:val="21"/>
                <w:szCs w:val="24"/>
                <w:highlight w:val="none"/>
                <w:lang w:val="en-US" w:eastAsia="zh-CN" w:bidi="ar-SA"/>
              </w:rPr>
              <w:t>分，</w:t>
            </w:r>
            <w:r>
              <w:rPr>
                <w:rFonts w:hint="eastAsia" w:ascii="宋体" w:hAnsi="宋体" w:cs="宋体"/>
                <w:color w:val="auto"/>
                <w:kern w:val="2"/>
                <w:sz w:val="21"/>
                <w:szCs w:val="24"/>
                <w:highlight w:val="none"/>
                <w:lang w:val="en-US" w:eastAsia="zh-CN" w:bidi="ar-SA"/>
              </w:rPr>
              <w:t>本项最高</w:t>
            </w:r>
            <w:r>
              <w:rPr>
                <w:rFonts w:hint="eastAsia" w:ascii="宋体" w:hAnsi="宋体" w:eastAsia="宋体" w:cs="宋体"/>
                <w:color w:val="auto"/>
                <w:kern w:val="2"/>
                <w:sz w:val="21"/>
                <w:szCs w:val="24"/>
                <w:highlight w:val="none"/>
                <w:lang w:val="en-US" w:eastAsia="zh-CN" w:bidi="ar-SA"/>
              </w:rPr>
              <w:t>得</w:t>
            </w:r>
            <w:r>
              <w:rPr>
                <w:rFonts w:hint="eastAsia" w:ascii="宋体" w:hAnsi="宋体" w:cs="宋体"/>
                <w:color w:val="auto"/>
                <w:kern w:val="2"/>
                <w:sz w:val="21"/>
                <w:szCs w:val="24"/>
                <w:highlight w:val="none"/>
                <w:lang w:val="en-US" w:eastAsia="zh-CN" w:bidi="ar-SA"/>
              </w:rPr>
              <w:t>14</w:t>
            </w:r>
            <w:r>
              <w:rPr>
                <w:rFonts w:hint="eastAsia" w:ascii="宋体" w:hAnsi="宋体" w:eastAsia="宋体" w:cs="宋体"/>
                <w:color w:val="auto"/>
                <w:kern w:val="2"/>
                <w:sz w:val="21"/>
                <w:szCs w:val="24"/>
                <w:highlight w:val="none"/>
                <w:lang w:val="en-US" w:eastAsia="zh-CN" w:bidi="ar-SA"/>
              </w:rPr>
              <w:t>分。</w:t>
            </w:r>
          </w:p>
          <w:p w14:paraId="5CEAF9AD">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提供证书扫描件加盖供应商公章。</w:t>
            </w:r>
          </w:p>
          <w:p w14:paraId="16D2D471">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提供响应截止日前三个月内任一月份由供应商为各专业负责人缴纳的社保证明复印件加盖供应商公章。</w:t>
            </w:r>
          </w:p>
          <w:p w14:paraId="5179B3F8">
            <w:pPr>
              <w:widowControl/>
              <w:ind w:firstLine="420" w:firstLineChars="200"/>
              <w:jc w:val="left"/>
              <w:textAlignment w:val="center"/>
              <w:rPr>
                <w:rFonts w:hint="eastAsia" w:ascii="宋体" w:hAnsi="宋体" w:eastAsia="宋体" w:cs="宋体"/>
                <w:color w:val="auto"/>
              </w:rPr>
            </w:pPr>
            <w:r>
              <w:rPr>
                <w:rFonts w:hint="eastAsia" w:ascii="宋体" w:hAnsi="宋体" w:cs="宋体"/>
                <w:color w:val="auto"/>
                <w:highlight w:val="none"/>
                <w:lang w:val="en-US" w:eastAsia="zh-CN"/>
              </w:rPr>
              <w:t>3）</w:t>
            </w:r>
            <w:r>
              <w:rPr>
                <w:rFonts w:hint="eastAsia" w:ascii="宋体" w:hAnsi="宋体" w:eastAsia="宋体" w:cs="宋体"/>
                <w:color w:val="auto"/>
                <w:kern w:val="2"/>
                <w:sz w:val="21"/>
                <w:szCs w:val="24"/>
                <w:highlight w:val="none"/>
                <w:lang w:val="en-US" w:eastAsia="zh-CN" w:bidi="ar-SA"/>
              </w:rPr>
              <w:t>以上人员不得兼任</w:t>
            </w:r>
            <w:r>
              <w:rPr>
                <w:rFonts w:hint="eastAsia" w:ascii="宋体" w:hAnsi="宋体" w:cs="宋体"/>
                <w:color w:val="auto"/>
                <w:kern w:val="2"/>
                <w:sz w:val="21"/>
                <w:szCs w:val="24"/>
                <w:highlight w:val="none"/>
                <w:lang w:val="en-US" w:eastAsia="zh-CN" w:bidi="ar-SA"/>
              </w:rPr>
              <w:t>，同一人只计算一个</w:t>
            </w:r>
            <w:r>
              <w:rPr>
                <w:rFonts w:hint="eastAsia" w:ascii="宋体" w:hAnsi="宋体" w:eastAsia="宋体" w:cs="宋体"/>
                <w:color w:val="auto"/>
                <w:kern w:val="2"/>
                <w:sz w:val="21"/>
                <w:szCs w:val="24"/>
                <w:highlight w:val="none"/>
                <w:lang w:val="en-US" w:eastAsia="zh-CN" w:bidi="ar-SA"/>
              </w:rPr>
              <w:t>。</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E88A">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5906E8DF">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36"/>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36"/>
        <w:ind w:right="-395" w:rightChars="-188" w:firstLine="3360" w:firstLineChars="1600"/>
        <w:rPr>
          <w:rFonts w:hint="eastAsia" w:ascii="宋体" w:hAnsi="宋体" w:cs="宋体"/>
          <w:sz w:val="21"/>
          <w:szCs w:val="21"/>
          <w:lang w:val="en-US" w:eastAsia="zh-CN"/>
        </w:rPr>
      </w:pPr>
    </w:p>
    <w:p w14:paraId="0B721D78">
      <w:pPr>
        <w:pStyle w:val="36"/>
        <w:ind w:right="-395" w:rightChars="-188" w:firstLine="3360" w:firstLineChars="1600"/>
        <w:rPr>
          <w:rFonts w:hint="eastAsia" w:ascii="宋体" w:hAnsi="宋体" w:cs="宋体"/>
          <w:sz w:val="21"/>
          <w:szCs w:val="21"/>
          <w:lang w:val="en-US" w:eastAsia="zh-CN"/>
        </w:rPr>
      </w:pPr>
    </w:p>
    <w:p w14:paraId="57AAF396">
      <w:pPr>
        <w:pStyle w:val="36"/>
        <w:ind w:right="-395" w:rightChars="-188" w:firstLine="3360" w:firstLineChars="1600"/>
        <w:rPr>
          <w:rFonts w:hint="eastAsia" w:ascii="宋体" w:hAnsi="宋体" w:cs="宋体"/>
          <w:sz w:val="21"/>
          <w:szCs w:val="21"/>
          <w:lang w:val="en-US" w:eastAsia="zh-CN"/>
        </w:rPr>
      </w:pPr>
    </w:p>
    <w:p w14:paraId="47384B98">
      <w:pPr>
        <w:pStyle w:val="36"/>
        <w:ind w:right="-395" w:rightChars="-188" w:firstLine="3360" w:firstLineChars="1600"/>
        <w:rPr>
          <w:rFonts w:hint="eastAsia" w:ascii="宋体" w:hAnsi="宋体" w:cs="宋体"/>
          <w:sz w:val="21"/>
          <w:szCs w:val="21"/>
          <w:lang w:val="en-US" w:eastAsia="zh-CN"/>
        </w:rPr>
      </w:pPr>
    </w:p>
    <w:p w14:paraId="68C26E73">
      <w:pPr>
        <w:pStyle w:val="36"/>
        <w:ind w:right="-395" w:rightChars="-188" w:firstLine="3360" w:firstLineChars="1600"/>
        <w:rPr>
          <w:rFonts w:hint="eastAsia" w:ascii="宋体" w:hAnsi="宋体" w:cs="宋体"/>
          <w:sz w:val="21"/>
          <w:szCs w:val="21"/>
          <w:lang w:val="en-US" w:eastAsia="zh-CN"/>
        </w:rPr>
      </w:pPr>
    </w:p>
    <w:p w14:paraId="0749828C">
      <w:pPr>
        <w:pStyle w:val="36"/>
        <w:ind w:right="-395" w:rightChars="-188" w:firstLine="3360" w:firstLineChars="1600"/>
        <w:rPr>
          <w:rFonts w:hint="eastAsia" w:ascii="宋体" w:hAnsi="宋体" w:cs="宋体"/>
          <w:sz w:val="21"/>
          <w:szCs w:val="21"/>
          <w:lang w:val="en-US" w:eastAsia="zh-CN"/>
        </w:rPr>
      </w:pPr>
    </w:p>
    <w:p w14:paraId="3A9A3B14">
      <w:pPr>
        <w:pStyle w:val="36"/>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8D2F495">
      <w:pPr>
        <w:shd w:val="clear" w:color="auto" w:fill="FFFFFF"/>
        <w:adjustRightInd w:val="0"/>
        <w:snapToGrid w:val="0"/>
        <w:spacing w:line="360" w:lineRule="auto"/>
        <w:jc w:val="center"/>
        <w:rPr>
          <w:rFonts w:hint="eastAsia" w:ascii="宋体" w:hAnsi="宋体" w:cs="华文仿宋"/>
          <w:b/>
          <w:bCs/>
          <w:sz w:val="36"/>
          <w:szCs w:val="36"/>
        </w:rPr>
      </w:pPr>
    </w:p>
    <w:p w14:paraId="21CD820A">
      <w:pPr>
        <w:shd w:val="clear" w:color="auto" w:fill="FFFFFF"/>
        <w:adjustRightInd w:val="0"/>
        <w:snapToGrid w:val="0"/>
        <w:spacing w:line="360" w:lineRule="auto"/>
        <w:jc w:val="center"/>
        <w:rPr>
          <w:rFonts w:hint="eastAsia" w:ascii="宋体" w:hAnsi="宋体" w:cs="华文仿宋"/>
          <w:b/>
          <w:bCs/>
          <w:sz w:val="36"/>
          <w:szCs w:val="36"/>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40991FF0">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4.1企业</w:t>
      </w:r>
      <w:r>
        <w:rPr>
          <w:rFonts w:hint="eastAsia" w:ascii="宋体" w:hAnsi="宋体" w:cs="宋体"/>
          <w:b/>
          <w:sz w:val="32"/>
          <w:szCs w:val="32"/>
          <w:lang w:eastAsia="zh-CN"/>
        </w:rPr>
        <w:t>管理</w:t>
      </w:r>
      <w:r>
        <w:rPr>
          <w:rFonts w:hint="eastAsia" w:ascii="宋体" w:hAnsi="宋体" w:cs="宋体"/>
          <w:b/>
          <w:sz w:val="32"/>
          <w:szCs w:val="32"/>
        </w:rPr>
        <w:t>体系</w:t>
      </w:r>
    </w:p>
    <w:p w14:paraId="135655F6">
      <w:pPr>
        <w:pStyle w:val="36"/>
        <w:ind w:firstLine="0" w:firstLineChars="0"/>
        <w:jc w:val="left"/>
        <w:rPr>
          <w:rFonts w:ascii="宋体" w:hAnsi="宋体" w:cs="宋体"/>
          <w:bCs/>
          <w:sz w:val="21"/>
          <w:szCs w:val="21"/>
        </w:rPr>
      </w:pPr>
      <w:r>
        <w:rPr>
          <w:rFonts w:hint="eastAsia" w:ascii="宋体" w:hAnsi="宋体" w:cs="宋体"/>
          <w:bCs/>
          <w:sz w:val="21"/>
          <w:szCs w:val="21"/>
        </w:rPr>
        <w:t>注：</w:t>
      </w:r>
    </w:p>
    <w:p w14:paraId="456CF851">
      <w:pPr>
        <w:pStyle w:val="36"/>
        <w:ind w:firstLine="0" w:firstLineChars="0"/>
        <w:jc w:val="left"/>
        <w:rPr>
          <w:rFonts w:ascii="宋体" w:hAnsi="宋体" w:cs="宋体"/>
          <w:bCs/>
          <w:sz w:val="21"/>
          <w:szCs w:val="21"/>
        </w:rPr>
      </w:pPr>
      <w:r>
        <w:rPr>
          <w:rFonts w:hint="eastAsia" w:ascii="宋体" w:hAnsi="宋体" w:cs="宋体"/>
          <w:bCs/>
          <w:sz w:val="21"/>
          <w:szCs w:val="21"/>
        </w:rPr>
        <w:t xml:space="preserve">    1.</w:t>
      </w:r>
      <w:r>
        <w:rPr>
          <w:rFonts w:hint="eastAsia" w:ascii="宋体" w:hAnsi="宋体" w:cs="宋体"/>
          <w:color w:val="auto"/>
          <w:sz w:val="21"/>
          <w:szCs w:val="21"/>
          <w:lang w:val="en-US" w:eastAsia="zh-CN"/>
        </w:rPr>
        <w:t>供应商</w:t>
      </w:r>
      <w:r>
        <w:rPr>
          <w:rFonts w:hint="eastAsia" w:ascii="宋体" w:hAnsi="宋体" w:cs="宋体"/>
          <w:bCs/>
          <w:sz w:val="21"/>
          <w:szCs w:val="21"/>
        </w:rPr>
        <w:t>应如实</w:t>
      </w:r>
      <w:r>
        <w:rPr>
          <w:rFonts w:hint="eastAsia" w:ascii="宋体" w:hAnsi="宋体" w:cs="宋体"/>
          <w:bCs/>
          <w:sz w:val="21"/>
          <w:szCs w:val="21"/>
          <w:lang w:eastAsia="zh-CN"/>
        </w:rPr>
        <w:t>提供</w:t>
      </w:r>
      <w:r>
        <w:rPr>
          <w:rFonts w:hint="eastAsia" w:ascii="宋体" w:hAnsi="宋体" w:cs="宋体"/>
          <w:bCs/>
          <w:sz w:val="21"/>
          <w:szCs w:val="21"/>
        </w:rPr>
        <w:t>证书复印件并加盖公章，不得弄虚作假；</w:t>
      </w:r>
    </w:p>
    <w:p w14:paraId="7856D025">
      <w:pPr>
        <w:pStyle w:val="36"/>
        <w:ind w:firstLine="420" w:firstLineChars="0"/>
        <w:jc w:val="left"/>
        <w:rPr>
          <w:rFonts w:ascii="宋体" w:hAnsi="宋体" w:cs="宋体"/>
          <w:sz w:val="21"/>
          <w:szCs w:val="21"/>
        </w:rPr>
      </w:pPr>
      <w:r>
        <w:rPr>
          <w:rFonts w:hint="eastAsia" w:ascii="宋体" w:hAnsi="宋体" w:cs="宋体"/>
          <w:bCs/>
          <w:sz w:val="21"/>
          <w:szCs w:val="21"/>
        </w:rPr>
        <w:t>2.</w:t>
      </w:r>
      <w:r>
        <w:rPr>
          <w:rFonts w:hint="eastAsia" w:ascii="宋体" w:hAnsi="宋体" w:cs="宋体"/>
          <w:sz w:val="21"/>
          <w:szCs w:val="21"/>
        </w:rPr>
        <w:t>证书须在有效期内。</w:t>
      </w:r>
    </w:p>
    <w:p w14:paraId="49A08310">
      <w:pPr>
        <w:pStyle w:val="36"/>
        <w:ind w:firstLine="480"/>
        <w:jc w:val="center"/>
        <w:rPr>
          <w:rFonts w:ascii="宋体" w:hAnsi="宋体" w:cs="宋体"/>
          <w:sz w:val="24"/>
        </w:rPr>
      </w:pPr>
    </w:p>
    <w:p w14:paraId="4C984211">
      <w:pPr>
        <w:pStyle w:val="36"/>
        <w:ind w:firstLine="480"/>
        <w:jc w:val="center"/>
        <w:rPr>
          <w:rFonts w:ascii="宋体" w:hAnsi="宋体" w:cs="宋体"/>
          <w:sz w:val="24"/>
        </w:rPr>
      </w:pPr>
    </w:p>
    <w:p w14:paraId="67E3300A">
      <w:pPr>
        <w:pStyle w:val="36"/>
        <w:ind w:firstLine="480"/>
        <w:jc w:val="center"/>
        <w:rPr>
          <w:rFonts w:ascii="宋体" w:hAnsi="宋体" w:cs="宋体"/>
          <w:sz w:val="24"/>
        </w:rPr>
      </w:pPr>
    </w:p>
    <w:p w14:paraId="50F7E39C">
      <w:pPr>
        <w:pStyle w:val="36"/>
        <w:ind w:firstLine="480"/>
        <w:jc w:val="center"/>
        <w:rPr>
          <w:rFonts w:ascii="宋体" w:hAnsi="宋体" w:cs="宋体"/>
          <w:sz w:val="24"/>
        </w:rPr>
      </w:pPr>
    </w:p>
    <w:p w14:paraId="690EE016">
      <w:pPr>
        <w:pStyle w:val="36"/>
        <w:ind w:firstLine="480"/>
        <w:jc w:val="center"/>
        <w:rPr>
          <w:rFonts w:ascii="宋体" w:hAnsi="宋体" w:cs="宋体"/>
          <w:sz w:val="24"/>
        </w:rPr>
      </w:pPr>
    </w:p>
    <w:p w14:paraId="62797497">
      <w:pPr>
        <w:pStyle w:val="36"/>
        <w:ind w:firstLine="480"/>
        <w:jc w:val="center"/>
        <w:rPr>
          <w:rFonts w:ascii="宋体" w:hAnsi="宋体" w:cs="宋体"/>
          <w:sz w:val="24"/>
        </w:rPr>
      </w:pPr>
    </w:p>
    <w:p w14:paraId="24F540EE">
      <w:pPr>
        <w:pStyle w:val="36"/>
        <w:ind w:firstLine="480"/>
        <w:jc w:val="center"/>
        <w:rPr>
          <w:rFonts w:ascii="宋体" w:hAnsi="宋体" w:cs="宋体"/>
          <w:sz w:val="24"/>
        </w:rPr>
      </w:pPr>
    </w:p>
    <w:p w14:paraId="33A41FC1">
      <w:pPr>
        <w:pStyle w:val="36"/>
        <w:ind w:firstLine="480"/>
        <w:jc w:val="center"/>
        <w:rPr>
          <w:rFonts w:ascii="宋体" w:hAnsi="宋体" w:cs="宋体"/>
          <w:sz w:val="24"/>
        </w:rPr>
      </w:pPr>
    </w:p>
    <w:p w14:paraId="3BB3914C">
      <w:pPr>
        <w:pStyle w:val="36"/>
        <w:ind w:firstLine="480"/>
        <w:jc w:val="center"/>
        <w:rPr>
          <w:rFonts w:ascii="宋体" w:hAnsi="宋体" w:cs="宋体"/>
          <w:sz w:val="24"/>
        </w:rPr>
      </w:pPr>
    </w:p>
    <w:p w14:paraId="5884BEF4">
      <w:pPr>
        <w:pStyle w:val="36"/>
        <w:ind w:firstLine="480"/>
        <w:jc w:val="center"/>
        <w:rPr>
          <w:rFonts w:ascii="宋体" w:hAnsi="宋体" w:cs="宋体"/>
          <w:sz w:val="24"/>
        </w:rPr>
      </w:pPr>
    </w:p>
    <w:p w14:paraId="417E4C52">
      <w:pPr>
        <w:pStyle w:val="36"/>
        <w:ind w:firstLine="480"/>
        <w:jc w:val="center"/>
        <w:rPr>
          <w:rFonts w:ascii="宋体" w:hAnsi="宋体" w:cs="宋体"/>
          <w:sz w:val="24"/>
        </w:rPr>
      </w:pPr>
    </w:p>
    <w:p w14:paraId="27EEF4A5">
      <w:pPr>
        <w:pStyle w:val="36"/>
        <w:ind w:firstLine="480"/>
        <w:jc w:val="center"/>
        <w:rPr>
          <w:rFonts w:ascii="宋体" w:hAnsi="宋体" w:cs="宋体"/>
          <w:sz w:val="24"/>
        </w:rPr>
      </w:pPr>
    </w:p>
    <w:p w14:paraId="34CC7FC3">
      <w:pPr>
        <w:pStyle w:val="36"/>
        <w:ind w:firstLine="480"/>
        <w:jc w:val="center"/>
        <w:rPr>
          <w:rFonts w:ascii="宋体" w:hAnsi="宋体" w:cs="宋体"/>
          <w:sz w:val="24"/>
        </w:rPr>
      </w:pPr>
    </w:p>
    <w:p w14:paraId="2FF6C649">
      <w:pPr>
        <w:pStyle w:val="36"/>
        <w:ind w:firstLine="480"/>
        <w:jc w:val="center"/>
        <w:rPr>
          <w:rFonts w:ascii="宋体" w:hAnsi="宋体" w:cs="宋体"/>
          <w:sz w:val="24"/>
        </w:rPr>
      </w:pPr>
    </w:p>
    <w:p w14:paraId="17A8526D">
      <w:pPr>
        <w:pStyle w:val="36"/>
        <w:ind w:firstLine="480"/>
        <w:jc w:val="center"/>
        <w:rPr>
          <w:rFonts w:ascii="宋体" w:hAnsi="宋体" w:cs="宋体"/>
          <w:sz w:val="24"/>
        </w:rPr>
      </w:pPr>
    </w:p>
    <w:p w14:paraId="62978348">
      <w:pPr>
        <w:pStyle w:val="36"/>
        <w:ind w:firstLine="480"/>
        <w:jc w:val="center"/>
        <w:rPr>
          <w:rFonts w:ascii="宋体" w:hAnsi="宋体" w:cs="宋体"/>
          <w:sz w:val="24"/>
        </w:rPr>
      </w:pPr>
    </w:p>
    <w:p w14:paraId="243807B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ECF63F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8A5FA6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CA8D34">
      <w:pPr>
        <w:spacing w:line="360" w:lineRule="auto"/>
        <w:ind w:firstLine="3600" w:firstLineChars="1500"/>
        <w:rPr>
          <w:rFonts w:hint="eastAsia" w:ascii="宋体" w:hAnsi="宋体" w:cs="宋体"/>
          <w:sz w:val="24"/>
        </w:rPr>
      </w:pPr>
    </w:p>
    <w:p w14:paraId="46304872">
      <w:pPr>
        <w:pStyle w:val="36"/>
        <w:ind w:firstLine="0" w:firstLineChars="0"/>
        <w:jc w:val="center"/>
        <w:rPr>
          <w:rFonts w:ascii="宋体" w:hAnsi="宋体" w:cs="宋体"/>
          <w:b/>
          <w:bCs/>
          <w:sz w:val="32"/>
          <w:szCs w:val="32"/>
        </w:rPr>
      </w:pPr>
    </w:p>
    <w:p w14:paraId="77B42E69">
      <w:pPr>
        <w:pStyle w:val="36"/>
        <w:ind w:firstLine="0" w:firstLineChars="0"/>
        <w:jc w:val="center"/>
        <w:rPr>
          <w:rFonts w:ascii="宋体" w:hAnsi="宋体" w:cs="宋体"/>
          <w:b/>
          <w:bCs/>
          <w:sz w:val="32"/>
          <w:szCs w:val="32"/>
        </w:rPr>
      </w:pPr>
    </w:p>
    <w:p w14:paraId="713F94ED">
      <w:pPr>
        <w:pStyle w:val="36"/>
        <w:ind w:firstLine="0" w:firstLineChars="0"/>
        <w:jc w:val="center"/>
        <w:rPr>
          <w:rFonts w:ascii="宋体" w:hAnsi="宋体" w:cs="宋体"/>
          <w:b/>
          <w:bCs/>
          <w:sz w:val="32"/>
          <w:szCs w:val="32"/>
        </w:rPr>
      </w:pPr>
    </w:p>
    <w:p w14:paraId="3BCD5FC2">
      <w:pPr>
        <w:pStyle w:val="36"/>
        <w:ind w:firstLine="0" w:firstLineChars="0"/>
        <w:jc w:val="center"/>
        <w:rPr>
          <w:rFonts w:ascii="宋体" w:hAnsi="宋体" w:cs="宋体"/>
          <w:b/>
          <w:bCs/>
          <w:sz w:val="32"/>
          <w:szCs w:val="32"/>
        </w:rPr>
      </w:pPr>
    </w:p>
    <w:p w14:paraId="2E50EA8A">
      <w:pPr>
        <w:pStyle w:val="36"/>
        <w:ind w:firstLine="0" w:firstLineChars="0"/>
        <w:jc w:val="center"/>
        <w:rPr>
          <w:rFonts w:ascii="宋体" w:hAnsi="宋体" w:cs="宋体"/>
          <w:b/>
          <w:bCs/>
          <w:sz w:val="32"/>
          <w:szCs w:val="32"/>
        </w:rPr>
      </w:pPr>
    </w:p>
    <w:p w14:paraId="7415C5CA">
      <w:pPr>
        <w:pStyle w:val="36"/>
        <w:ind w:firstLine="0" w:firstLineChars="0"/>
        <w:jc w:val="center"/>
        <w:rPr>
          <w:rFonts w:ascii="宋体" w:hAnsi="宋体" w:cs="宋体"/>
          <w:b/>
          <w:bCs/>
          <w:sz w:val="32"/>
          <w:szCs w:val="32"/>
        </w:rPr>
      </w:pPr>
    </w:p>
    <w:p w14:paraId="1E07C2EA">
      <w:pPr>
        <w:pStyle w:val="36"/>
        <w:ind w:firstLine="0" w:firstLineChars="0"/>
        <w:jc w:val="center"/>
        <w:rPr>
          <w:rFonts w:ascii="宋体" w:hAnsi="宋体" w:cs="宋体"/>
          <w:b/>
          <w:bCs/>
          <w:sz w:val="32"/>
          <w:szCs w:val="32"/>
        </w:rPr>
      </w:pPr>
    </w:p>
    <w:p w14:paraId="284B0BBA">
      <w:pPr>
        <w:pStyle w:val="36"/>
        <w:ind w:firstLine="0" w:firstLineChars="0"/>
        <w:jc w:val="center"/>
        <w:rPr>
          <w:rFonts w:ascii="宋体" w:hAnsi="宋体" w:cs="宋体"/>
          <w:b/>
          <w:bCs/>
          <w:sz w:val="32"/>
          <w:szCs w:val="32"/>
        </w:rPr>
      </w:pPr>
    </w:p>
    <w:p w14:paraId="0BA00B6F">
      <w:pPr>
        <w:pStyle w:val="36"/>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lang w:val="en-US" w:eastAsia="zh-CN"/>
        </w:rPr>
        <w:t>获奖监理</w:t>
      </w:r>
      <w:r>
        <w:rPr>
          <w:rFonts w:hint="eastAsia" w:ascii="宋体" w:hAnsi="宋体" w:cs="宋体"/>
          <w:b/>
          <w:sz w:val="32"/>
          <w:szCs w:val="32"/>
        </w:rPr>
        <w:t>业绩</w:t>
      </w:r>
    </w:p>
    <w:tbl>
      <w:tblPr>
        <w:tblStyle w:val="29"/>
        <w:tblpPr w:leftFromText="180" w:rightFromText="180" w:vertAnchor="text" w:horzAnchor="page" w:tblpX="1083" w:tblpY="19"/>
        <w:tblOverlap w:val="never"/>
        <w:tblW w:w="978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55"/>
        <w:gridCol w:w="1680"/>
        <w:gridCol w:w="2220"/>
        <w:gridCol w:w="1530"/>
        <w:gridCol w:w="1575"/>
        <w:gridCol w:w="1920"/>
      </w:tblGrid>
      <w:tr w14:paraId="158C9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55" w:type="dxa"/>
            <w:tcBorders>
              <w:bottom w:val="single" w:color="000000" w:sz="6" w:space="0"/>
              <w:right w:val="single" w:color="000000" w:sz="6" w:space="0"/>
            </w:tcBorders>
          </w:tcPr>
          <w:p w14:paraId="37012DCB">
            <w:pPr>
              <w:pStyle w:val="42"/>
              <w:spacing w:before="105"/>
              <w:ind w:left="203"/>
              <w:rPr>
                <w:b/>
              </w:rPr>
            </w:pPr>
            <w:r>
              <w:rPr>
                <w:b/>
              </w:rPr>
              <w:t>序号</w:t>
            </w:r>
          </w:p>
        </w:tc>
        <w:tc>
          <w:tcPr>
            <w:tcW w:w="1680" w:type="dxa"/>
            <w:tcBorders>
              <w:left w:val="single" w:color="000000" w:sz="6" w:space="0"/>
              <w:bottom w:val="single" w:color="000000" w:sz="6" w:space="0"/>
              <w:right w:val="single" w:color="000000" w:sz="6" w:space="0"/>
            </w:tcBorders>
          </w:tcPr>
          <w:p w14:paraId="614DB933">
            <w:pPr>
              <w:pStyle w:val="42"/>
              <w:spacing w:before="105"/>
              <w:jc w:val="center"/>
              <w:rPr>
                <w:b/>
                <w:lang w:val="en-US"/>
              </w:rPr>
            </w:pPr>
            <w:r>
              <w:rPr>
                <w:rFonts w:hint="eastAsia"/>
                <w:b/>
                <w:lang w:val="en-US" w:eastAsia="zh-CN"/>
              </w:rPr>
              <w:t>用</w:t>
            </w:r>
            <w:r>
              <w:rPr>
                <w:rFonts w:hint="eastAsia"/>
                <w:b/>
                <w:lang w:val="en-US"/>
              </w:rPr>
              <w:t>户名称</w:t>
            </w:r>
          </w:p>
        </w:tc>
        <w:tc>
          <w:tcPr>
            <w:tcW w:w="2220" w:type="dxa"/>
            <w:tcBorders>
              <w:left w:val="single" w:color="000000" w:sz="6" w:space="0"/>
              <w:bottom w:val="single" w:color="000000" w:sz="6" w:space="0"/>
              <w:right w:val="single" w:color="000000" w:sz="6" w:space="0"/>
            </w:tcBorders>
          </w:tcPr>
          <w:p w14:paraId="4D00776F">
            <w:pPr>
              <w:pStyle w:val="42"/>
              <w:spacing w:before="105"/>
              <w:jc w:val="center"/>
              <w:rPr>
                <w:b/>
              </w:rPr>
            </w:pPr>
            <w:r>
              <w:rPr>
                <w:b/>
              </w:rPr>
              <w:t>项目</w:t>
            </w:r>
            <w:r>
              <w:rPr>
                <w:rFonts w:hint="eastAsia"/>
                <w:b/>
              </w:rPr>
              <w:t>主要</w:t>
            </w:r>
            <w:r>
              <w:rPr>
                <w:b/>
              </w:rPr>
              <w:t>内容</w:t>
            </w:r>
          </w:p>
        </w:tc>
        <w:tc>
          <w:tcPr>
            <w:tcW w:w="1530" w:type="dxa"/>
            <w:tcBorders>
              <w:left w:val="single" w:color="000000" w:sz="6" w:space="0"/>
              <w:bottom w:val="single" w:color="000000" w:sz="6" w:space="0"/>
              <w:right w:val="single" w:color="000000" w:sz="6" w:space="0"/>
            </w:tcBorders>
          </w:tcPr>
          <w:p w14:paraId="0FD38D30">
            <w:pPr>
              <w:pStyle w:val="42"/>
              <w:spacing w:before="105"/>
              <w:jc w:val="center"/>
              <w:rPr>
                <w:rFonts w:hint="default"/>
                <w:b/>
                <w:lang w:val="en-US"/>
              </w:rPr>
            </w:pPr>
            <w:r>
              <w:rPr>
                <w:rFonts w:hint="eastAsia"/>
                <w:b/>
                <w:lang w:val="en-US" w:eastAsia="zh-CN"/>
              </w:rPr>
              <w:t>获奖时间</w:t>
            </w:r>
          </w:p>
        </w:tc>
        <w:tc>
          <w:tcPr>
            <w:tcW w:w="1575" w:type="dxa"/>
            <w:tcBorders>
              <w:left w:val="single" w:color="000000" w:sz="6" w:space="0"/>
              <w:bottom w:val="single" w:color="000000" w:sz="6" w:space="0"/>
              <w:right w:val="single" w:color="000000" w:sz="6" w:space="0"/>
            </w:tcBorders>
          </w:tcPr>
          <w:p w14:paraId="372B2D1C">
            <w:pPr>
              <w:pStyle w:val="42"/>
              <w:spacing w:before="105"/>
              <w:ind w:left="216"/>
              <w:rPr>
                <w:b/>
              </w:rPr>
            </w:pPr>
            <w:r>
              <w:rPr>
                <w:rFonts w:hint="eastAsia"/>
                <w:b/>
              </w:rPr>
              <w:t>资质要求</w:t>
            </w:r>
          </w:p>
        </w:tc>
        <w:tc>
          <w:tcPr>
            <w:tcW w:w="1920" w:type="dxa"/>
            <w:tcBorders>
              <w:left w:val="single" w:color="000000" w:sz="6" w:space="0"/>
              <w:bottom w:val="single" w:color="000000" w:sz="6" w:space="0"/>
            </w:tcBorders>
          </w:tcPr>
          <w:p w14:paraId="116DCE46">
            <w:pPr>
              <w:pStyle w:val="42"/>
              <w:spacing w:before="105"/>
              <w:ind w:left="0" w:leftChars="0" w:firstLine="0" w:firstLineChars="0"/>
              <w:jc w:val="center"/>
              <w:rPr>
                <w:rFonts w:hint="default" w:eastAsia="宋体"/>
                <w:b/>
                <w:lang w:val="en-US" w:eastAsia="zh-CN"/>
              </w:rPr>
            </w:pPr>
            <w:r>
              <w:rPr>
                <w:rFonts w:hint="eastAsia"/>
                <w:b/>
                <w:lang w:val="en-US" w:eastAsia="zh-CN"/>
              </w:rPr>
              <w:t>奖项类别</w:t>
            </w:r>
          </w:p>
        </w:tc>
      </w:tr>
      <w:tr w14:paraId="05A53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55" w:type="dxa"/>
            <w:tcBorders>
              <w:top w:val="single" w:color="000000" w:sz="6" w:space="0"/>
              <w:bottom w:val="single" w:color="000000" w:sz="6" w:space="0"/>
              <w:right w:val="single" w:color="000000" w:sz="6" w:space="0"/>
            </w:tcBorders>
          </w:tcPr>
          <w:p w14:paraId="46433D69">
            <w:pPr>
              <w:pStyle w:val="42"/>
              <w:jc w:val="center"/>
              <w:rPr>
                <w:rFonts w:hint="eastAsia" w:ascii="Times New Roman" w:eastAsia="宋体"/>
                <w:sz w:val="20"/>
                <w:lang w:val="en-US" w:eastAsia="zh-CN"/>
              </w:rPr>
            </w:pPr>
            <w:r>
              <w:rPr>
                <w:rFonts w:hint="eastAsia" w:ascii="Times New Roman"/>
                <w:sz w:val="20"/>
                <w:lang w:val="en-US" w:eastAsia="zh-CN"/>
              </w:rPr>
              <w:t>1</w:t>
            </w:r>
          </w:p>
        </w:tc>
        <w:tc>
          <w:tcPr>
            <w:tcW w:w="1680" w:type="dxa"/>
            <w:tcBorders>
              <w:top w:val="single" w:color="000000" w:sz="6" w:space="0"/>
              <w:left w:val="single" w:color="000000" w:sz="6" w:space="0"/>
              <w:bottom w:val="single" w:color="000000" w:sz="6" w:space="0"/>
              <w:right w:val="single" w:color="000000" w:sz="6" w:space="0"/>
            </w:tcBorders>
          </w:tcPr>
          <w:p w14:paraId="5B3DB689">
            <w:pPr>
              <w:pStyle w:val="42"/>
              <w:rPr>
                <w:rFonts w:ascii="Times New Roman"/>
                <w:sz w:val="20"/>
              </w:rPr>
            </w:pPr>
          </w:p>
        </w:tc>
        <w:tc>
          <w:tcPr>
            <w:tcW w:w="2220" w:type="dxa"/>
            <w:tcBorders>
              <w:top w:val="single" w:color="000000" w:sz="6" w:space="0"/>
              <w:left w:val="single" w:color="000000" w:sz="6" w:space="0"/>
              <w:bottom w:val="single" w:color="000000" w:sz="6" w:space="0"/>
              <w:right w:val="single" w:color="000000" w:sz="6" w:space="0"/>
            </w:tcBorders>
          </w:tcPr>
          <w:p w14:paraId="18C6B83A">
            <w:pPr>
              <w:pStyle w:val="42"/>
              <w:rPr>
                <w:rFonts w:ascii="Times New Roman"/>
                <w:sz w:val="20"/>
                <w:lang w:val="en-US"/>
              </w:rPr>
            </w:pPr>
          </w:p>
        </w:tc>
        <w:tc>
          <w:tcPr>
            <w:tcW w:w="1530" w:type="dxa"/>
            <w:tcBorders>
              <w:top w:val="single" w:color="000000" w:sz="6" w:space="0"/>
              <w:left w:val="single" w:color="000000" w:sz="6" w:space="0"/>
              <w:bottom w:val="single" w:color="000000" w:sz="6" w:space="0"/>
              <w:right w:val="single" w:color="000000" w:sz="6" w:space="0"/>
            </w:tcBorders>
          </w:tcPr>
          <w:p w14:paraId="62960CEF">
            <w:pPr>
              <w:pStyle w:val="42"/>
              <w:rPr>
                <w:rFonts w:ascii="Times New Roman"/>
                <w:sz w:val="20"/>
              </w:rPr>
            </w:pPr>
          </w:p>
        </w:tc>
        <w:tc>
          <w:tcPr>
            <w:tcW w:w="1575" w:type="dxa"/>
            <w:tcBorders>
              <w:top w:val="single" w:color="000000" w:sz="6" w:space="0"/>
              <w:left w:val="single" w:color="000000" w:sz="6" w:space="0"/>
              <w:bottom w:val="single" w:color="000000" w:sz="6" w:space="0"/>
              <w:right w:val="single" w:color="000000" w:sz="6" w:space="0"/>
            </w:tcBorders>
          </w:tcPr>
          <w:p w14:paraId="1E27C923">
            <w:pPr>
              <w:pStyle w:val="42"/>
              <w:rPr>
                <w:rFonts w:ascii="Times New Roman"/>
                <w:sz w:val="20"/>
              </w:rPr>
            </w:pPr>
          </w:p>
        </w:tc>
        <w:tc>
          <w:tcPr>
            <w:tcW w:w="1920" w:type="dxa"/>
            <w:tcBorders>
              <w:top w:val="single" w:color="000000" w:sz="6" w:space="0"/>
              <w:left w:val="single" w:color="000000" w:sz="6" w:space="0"/>
              <w:bottom w:val="single" w:color="000000" w:sz="6" w:space="0"/>
            </w:tcBorders>
          </w:tcPr>
          <w:p w14:paraId="6554555F">
            <w:pPr>
              <w:pStyle w:val="42"/>
              <w:rPr>
                <w:rFonts w:ascii="Times New Roman"/>
                <w:sz w:val="20"/>
              </w:rPr>
            </w:pPr>
          </w:p>
        </w:tc>
      </w:tr>
      <w:tr w14:paraId="76F20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55" w:type="dxa"/>
            <w:tcBorders>
              <w:top w:val="single" w:color="000000" w:sz="6" w:space="0"/>
              <w:bottom w:val="single" w:color="000000" w:sz="6" w:space="0"/>
              <w:right w:val="single" w:color="000000" w:sz="6" w:space="0"/>
            </w:tcBorders>
          </w:tcPr>
          <w:p w14:paraId="703FCCA4">
            <w:pPr>
              <w:pStyle w:val="42"/>
              <w:jc w:val="center"/>
              <w:rPr>
                <w:rFonts w:hint="eastAsia" w:ascii="Times New Roman" w:eastAsia="宋体"/>
                <w:sz w:val="20"/>
                <w:lang w:val="en-US" w:eastAsia="zh-CN"/>
              </w:rPr>
            </w:pPr>
            <w:r>
              <w:rPr>
                <w:rFonts w:hint="eastAsia" w:ascii="Times New Roman"/>
                <w:sz w:val="20"/>
                <w:lang w:val="en-US" w:eastAsia="zh-CN"/>
              </w:rPr>
              <w:t>2</w:t>
            </w:r>
          </w:p>
        </w:tc>
        <w:tc>
          <w:tcPr>
            <w:tcW w:w="1680" w:type="dxa"/>
            <w:tcBorders>
              <w:top w:val="single" w:color="000000" w:sz="6" w:space="0"/>
              <w:left w:val="single" w:color="000000" w:sz="6" w:space="0"/>
              <w:bottom w:val="single" w:color="000000" w:sz="6" w:space="0"/>
              <w:right w:val="single" w:color="000000" w:sz="6" w:space="0"/>
            </w:tcBorders>
          </w:tcPr>
          <w:p w14:paraId="21BA14C4">
            <w:pPr>
              <w:pStyle w:val="42"/>
              <w:rPr>
                <w:rFonts w:ascii="Times New Roman"/>
                <w:sz w:val="20"/>
              </w:rPr>
            </w:pPr>
          </w:p>
        </w:tc>
        <w:tc>
          <w:tcPr>
            <w:tcW w:w="2220" w:type="dxa"/>
            <w:tcBorders>
              <w:top w:val="single" w:color="000000" w:sz="6" w:space="0"/>
              <w:left w:val="single" w:color="000000" w:sz="6" w:space="0"/>
              <w:bottom w:val="single" w:color="000000" w:sz="6" w:space="0"/>
              <w:right w:val="single" w:color="000000" w:sz="6" w:space="0"/>
            </w:tcBorders>
          </w:tcPr>
          <w:p w14:paraId="26A27EDF">
            <w:pPr>
              <w:pStyle w:val="42"/>
              <w:rPr>
                <w:rFonts w:ascii="Times New Roman"/>
                <w:sz w:val="20"/>
              </w:rPr>
            </w:pPr>
          </w:p>
        </w:tc>
        <w:tc>
          <w:tcPr>
            <w:tcW w:w="1530" w:type="dxa"/>
            <w:tcBorders>
              <w:top w:val="single" w:color="000000" w:sz="6" w:space="0"/>
              <w:left w:val="single" w:color="000000" w:sz="6" w:space="0"/>
              <w:bottom w:val="single" w:color="000000" w:sz="6" w:space="0"/>
              <w:right w:val="single" w:color="000000" w:sz="6" w:space="0"/>
            </w:tcBorders>
          </w:tcPr>
          <w:p w14:paraId="7E830191">
            <w:pPr>
              <w:pStyle w:val="42"/>
              <w:rPr>
                <w:rFonts w:ascii="Times New Roman"/>
                <w:sz w:val="20"/>
              </w:rPr>
            </w:pPr>
          </w:p>
        </w:tc>
        <w:tc>
          <w:tcPr>
            <w:tcW w:w="1575" w:type="dxa"/>
            <w:tcBorders>
              <w:top w:val="single" w:color="000000" w:sz="6" w:space="0"/>
              <w:left w:val="single" w:color="000000" w:sz="6" w:space="0"/>
              <w:bottom w:val="single" w:color="000000" w:sz="6" w:space="0"/>
              <w:right w:val="single" w:color="000000" w:sz="6" w:space="0"/>
            </w:tcBorders>
          </w:tcPr>
          <w:p w14:paraId="4CD28856">
            <w:pPr>
              <w:pStyle w:val="42"/>
              <w:rPr>
                <w:rFonts w:ascii="Times New Roman"/>
                <w:sz w:val="20"/>
              </w:rPr>
            </w:pPr>
          </w:p>
        </w:tc>
        <w:tc>
          <w:tcPr>
            <w:tcW w:w="1920" w:type="dxa"/>
            <w:tcBorders>
              <w:top w:val="single" w:color="000000" w:sz="6" w:space="0"/>
              <w:left w:val="single" w:color="000000" w:sz="6" w:space="0"/>
              <w:bottom w:val="single" w:color="000000" w:sz="6" w:space="0"/>
            </w:tcBorders>
          </w:tcPr>
          <w:p w14:paraId="110EC902">
            <w:pPr>
              <w:pStyle w:val="42"/>
              <w:rPr>
                <w:rFonts w:ascii="Times New Roman"/>
                <w:sz w:val="20"/>
              </w:rPr>
            </w:pPr>
          </w:p>
        </w:tc>
      </w:tr>
      <w:tr w14:paraId="5100B9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55" w:type="dxa"/>
            <w:tcBorders>
              <w:top w:val="single" w:color="000000" w:sz="6" w:space="0"/>
              <w:bottom w:val="single" w:color="000000" w:sz="6" w:space="0"/>
              <w:right w:val="single" w:color="000000" w:sz="6" w:space="0"/>
            </w:tcBorders>
          </w:tcPr>
          <w:p w14:paraId="2E60F817">
            <w:pPr>
              <w:pStyle w:val="42"/>
              <w:jc w:val="center"/>
              <w:rPr>
                <w:rFonts w:hint="eastAsia" w:ascii="Times New Roman" w:eastAsia="宋体"/>
                <w:sz w:val="20"/>
                <w:lang w:val="en-US" w:eastAsia="zh-CN"/>
              </w:rPr>
            </w:pPr>
            <w:r>
              <w:rPr>
                <w:rFonts w:hint="eastAsia" w:ascii="Times New Roman"/>
                <w:sz w:val="20"/>
                <w:lang w:val="en-US" w:eastAsia="zh-CN"/>
              </w:rPr>
              <w:t>3</w:t>
            </w:r>
          </w:p>
        </w:tc>
        <w:tc>
          <w:tcPr>
            <w:tcW w:w="1680" w:type="dxa"/>
            <w:tcBorders>
              <w:top w:val="single" w:color="000000" w:sz="6" w:space="0"/>
              <w:left w:val="single" w:color="000000" w:sz="6" w:space="0"/>
              <w:bottom w:val="single" w:color="000000" w:sz="6" w:space="0"/>
              <w:right w:val="single" w:color="000000" w:sz="6" w:space="0"/>
            </w:tcBorders>
          </w:tcPr>
          <w:p w14:paraId="66685A92">
            <w:pPr>
              <w:pStyle w:val="42"/>
              <w:rPr>
                <w:rFonts w:ascii="Times New Roman"/>
                <w:sz w:val="20"/>
              </w:rPr>
            </w:pPr>
          </w:p>
        </w:tc>
        <w:tc>
          <w:tcPr>
            <w:tcW w:w="2220" w:type="dxa"/>
            <w:tcBorders>
              <w:top w:val="single" w:color="000000" w:sz="6" w:space="0"/>
              <w:left w:val="single" w:color="000000" w:sz="6" w:space="0"/>
              <w:bottom w:val="single" w:color="000000" w:sz="6" w:space="0"/>
              <w:right w:val="single" w:color="000000" w:sz="6" w:space="0"/>
            </w:tcBorders>
          </w:tcPr>
          <w:p w14:paraId="2A0BCBA4">
            <w:pPr>
              <w:rPr>
                <w:sz w:val="20"/>
              </w:rPr>
            </w:pPr>
          </w:p>
        </w:tc>
        <w:tc>
          <w:tcPr>
            <w:tcW w:w="1530" w:type="dxa"/>
            <w:tcBorders>
              <w:top w:val="single" w:color="000000" w:sz="6" w:space="0"/>
              <w:left w:val="single" w:color="000000" w:sz="6" w:space="0"/>
              <w:bottom w:val="single" w:color="000000" w:sz="6" w:space="0"/>
              <w:right w:val="single" w:color="000000" w:sz="6" w:space="0"/>
            </w:tcBorders>
          </w:tcPr>
          <w:p w14:paraId="3D3FAF12">
            <w:pPr>
              <w:pStyle w:val="42"/>
              <w:rPr>
                <w:rFonts w:ascii="Times New Roman"/>
                <w:sz w:val="20"/>
              </w:rPr>
            </w:pPr>
          </w:p>
        </w:tc>
        <w:tc>
          <w:tcPr>
            <w:tcW w:w="1575" w:type="dxa"/>
            <w:tcBorders>
              <w:top w:val="single" w:color="000000" w:sz="6" w:space="0"/>
              <w:left w:val="single" w:color="000000" w:sz="6" w:space="0"/>
              <w:bottom w:val="single" w:color="000000" w:sz="6" w:space="0"/>
              <w:right w:val="single" w:color="000000" w:sz="6" w:space="0"/>
            </w:tcBorders>
          </w:tcPr>
          <w:p w14:paraId="292A58E7">
            <w:pPr>
              <w:pStyle w:val="42"/>
              <w:rPr>
                <w:rFonts w:ascii="Times New Roman"/>
                <w:sz w:val="20"/>
              </w:rPr>
            </w:pPr>
          </w:p>
        </w:tc>
        <w:tc>
          <w:tcPr>
            <w:tcW w:w="1920" w:type="dxa"/>
            <w:tcBorders>
              <w:top w:val="single" w:color="000000" w:sz="6" w:space="0"/>
              <w:left w:val="single" w:color="000000" w:sz="6" w:space="0"/>
              <w:bottom w:val="single" w:color="000000" w:sz="6" w:space="0"/>
            </w:tcBorders>
          </w:tcPr>
          <w:p w14:paraId="736FA8A8">
            <w:pPr>
              <w:pStyle w:val="42"/>
              <w:rPr>
                <w:rFonts w:ascii="Times New Roman"/>
                <w:sz w:val="20"/>
              </w:rPr>
            </w:pPr>
          </w:p>
        </w:tc>
      </w:tr>
      <w:tr w14:paraId="33ED2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55" w:type="dxa"/>
            <w:tcBorders>
              <w:top w:val="single" w:color="000000" w:sz="6" w:space="0"/>
              <w:bottom w:val="single" w:color="000000" w:sz="6" w:space="0"/>
              <w:right w:val="single" w:color="000000" w:sz="6" w:space="0"/>
            </w:tcBorders>
          </w:tcPr>
          <w:p w14:paraId="762D9A2E">
            <w:pPr>
              <w:pStyle w:val="42"/>
              <w:jc w:val="center"/>
              <w:rPr>
                <w:rFonts w:ascii="Times New Roman"/>
                <w:sz w:val="20"/>
              </w:rPr>
            </w:pPr>
          </w:p>
        </w:tc>
        <w:tc>
          <w:tcPr>
            <w:tcW w:w="1680" w:type="dxa"/>
            <w:tcBorders>
              <w:top w:val="single" w:color="000000" w:sz="6" w:space="0"/>
              <w:left w:val="single" w:color="000000" w:sz="6" w:space="0"/>
              <w:bottom w:val="single" w:color="000000" w:sz="6" w:space="0"/>
              <w:right w:val="single" w:color="000000" w:sz="6" w:space="0"/>
            </w:tcBorders>
          </w:tcPr>
          <w:p w14:paraId="5D2C4810">
            <w:pPr>
              <w:pStyle w:val="42"/>
              <w:rPr>
                <w:rFonts w:ascii="Times New Roman"/>
                <w:sz w:val="20"/>
              </w:rPr>
            </w:pPr>
          </w:p>
        </w:tc>
        <w:tc>
          <w:tcPr>
            <w:tcW w:w="2220" w:type="dxa"/>
            <w:tcBorders>
              <w:top w:val="single" w:color="000000" w:sz="6" w:space="0"/>
              <w:left w:val="single" w:color="000000" w:sz="6" w:space="0"/>
              <w:bottom w:val="single" w:color="000000" w:sz="6" w:space="0"/>
              <w:right w:val="single" w:color="000000" w:sz="6" w:space="0"/>
            </w:tcBorders>
          </w:tcPr>
          <w:p w14:paraId="2AA07DDD">
            <w:pPr>
              <w:pStyle w:val="42"/>
              <w:rPr>
                <w:rFonts w:ascii="Times New Roman"/>
                <w:sz w:val="20"/>
              </w:rPr>
            </w:pPr>
          </w:p>
        </w:tc>
        <w:tc>
          <w:tcPr>
            <w:tcW w:w="1530" w:type="dxa"/>
            <w:tcBorders>
              <w:top w:val="single" w:color="000000" w:sz="6" w:space="0"/>
              <w:left w:val="single" w:color="000000" w:sz="6" w:space="0"/>
              <w:bottom w:val="single" w:color="000000" w:sz="6" w:space="0"/>
              <w:right w:val="single" w:color="000000" w:sz="6" w:space="0"/>
            </w:tcBorders>
          </w:tcPr>
          <w:p w14:paraId="4FD31D72">
            <w:pPr>
              <w:pStyle w:val="42"/>
              <w:rPr>
                <w:rFonts w:ascii="Times New Roman"/>
                <w:sz w:val="20"/>
              </w:rPr>
            </w:pPr>
          </w:p>
        </w:tc>
        <w:tc>
          <w:tcPr>
            <w:tcW w:w="1575" w:type="dxa"/>
            <w:tcBorders>
              <w:top w:val="single" w:color="000000" w:sz="6" w:space="0"/>
              <w:left w:val="single" w:color="000000" w:sz="6" w:space="0"/>
              <w:bottom w:val="single" w:color="000000" w:sz="6" w:space="0"/>
              <w:right w:val="single" w:color="000000" w:sz="6" w:space="0"/>
            </w:tcBorders>
          </w:tcPr>
          <w:p w14:paraId="0CECE53B">
            <w:pPr>
              <w:pStyle w:val="42"/>
              <w:rPr>
                <w:rFonts w:ascii="Times New Roman"/>
                <w:sz w:val="20"/>
              </w:rPr>
            </w:pPr>
          </w:p>
        </w:tc>
        <w:tc>
          <w:tcPr>
            <w:tcW w:w="1920" w:type="dxa"/>
            <w:tcBorders>
              <w:top w:val="single" w:color="000000" w:sz="6" w:space="0"/>
              <w:left w:val="single" w:color="000000" w:sz="6" w:space="0"/>
              <w:bottom w:val="single" w:color="000000" w:sz="6" w:space="0"/>
            </w:tcBorders>
          </w:tcPr>
          <w:p w14:paraId="3D19D86C">
            <w:pPr>
              <w:pStyle w:val="42"/>
              <w:rPr>
                <w:rFonts w:ascii="Times New Roman"/>
                <w:sz w:val="20"/>
              </w:rPr>
            </w:pPr>
          </w:p>
        </w:tc>
      </w:tr>
      <w:tr w14:paraId="45DA7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55" w:type="dxa"/>
            <w:tcBorders>
              <w:top w:val="single" w:color="000000" w:sz="6" w:space="0"/>
              <w:bottom w:val="single" w:color="000000" w:sz="6" w:space="0"/>
              <w:right w:val="single" w:color="000000" w:sz="6" w:space="0"/>
            </w:tcBorders>
          </w:tcPr>
          <w:p w14:paraId="6753E7BF">
            <w:pPr>
              <w:pStyle w:val="42"/>
              <w:jc w:val="center"/>
              <w:rPr>
                <w:rFonts w:ascii="Times New Roman"/>
                <w:sz w:val="20"/>
              </w:rPr>
            </w:pPr>
          </w:p>
        </w:tc>
        <w:tc>
          <w:tcPr>
            <w:tcW w:w="1680" w:type="dxa"/>
            <w:tcBorders>
              <w:top w:val="single" w:color="000000" w:sz="6" w:space="0"/>
              <w:left w:val="single" w:color="000000" w:sz="6" w:space="0"/>
              <w:bottom w:val="single" w:color="000000" w:sz="6" w:space="0"/>
              <w:right w:val="single" w:color="000000" w:sz="6" w:space="0"/>
            </w:tcBorders>
          </w:tcPr>
          <w:p w14:paraId="0DD91970">
            <w:pPr>
              <w:pStyle w:val="42"/>
              <w:rPr>
                <w:rFonts w:ascii="Times New Roman"/>
                <w:sz w:val="20"/>
              </w:rPr>
            </w:pPr>
          </w:p>
        </w:tc>
        <w:tc>
          <w:tcPr>
            <w:tcW w:w="2220" w:type="dxa"/>
            <w:tcBorders>
              <w:top w:val="single" w:color="000000" w:sz="6" w:space="0"/>
              <w:left w:val="single" w:color="000000" w:sz="6" w:space="0"/>
              <w:bottom w:val="single" w:color="000000" w:sz="6" w:space="0"/>
              <w:right w:val="single" w:color="000000" w:sz="6" w:space="0"/>
            </w:tcBorders>
          </w:tcPr>
          <w:p w14:paraId="13C35615">
            <w:pPr>
              <w:rPr>
                <w:sz w:val="20"/>
              </w:rPr>
            </w:pPr>
          </w:p>
        </w:tc>
        <w:tc>
          <w:tcPr>
            <w:tcW w:w="1530" w:type="dxa"/>
            <w:tcBorders>
              <w:top w:val="single" w:color="000000" w:sz="6" w:space="0"/>
              <w:left w:val="single" w:color="000000" w:sz="6" w:space="0"/>
              <w:bottom w:val="single" w:color="000000" w:sz="6" w:space="0"/>
              <w:right w:val="single" w:color="000000" w:sz="6" w:space="0"/>
            </w:tcBorders>
          </w:tcPr>
          <w:p w14:paraId="3AE58D0C">
            <w:pPr>
              <w:pStyle w:val="42"/>
              <w:rPr>
                <w:rFonts w:ascii="Times New Roman"/>
                <w:sz w:val="20"/>
              </w:rPr>
            </w:pPr>
          </w:p>
        </w:tc>
        <w:tc>
          <w:tcPr>
            <w:tcW w:w="1575" w:type="dxa"/>
            <w:tcBorders>
              <w:top w:val="single" w:color="000000" w:sz="6" w:space="0"/>
              <w:left w:val="single" w:color="000000" w:sz="6" w:space="0"/>
              <w:bottom w:val="single" w:color="000000" w:sz="6" w:space="0"/>
              <w:right w:val="single" w:color="000000" w:sz="6" w:space="0"/>
            </w:tcBorders>
          </w:tcPr>
          <w:p w14:paraId="3C0D1717">
            <w:pPr>
              <w:pStyle w:val="42"/>
              <w:rPr>
                <w:rFonts w:ascii="Times New Roman"/>
                <w:sz w:val="20"/>
              </w:rPr>
            </w:pPr>
          </w:p>
        </w:tc>
        <w:tc>
          <w:tcPr>
            <w:tcW w:w="1920" w:type="dxa"/>
            <w:tcBorders>
              <w:top w:val="single" w:color="000000" w:sz="6" w:space="0"/>
              <w:left w:val="single" w:color="000000" w:sz="6" w:space="0"/>
              <w:bottom w:val="single" w:color="000000" w:sz="6" w:space="0"/>
            </w:tcBorders>
          </w:tcPr>
          <w:p w14:paraId="697E841C">
            <w:pPr>
              <w:pStyle w:val="42"/>
              <w:rPr>
                <w:rFonts w:ascii="Times New Roman"/>
                <w:sz w:val="20"/>
              </w:rPr>
            </w:pPr>
          </w:p>
        </w:tc>
      </w:tr>
      <w:tr w14:paraId="210DC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55" w:type="dxa"/>
            <w:tcBorders>
              <w:top w:val="single" w:color="000000" w:sz="6" w:space="0"/>
              <w:right w:val="single" w:color="000000" w:sz="6" w:space="0"/>
            </w:tcBorders>
          </w:tcPr>
          <w:p w14:paraId="2A1B9835">
            <w:pPr>
              <w:pStyle w:val="42"/>
              <w:jc w:val="center"/>
              <w:rPr>
                <w:rFonts w:hint="default" w:ascii="Times New Roman" w:eastAsia="宋体"/>
                <w:sz w:val="20"/>
                <w:lang w:val="en-US" w:eastAsia="zh-CN"/>
              </w:rPr>
            </w:pPr>
            <w:r>
              <w:rPr>
                <w:rFonts w:hint="eastAsia" w:ascii="Times New Roman"/>
                <w:sz w:val="20"/>
                <w:lang w:val="en-US" w:eastAsia="zh-CN"/>
              </w:rPr>
              <w:t>...</w:t>
            </w:r>
          </w:p>
        </w:tc>
        <w:tc>
          <w:tcPr>
            <w:tcW w:w="1680" w:type="dxa"/>
            <w:tcBorders>
              <w:top w:val="single" w:color="000000" w:sz="6" w:space="0"/>
              <w:left w:val="single" w:color="000000" w:sz="6" w:space="0"/>
              <w:right w:val="single" w:color="000000" w:sz="6" w:space="0"/>
            </w:tcBorders>
          </w:tcPr>
          <w:p w14:paraId="03FF088E">
            <w:pPr>
              <w:pStyle w:val="42"/>
              <w:rPr>
                <w:rFonts w:ascii="Times New Roman"/>
                <w:sz w:val="20"/>
              </w:rPr>
            </w:pPr>
          </w:p>
        </w:tc>
        <w:tc>
          <w:tcPr>
            <w:tcW w:w="2220" w:type="dxa"/>
            <w:tcBorders>
              <w:top w:val="single" w:color="000000" w:sz="6" w:space="0"/>
              <w:left w:val="single" w:color="000000" w:sz="6" w:space="0"/>
              <w:right w:val="single" w:color="000000" w:sz="6" w:space="0"/>
            </w:tcBorders>
          </w:tcPr>
          <w:p w14:paraId="06252A63">
            <w:pPr>
              <w:pStyle w:val="42"/>
              <w:rPr>
                <w:rFonts w:ascii="Times New Roman"/>
                <w:sz w:val="20"/>
              </w:rPr>
            </w:pPr>
          </w:p>
        </w:tc>
        <w:tc>
          <w:tcPr>
            <w:tcW w:w="1530" w:type="dxa"/>
            <w:tcBorders>
              <w:top w:val="single" w:color="000000" w:sz="6" w:space="0"/>
              <w:left w:val="single" w:color="000000" w:sz="6" w:space="0"/>
              <w:right w:val="single" w:color="000000" w:sz="6" w:space="0"/>
            </w:tcBorders>
          </w:tcPr>
          <w:p w14:paraId="154BC16B">
            <w:pPr>
              <w:pStyle w:val="42"/>
              <w:rPr>
                <w:rFonts w:ascii="Times New Roman"/>
                <w:sz w:val="20"/>
              </w:rPr>
            </w:pPr>
          </w:p>
        </w:tc>
        <w:tc>
          <w:tcPr>
            <w:tcW w:w="1575" w:type="dxa"/>
            <w:tcBorders>
              <w:top w:val="single" w:color="000000" w:sz="6" w:space="0"/>
              <w:left w:val="single" w:color="000000" w:sz="6" w:space="0"/>
              <w:right w:val="single" w:color="000000" w:sz="6" w:space="0"/>
            </w:tcBorders>
          </w:tcPr>
          <w:p w14:paraId="3D39919A">
            <w:pPr>
              <w:pStyle w:val="42"/>
              <w:rPr>
                <w:rFonts w:ascii="Times New Roman"/>
                <w:sz w:val="20"/>
              </w:rPr>
            </w:pPr>
          </w:p>
        </w:tc>
        <w:tc>
          <w:tcPr>
            <w:tcW w:w="1920" w:type="dxa"/>
            <w:tcBorders>
              <w:top w:val="single" w:color="000000" w:sz="6" w:space="0"/>
              <w:left w:val="single" w:color="000000" w:sz="6" w:space="0"/>
            </w:tcBorders>
          </w:tcPr>
          <w:p w14:paraId="411B3D14">
            <w:pPr>
              <w:pStyle w:val="42"/>
              <w:rPr>
                <w:rFonts w:ascii="Times New Roman"/>
                <w:sz w:val="20"/>
              </w:rPr>
            </w:pPr>
          </w:p>
        </w:tc>
      </w:tr>
    </w:tbl>
    <w:p w14:paraId="1B4E0189">
      <w:pPr>
        <w:pStyle w:val="3"/>
        <w:adjustRightInd w:val="0"/>
        <w:snapToGrid w:val="0"/>
        <w:jc w:val="left"/>
        <w:rPr>
          <w:rFonts w:ascii="宋体" w:hAnsi="宋体" w:cs="宋体"/>
          <w:sz w:val="21"/>
          <w:szCs w:val="21"/>
        </w:rPr>
      </w:pPr>
    </w:p>
    <w:p w14:paraId="37502FE3">
      <w:pPr>
        <w:keepNext w:val="0"/>
        <w:keepLines w:val="0"/>
        <w:widowControl/>
        <w:suppressLineNumbers w:val="0"/>
        <w:jc w:val="left"/>
        <w:rPr>
          <w:rFonts w:ascii="宋体" w:hAnsi="宋体" w:cs="宋体"/>
          <w:sz w:val="24"/>
        </w:rPr>
      </w:pPr>
      <w:r>
        <w:rPr>
          <w:rFonts w:hint="eastAsia" w:ascii="宋体" w:hAnsi="宋体" w:eastAsia="宋体" w:cs="宋体"/>
          <w:color w:val="auto"/>
          <w:kern w:val="0"/>
          <w:sz w:val="21"/>
          <w:szCs w:val="21"/>
          <w:lang w:val="en-US" w:eastAsia="zh-CN" w:bidi="ar"/>
        </w:rPr>
        <w:t>注：获奖时间以获奖证书所颁发时间为准。同一个项目获得不同奖项的只计得分最高的奖项。省级奖指省级建设行政主管部门或行业协会颁发的工程奖项等；市级奖是指市级建设行政主管部门或行业协会颁发的工程奖项。</w:t>
      </w:r>
    </w:p>
    <w:p w14:paraId="68C57DE7">
      <w:pPr>
        <w:pStyle w:val="36"/>
        <w:ind w:firstLine="643"/>
        <w:rPr>
          <w:rFonts w:ascii="宋体" w:hAnsi="宋体" w:cs="宋体"/>
          <w:b/>
          <w:bCs/>
          <w:sz w:val="32"/>
          <w:szCs w:val="32"/>
        </w:rPr>
      </w:pPr>
    </w:p>
    <w:p w14:paraId="351BBA69">
      <w:pPr>
        <w:pStyle w:val="36"/>
        <w:ind w:firstLine="643"/>
        <w:rPr>
          <w:rFonts w:ascii="宋体" w:hAnsi="宋体" w:cs="宋体"/>
          <w:b/>
          <w:bCs/>
          <w:sz w:val="32"/>
          <w:szCs w:val="32"/>
        </w:rPr>
      </w:pPr>
    </w:p>
    <w:p w14:paraId="6DE70865">
      <w:pPr>
        <w:pStyle w:val="36"/>
        <w:ind w:firstLine="643"/>
        <w:rPr>
          <w:rFonts w:ascii="宋体" w:hAnsi="宋体" w:cs="宋体"/>
          <w:b/>
          <w:bCs/>
          <w:sz w:val="32"/>
          <w:szCs w:val="32"/>
        </w:rPr>
      </w:pPr>
    </w:p>
    <w:p w14:paraId="09627540">
      <w:pPr>
        <w:pStyle w:val="36"/>
        <w:ind w:firstLine="400"/>
        <w:rPr>
          <w:rFonts w:ascii="仿宋_GB2312" w:hAnsi="华文仿宋" w:eastAsia="仿宋_GB2312" w:cs="华文仿宋"/>
          <w:bCs/>
          <w:szCs w:val="21"/>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9297C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88D91EB">
      <w:pPr>
        <w:pStyle w:val="37"/>
        <w:rPr>
          <w:rFonts w:hint="eastAsia" w:ascii="宋体" w:hAnsi="宋体" w:cs="宋体"/>
          <w:color w:val="000000" w:themeColor="text1"/>
          <w:sz w:val="24"/>
          <w14:textFill>
            <w14:solidFill>
              <w14:schemeClr w14:val="tx1"/>
            </w14:solidFill>
          </w14:textFill>
        </w:rPr>
      </w:pPr>
    </w:p>
    <w:p w14:paraId="6B206E5C">
      <w:pPr>
        <w:pStyle w:val="37"/>
        <w:rPr>
          <w:rFonts w:hint="eastAsia" w:ascii="宋体" w:hAnsi="宋体" w:cs="宋体"/>
          <w:color w:val="000000" w:themeColor="text1"/>
          <w:sz w:val="24"/>
          <w14:textFill>
            <w14:solidFill>
              <w14:schemeClr w14:val="tx1"/>
            </w14:solidFill>
          </w14:textFill>
        </w:rPr>
      </w:pPr>
    </w:p>
    <w:p w14:paraId="5C54B455">
      <w:pPr>
        <w:pStyle w:val="37"/>
        <w:rPr>
          <w:rFonts w:hint="eastAsia" w:ascii="宋体" w:hAnsi="宋体" w:cs="宋体"/>
          <w:color w:val="000000" w:themeColor="text1"/>
          <w:sz w:val="24"/>
          <w14:textFill>
            <w14:solidFill>
              <w14:schemeClr w14:val="tx1"/>
            </w14:solidFill>
          </w14:textFill>
        </w:rPr>
      </w:pPr>
    </w:p>
    <w:p w14:paraId="3C7B802B">
      <w:pPr>
        <w:pStyle w:val="37"/>
        <w:rPr>
          <w:rFonts w:hint="eastAsia" w:ascii="宋体" w:hAnsi="宋体" w:cs="宋体"/>
          <w:color w:val="000000" w:themeColor="text1"/>
          <w:sz w:val="24"/>
          <w14:textFill>
            <w14:solidFill>
              <w14:schemeClr w14:val="tx1"/>
            </w14:solidFill>
          </w14:textFill>
        </w:rPr>
      </w:pPr>
    </w:p>
    <w:p w14:paraId="135B6530">
      <w:pPr>
        <w:pStyle w:val="37"/>
        <w:rPr>
          <w:rFonts w:hint="eastAsia" w:ascii="宋体" w:hAnsi="宋体" w:cs="宋体"/>
          <w:color w:val="000000" w:themeColor="text1"/>
          <w:sz w:val="24"/>
          <w14:textFill>
            <w14:solidFill>
              <w14:schemeClr w14:val="tx1"/>
            </w14:solidFill>
          </w14:textFill>
        </w:rPr>
      </w:pPr>
    </w:p>
    <w:p w14:paraId="38834408">
      <w:pPr>
        <w:pStyle w:val="37"/>
        <w:rPr>
          <w:rFonts w:hint="eastAsia" w:ascii="宋体" w:hAnsi="宋体" w:cs="宋体"/>
          <w:color w:val="000000" w:themeColor="text1"/>
          <w:sz w:val="24"/>
          <w14:textFill>
            <w14:solidFill>
              <w14:schemeClr w14:val="tx1"/>
            </w14:solidFill>
          </w14:textFill>
        </w:rPr>
      </w:pPr>
    </w:p>
    <w:p w14:paraId="137B3D15">
      <w:pPr>
        <w:pStyle w:val="37"/>
        <w:rPr>
          <w:rFonts w:hint="eastAsia" w:ascii="宋体" w:hAnsi="宋体" w:cs="宋体"/>
          <w:color w:val="000000" w:themeColor="text1"/>
          <w:sz w:val="24"/>
          <w14:textFill>
            <w14:solidFill>
              <w14:schemeClr w14:val="tx1"/>
            </w14:solidFill>
          </w14:textFill>
        </w:rPr>
      </w:pPr>
    </w:p>
    <w:p w14:paraId="66AF2A00">
      <w:pPr>
        <w:pStyle w:val="3"/>
        <w:rPr>
          <w:rFonts w:hint="eastAsia" w:ascii="宋体" w:hAnsi="宋体" w:cs="宋体"/>
          <w:color w:val="000000" w:themeColor="text1"/>
          <w:sz w:val="24"/>
          <w14:textFill>
            <w14:solidFill>
              <w14:schemeClr w14:val="tx1"/>
            </w14:solidFill>
          </w14:textFill>
        </w:rPr>
      </w:pPr>
    </w:p>
    <w:p w14:paraId="3B2B022B">
      <w:pPr>
        <w:pStyle w:val="4"/>
        <w:rPr>
          <w:rFonts w:hint="eastAsia" w:ascii="宋体" w:hAnsi="宋体" w:cs="宋体"/>
          <w:color w:val="000000" w:themeColor="text1"/>
          <w:sz w:val="24"/>
          <w14:textFill>
            <w14:solidFill>
              <w14:schemeClr w14:val="tx1"/>
            </w14:solidFill>
          </w14:textFill>
        </w:rPr>
      </w:pPr>
    </w:p>
    <w:p w14:paraId="5FD0E859">
      <w:pPr>
        <w:pStyle w:val="4"/>
        <w:rPr>
          <w:rFonts w:hint="eastAsia" w:ascii="宋体" w:hAnsi="宋体" w:cs="宋体"/>
          <w:color w:val="000000" w:themeColor="text1"/>
          <w:sz w:val="24"/>
          <w14:textFill>
            <w14:solidFill>
              <w14:schemeClr w14:val="tx1"/>
            </w14:solidFill>
          </w14:textFill>
        </w:rPr>
      </w:pPr>
    </w:p>
    <w:p w14:paraId="50B9347F">
      <w:pPr>
        <w:pStyle w:val="36"/>
        <w:ind w:firstLine="0" w:firstLineChars="0"/>
        <w:jc w:val="center"/>
        <w:rPr>
          <w:rFonts w:ascii="宋体" w:hAnsi="宋体" w:cs="宋体"/>
          <w:b/>
          <w:bCs/>
          <w:sz w:val="32"/>
          <w:szCs w:val="32"/>
        </w:rPr>
      </w:pPr>
    </w:p>
    <w:p w14:paraId="6A3D45BB">
      <w:pPr>
        <w:shd w:val="clear" w:color="auto" w:fill="FFFFFF"/>
        <w:tabs>
          <w:tab w:val="left" w:pos="180"/>
        </w:tabs>
        <w:jc w:val="center"/>
        <w:rPr>
          <w:rFonts w:hint="eastAsia" w:ascii="宋体" w:hAnsi="宋体" w:cs="宋体"/>
          <w:b/>
          <w:sz w:val="32"/>
          <w:szCs w:val="32"/>
          <w:lang w:val="en-US" w:eastAsia="zh-CN"/>
        </w:rPr>
      </w:pPr>
    </w:p>
    <w:p w14:paraId="6604739F">
      <w:pPr>
        <w:shd w:val="clear" w:color="auto" w:fill="FFFFFF"/>
        <w:tabs>
          <w:tab w:val="left" w:pos="180"/>
        </w:tabs>
        <w:jc w:val="center"/>
        <w:rPr>
          <w:rFonts w:hint="eastAsia" w:ascii="宋体" w:hAnsi="宋体" w:cs="宋体"/>
          <w:b/>
          <w:sz w:val="32"/>
          <w:szCs w:val="32"/>
          <w:lang w:val="en-US" w:eastAsia="zh-CN"/>
        </w:rPr>
      </w:pPr>
    </w:p>
    <w:p w14:paraId="31D144C5">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4.3总监理工程师资格和业绩</w:t>
      </w:r>
    </w:p>
    <w:p w14:paraId="5B265CBC">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w:t>
      </w:r>
      <w:r>
        <w:rPr>
          <w:rFonts w:hint="eastAsia" w:ascii="宋体" w:hAnsi="宋体" w:cs="宋体"/>
          <w:color w:val="auto"/>
          <w:highlight w:val="none"/>
          <w:lang w:val="en-US" w:eastAsia="zh-CN"/>
        </w:rPr>
        <w:t>、资格：</w:t>
      </w:r>
      <w:r>
        <w:rPr>
          <w:rFonts w:hint="eastAsia" w:ascii="宋体" w:hAnsi="宋体" w:cs="宋体"/>
          <w:sz w:val="21"/>
          <w:szCs w:val="21"/>
        </w:rPr>
        <w:t>提供职称证书、注册证书复印件，时间以证书颁发时间为准</w:t>
      </w:r>
      <w:r>
        <w:rPr>
          <w:rFonts w:hint="eastAsia" w:ascii="宋体" w:hAnsi="宋体" w:cs="宋体"/>
          <w:color w:val="auto"/>
          <w:highlight w:val="none"/>
          <w:lang w:val="en-US" w:eastAsia="zh-CN"/>
        </w:rPr>
        <w:t>。</w:t>
      </w:r>
    </w:p>
    <w:p w14:paraId="338B9040">
      <w:pPr>
        <w:widowControl/>
        <w:ind w:firstLine="420" w:firstLineChars="200"/>
        <w:jc w:val="left"/>
        <w:textAlignment w:val="center"/>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、业绩：</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w:t>
      </w:r>
      <w:r>
        <w:rPr>
          <w:rFonts w:hint="eastAsia" w:ascii="宋体" w:hAnsi="宋体" w:cs="宋体"/>
          <w:color w:val="auto"/>
          <w:highlight w:val="none"/>
          <w:lang w:val="en-US" w:eastAsia="zh-CN"/>
        </w:rPr>
        <w:t>监理</w:t>
      </w:r>
      <w:r>
        <w:rPr>
          <w:rFonts w:hint="eastAsia" w:ascii="宋体" w:hAnsi="宋体" w:eastAsia="宋体" w:cs="宋体"/>
          <w:color w:val="auto"/>
          <w:highlight w:val="none"/>
          <w:lang w:val="en-US" w:eastAsia="zh-CN"/>
        </w:rPr>
        <w:t>合同关键信息页（至少包含</w:t>
      </w:r>
      <w:r>
        <w:rPr>
          <w:rFonts w:hint="eastAsia" w:ascii="宋体" w:hAnsi="宋体" w:cs="宋体"/>
          <w:color w:val="auto"/>
          <w:highlight w:val="none"/>
          <w:lang w:val="en-US" w:eastAsia="zh-CN"/>
        </w:rPr>
        <w:t>合同封面、</w:t>
      </w:r>
      <w:r>
        <w:rPr>
          <w:rFonts w:hint="eastAsia" w:ascii="宋体" w:hAnsi="宋体" w:eastAsia="宋体" w:cs="宋体"/>
          <w:color w:val="auto"/>
          <w:highlight w:val="none"/>
          <w:lang w:val="en-US" w:eastAsia="zh-CN"/>
        </w:rPr>
        <w:t>合同主要内容及合同各方盖章）</w:t>
      </w:r>
      <w:r>
        <w:rPr>
          <w:rFonts w:hint="eastAsia" w:ascii="宋体" w:hAnsi="宋体" w:cs="宋体"/>
          <w:color w:val="auto"/>
          <w:highlight w:val="none"/>
          <w:lang w:val="en-US" w:eastAsia="zh-CN"/>
        </w:rPr>
        <w:t>及竣工验收</w:t>
      </w:r>
      <w:r>
        <w:rPr>
          <w:rFonts w:hint="eastAsia" w:ascii="宋体" w:hAnsi="宋体" w:eastAsia="宋体" w:cs="宋体"/>
          <w:color w:val="auto"/>
          <w:highlight w:val="none"/>
          <w:lang w:val="en-US" w:eastAsia="zh-CN"/>
        </w:rPr>
        <w:t>证明材料，扫描件加盖供应商公章，业绩认定的时间以所提供证明材料中合同签署时间为准。</w:t>
      </w:r>
      <w:r>
        <w:rPr>
          <w:rFonts w:hint="eastAsia" w:ascii="宋体" w:hAnsi="宋体" w:cs="宋体"/>
          <w:color w:val="auto"/>
          <w:highlight w:val="none"/>
          <w:lang w:val="en-US" w:eastAsia="zh-CN"/>
        </w:rPr>
        <w:t>以上资料需体现项目负责人担任总监理工程师职责，如无体现，需提供其他证明材料（仅有供应商确认的材料不能作为佐证材料），否则不得分。</w:t>
      </w:r>
    </w:p>
    <w:p w14:paraId="551612AC">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w:t>
      </w:r>
    </w:p>
    <w:p w14:paraId="2FD43567">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3）同一业绩只按最高分数计算一次分数，不重复计算。</w:t>
      </w:r>
    </w:p>
    <w:p w14:paraId="0AF0E7F6">
      <w:pPr>
        <w:widowControl/>
        <w:numPr>
          <w:ilvl w:val="0"/>
          <w:numId w:val="0"/>
        </w:numPr>
        <w:ind w:left="0" w:leftChars="0"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467C4D9F">
      <w:pPr>
        <w:widowControl/>
        <w:numPr>
          <w:ilvl w:val="0"/>
          <w:numId w:val="0"/>
        </w:numPr>
        <w:ind w:left="0" w:leftChars="0" w:firstLine="420" w:firstLineChars="200"/>
        <w:jc w:val="left"/>
        <w:textAlignment w:val="center"/>
        <w:rPr>
          <w:rFonts w:hint="eastAsia" w:ascii="宋体" w:hAnsi="宋体" w:eastAsia="宋体" w:cs="宋体"/>
          <w:color w:val="auto"/>
          <w:highlight w:val="none"/>
          <w:lang w:val="en-US" w:eastAsia="zh-CN"/>
        </w:rPr>
      </w:pPr>
    </w:p>
    <w:p w14:paraId="17298D23">
      <w:pPr>
        <w:pStyle w:val="36"/>
        <w:ind w:firstLine="480"/>
        <w:jc w:val="center"/>
        <w:rPr>
          <w:rFonts w:ascii="宋体" w:hAnsi="宋体" w:cs="宋体"/>
          <w:sz w:val="24"/>
        </w:rPr>
      </w:pPr>
    </w:p>
    <w:p w14:paraId="3EEDE406">
      <w:pPr>
        <w:pStyle w:val="36"/>
        <w:ind w:firstLine="480"/>
        <w:jc w:val="center"/>
        <w:rPr>
          <w:rFonts w:ascii="宋体" w:hAnsi="宋体" w:cs="宋体"/>
          <w:sz w:val="24"/>
        </w:rPr>
      </w:pPr>
    </w:p>
    <w:p w14:paraId="36B1F822">
      <w:pPr>
        <w:pStyle w:val="36"/>
        <w:ind w:firstLine="480"/>
        <w:jc w:val="center"/>
        <w:rPr>
          <w:rFonts w:ascii="宋体" w:hAnsi="宋体" w:cs="宋体"/>
          <w:sz w:val="24"/>
        </w:rPr>
      </w:pPr>
    </w:p>
    <w:p w14:paraId="7234966B">
      <w:pPr>
        <w:pStyle w:val="36"/>
        <w:ind w:firstLine="480"/>
        <w:jc w:val="center"/>
        <w:rPr>
          <w:rFonts w:ascii="宋体" w:hAnsi="宋体" w:cs="宋体"/>
          <w:sz w:val="24"/>
        </w:rPr>
      </w:pPr>
    </w:p>
    <w:p w14:paraId="5B9321F4">
      <w:pPr>
        <w:pStyle w:val="36"/>
        <w:ind w:firstLine="480"/>
        <w:jc w:val="center"/>
        <w:rPr>
          <w:rFonts w:ascii="宋体" w:hAnsi="宋体" w:cs="宋体"/>
          <w:sz w:val="24"/>
        </w:rPr>
      </w:pPr>
    </w:p>
    <w:p w14:paraId="3113F19D">
      <w:pPr>
        <w:pStyle w:val="36"/>
        <w:ind w:firstLine="480"/>
        <w:jc w:val="center"/>
        <w:rPr>
          <w:rFonts w:ascii="宋体" w:hAnsi="宋体" w:cs="宋体"/>
          <w:sz w:val="24"/>
        </w:rPr>
      </w:pPr>
    </w:p>
    <w:p w14:paraId="429BA782">
      <w:pPr>
        <w:pStyle w:val="36"/>
        <w:ind w:firstLine="480"/>
        <w:jc w:val="center"/>
        <w:rPr>
          <w:rFonts w:ascii="宋体" w:hAnsi="宋体" w:cs="宋体"/>
          <w:sz w:val="24"/>
        </w:rPr>
      </w:pPr>
    </w:p>
    <w:p w14:paraId="52B8EAF3">
      <w:pPr>
        <w:pStyle w:val="36"/>
        <w:ind w:firstLine="480"/>
        <w:jc w:val="center"/>
        <w:rPr>
          <w:rFonts w:ascii="宋体" w:hAnsi="宋体" w:cs="宋体"/>
          <w:sz w:val="24"/>
        </w:rPr>
      </w:pPr>
    </w:p>
    <w:p w14:paraId="4AC41D94">
      <w:pPr>
        <w:pStyle w:val="36"/>
        <w:ind w:firstLine="480"/>
        <w:jc w:val="center"/>
        <w:rPr>
          <w:rFonts w:ascii="宋体" w:hAnsi="宋体" w:cs="宋体"/>
          <w:sz w:val="24"/>
        </w:rPr>
      </w:pPr>
    </w:p>
    <w:p w14:paraId="4CC1C4A1">
      <w:pPr>
        <w:pStyle w:val="36"/>
        <w:ind w:firstLine="480"/>
        <w:jc w:val="center"/>
        <w:rPr>
          <w:rFonts w:ascii="宋体" w:hAnsi="宋体" w:cs="宋体"/>
          <w:sz w:val="24"/>
        </w:rPr>
      </w:pPr>
    </w:p>
    <w:p w14:paraId="085E390B">
      <w:pPr>
        <w:pStyle w:val="36"/>
        <w:ind w:firstLine="480"/>
        <w:jc w:val="center"/>
        <w:rPr>
          <w:rFonts w:ascii="宋体" w:hAnsi="宋体" w:cs="宋体"/>
          <w:sz w:val="24"/>
        </w:rPr>
      </w:pPr>
    </w:p>
    <w:p w14:paraId="49867317">
      <w:pPr>
        <w:pStyle w:val="36"/>
        <w:ind w:firstLine="480"/>
        <w:jc w:val="center"/>
        <w:rPr>
          <w:rFonts w:ascii="宋体" w:hAnsi="宋体" w:cs="宋体"/>
          <w:sz w:val="24"/>
        </w:rPr>
      </w:pPr>
    </w:p>
    <w:p w14:paraId="1AEBC439">
      <w:pPr>
        <w:pStyle w:val="36"/>
        <w:ind w:firstLine="480"/>
        <w:jc w:val="center"/>
        <w:rPr>
          <w:rFonts w:ascii="宋体" w:hAnsi="宋体" w:cs="宋体"/>
          <w:sz w:val="24"/>
        </w:rPr>
      </w:pPr>
    </w:p>
    <w:p w14:paraId="3F559FAD">
      <w:pPr>
        <w:pStyle w:val="36"/>
        <w:ind w:firstLine="480"/>
        <w:jc w:val="center"/>
        <w:rPr>
          <w:rFonts w:ascii="宋体" w:hAnsi="宋体" w:cs="宋体"/>
          <w:sz w:val="24"/>
        </w:rPr>
      </w:pPr>
    </w:p>
    <w:p w14:paraId="342197E1">
      <w:pPr>
        <w:pStyle w:val="36"/>
        <w:ind w:firstLine="480"/>
        <w:jc w:val="center"/>
        <w:rPr>
          <w:rFonts w:ascii="宋体" w:hAnsi="宋体" w:cs="宋体"/>
          <w:sz w:val="24"/>
        </w:rPr>
      </w:pPr>
    </w:p>
    <w:p w14:paraId="1D1B2966">
      <w:pPr>
        <w:pStyle w:val="36"/>
        <w:ind w:firstLine="480"/>
        <w:jc w:val="center"/>
        <w:rPr>
          <w:rFonts w:ascii="宋体" w:hAnsi="宋体" w:cs="宋体"/>
          <w:sz w:val="24"/>
        </w:rPr>
      </w:pPr>
    </w:p>
    <w:p w14:paraId="6B744E8F">
      <w:pPr>
        <w:pStyle w:val="36"/>
        <w:ind w:firstLine="480"/>
        <w:jc w:val="center"/>
        <w:rPr>
          <w:rFonts w:ascii="宋体" w:hAnsi="宋体" w:cs="宋体"/>
          <w:sz w:val="24"/>
        </w:rPr>
      </w:pPr>
    </w:p>
    <w:p w14:paraId="58FFF0FC">
      <w:pPr>
        <w:pStyle w:val="36"/>
        <w:ind w:firstLine="480"/>
        <w:jc w:val="center"/>
        <w:rPr>
          <w:rFonts w:ascii="宋体" w:hAnsi="宋体" w:cs="宋体"/>
          <w:sz w:val="24"/>
        </w:rPr>
      </w:pPr>
    </w:p>
    <w:p w14:paraId="4F24523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4EA445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1B44BED">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0CB9A6">
      <w:pPr>
        <w:spacing w:line="360" w:lineRule="auto"/>
        <w:ind w:firstLine="3600" w:firstLineChars="1500"/>
        <w:rPr>
          <w:rFonts w:hint="eastAsia" w:ascii="宋体" w:hAnsi="宋体" w:cs="宋体"/>
          <w:sz w:val="24"/>
        </w:rPr>
      </w:pPr>
    </w:p>
    <w:p w14:paraId="392E1917">
      <w:pPr>
        <w:pStyle w:val="9"/>
        <w:rPr>
          <w:rFonts w:hint="eastAsia" w:ascii="宋体" w:hAnsi="宋体" w:cs="宋体"/>
          <w:sz w:val="24"/>
        </w:rPr>
      </w:pPr>
    </w:p>
    <w:p w14:paraId="329FEE71">
      <w:pPr>
        <w:rPr>
          <w:rFonts w:hint="eastAsia" w:ascii="宋体" w:hAnsi="宋体" w:cs="宋体"/>
          <w:sz w:val="24"/>
        </w:rPr>
      </w:pPr>
    </w:p>
    <w:p w14:paraId="102E5326">
      <w:pPr>
        <w:rPr>
          <w:rFonts w:hint="eastAsia" w:ascii="宋体" w:hAnsi="宋体" w:cs="宋体"/>
          <w:sz w:val="24"/>
        </w:rPr>
      </w:pPr>
    </w:p>
    <w:p w14:paraId="460AD196">
      <w:pPr>
        <w:pStyle w:val="2"/>
        <w:rPr>
          <w:rFonts w:hint="eastAsia"/>
        </w:rPr>
      </w:pPr>
    </w:p>
    <w:p w14:paraId="2D5904C2">
      <w:pPr>
        <w:rPr>
          <w:rFonts w:hint="eastAsia" w:ascii="宋体" w:hAnsi="宋体" w:cs="宋体"/>
          <w:sz w:val="24"/>
        </w:rPr>
      </w:pPr>
    </w:p>
    <w:p w14:paraId="145345F3">
      <w:pPr>
        <w:rPr>
          <w:rFonts w:hint="eastAsia" w:ascii="宋体" w:hAnsi="宋体" w:cs="宋体"/>
          <w:sz w:val="24"/>
        </w:rPr>
      </w:pPr>
    </w:p>
    <w:p w14:paraId="7F55CCA5">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4.4总监代表资格和业绩</w:t>
      </w:r>
    </w:p>
    <w:p w14:paraId="335A9EDB">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w:t>
      </w:r>
      <w:r>
        <w:rPr>
          <w:rFonts w:hint="eastAsia" w:ascii="宋体" w:hAnsi="宋体" w:cs="宋体"/>
          <w:color w:val="auto"/>
          <w:highlight w:val="none"/>
          <w:lang w:val="en-US" w:eastAsia="zh-CN"/>
        </w:rPr>
        <w:t>、资格：</w:t>
      </w:r>
      <w:r>
        <w:rPr>
          <w:rFonts w:hint="eastAsia" w:ascii="宋体" w:hAnsi="宋体" w:eastAsia="宋体" w:cs="宋体"/>
          <w:color w:val="auto"/>
          <w:highlight w:val="none"/>
          <w:lang w:val="en-US" w:eastAsia="zh-CN"/>
        </w:rPr>
        <w:t>提供职称证书扫描件加盖供应商公章</w:t>
      </w:r>
      <w:r>
        <w:rPr>
          <w:rFonts w:hint="eastAsia" w:ascii="宋体" w:hAnsi="宋体" w:cs="宋体"/>
          <w:color w:val="auto"/>
          <w:highlight w:val="none"/>
          <w:lang w:val="en-US" w:eastAsia="zh-CN"/>
        </w:rPr>
        <w:t>。</w:t>
      </w:r>
    </w:p>
    <w:p w14:paraId="31B80502">
      <w:pPr>
        <w:widowControl/>
        <w:ind w:firstLine="420" w:firstLineChars="200"/>
        <w:jc w:val="left"/>
        <w:textAlignment w:val="center"/>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、业绩：</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w:t>
      </w:r>
      <w:r>
        <w:rPr>
          <w:rFonts w:hint="eastAsia" w:ascii="宋体" w:hAnsi="宋体" w:cs="宋体"/>
          <w:color w:val="auto"/>
          <w:highlight w:val="none"/>
          <w:lang w:val="en-US" w:eastAsia="zh-CN"/>
        </w:rPr>
        <w:t>监理</w:t>
      </w:r>
      <w:r>
        <w:rPr>
          <w:rFonts w:hint="eastAsia" w:ascii="宋体" w:hAnsi="宋体" w:eastAsia="宋体" w:cs="宋体"/>
          <w:color w:val="auto"/>
          <w:highlight w:val="none"/>
          <w:lang w:val="en-US" w:eastAsia="zh-CN"/>
        </w:rPr>
        <w:t>合同关键信息页（至少包含</w:t>
      </w:r>
      <w:r>
        <w:rPr>
          <w:rFonts w:hint="eastAsia" w:ascii="宋体" w:hAnsi="宋体" w:cs="宋体"/>
          <w:color w:val="auto"/>
          <w:highlight w:val="none"/>
          <w:lang w:val="en-US" w:eastAsia="zh-CN"/>
        </w:rPr>
        <w:t>合同封面、</w:t>
      </w:r>
      <w:r>
        <w:rPr>
          <w:rFonts w:hint="eastAsia" w:ascii="宋体" w:hAnsi="宋体" w:eastAsia="宋体" w:cs="宋体"/>
          <w:color w:val="auto"/>
          <w:highlight w:val="none"/>
          <w:lang w:val="en-US" w:eastAsia="zh-CN"/>
        </w:rPr>
        <w:t>合同主要内容及合同各方盖章）</w:t>
      </w:r>
      <w:r>
        <w:rPr>
          <w:rFonts w:hint="eastAsia" w:ascii="宋体" w:hAnsi="宋体" w:cs="宋体"/>
          <w:color w:val="auto"/>
          <w:highlight w:val="none"/>
          <w:lang w:val="en-US" w:eastAsia="zh-CN"/>
        </w:rPr>
        <w:t>及竣工验收</w:t>
      </w:r>
      <w:r>
        <w:rPr>
          <w:rFonts w:hint="eastAsia" w:ascii="宋体" w:hAnsi="宋体" w:eastAsia="宋体" w:cs="宋体"/>
          <w:color w:val="auto"/>
          <w:highlight w:val="none"/>
          <w:lang w:val="en-US" w:eastAsia="zh-CN"/>
        </w:rPr>
        <w:t>证明材料，时间以所提供证明材料中合同签署时间为准。扫描件加盖供应商公章。</w:t>
      </w:r>
      <w:r>
        <w:rPr>
          <w:rFonts w:hint="eastAsia" w:ascii="宋体" w:hAnsi="宋体" w:cs="宋体"/>
          <w:color w:val="auto"/>
          <w:highlight w:val="none"/>
          <w:lang w:val="en-US" w:eastAsia="zh-CN"/>
        </w:rPr>
        <w:t>以上资料需体现担任总监或总监代表职责，如无体现，需提供其他证明材料（仅有供应商确认的材料不能作为佐证材料），否则不得分。</w:t>
      </w:r>
    </w:p>
    <w:p w14:paraId="0CA3D02C">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提供响应截止日前三个月内任一月份由供应商缴纳的社保证明复印件盖供应商公章。</w:t>
      </w:r>
    </w:p>
    <w:p w14:paraId="40A8ADDA">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w:t>
      </w:r>
    </w:p>
    <w:p w14:paraId="4D21F461">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4）同一业绩只按最高分数计算一次分数， 不重复计算。</w:t>
      </w:r>
    </w:p>
    <w:p w14:paraId="68170DD5">
      <w:pPr>
        <w:widowControl/>
        <w:numPr>
          <w:ilvl w:val="0"/>
          <w:numId w:val="0"/>
        </w:numPr>
        <w:ind w:left="0" w:leftChars="0"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2231160A">
      <w:pPr>
        <w:pStyle w:val="36"/>
        <w:ind w:firstLine="480"/>
        <w:jc w:val="center"/>
        <w:rPr>
          <w:rFonts w:ascii="宋体" w:hAnsi="宋体" w:cs="宋体"/>
          <w:sz w:val="24"/>
        </w:rPr>
      </w:pPr>
    </w:p>
    <w:p w14:paraId="3C4ADDDC">
      <w:pPr>
        <w:pStyle w:val="36"/>
        <w:ind w:firstLine="480"/>
        <w:jc w:val="center"/>
        <w:rPr>
          <w:rFonts w:ascii="宋体" w:hAnsi="宋体" w:cs="宋体"/>
          <w:sz w:val="24"/>
        </w:rPr>
      </w:pPr>
    </w:p>
    <w:p w14:paraId="6D904081">
      <w:pPr>
        <w:pStyle w:val="36"/>
        <w:ind w:firstLine="480"/>
        <w:jc w:val="center"/>
        <w:rPr>
          <w:rFonts w:ascii="宋体" w:hAnsi="宋体" w:cs="宋体"/>
          <w:sz w:val="24"/>
        </w:rPr>
      </w:pPr>
    </w:p>
    <w:p w14:paraId="47E2F19B">
      <w:pPr>
        <w:pStyle w:val="36"/>
        <w:ind w:firstLine="480"/>
        <w:jc w:val="center"/>
        <w:rPr>
          <w:rFonts w:ascii="宋体" w:hAnsi="宋体" w:cs="宋体"/>
          <w:sz w:val="24"/>
        </w:rPr>
      </w:pPr>
    </w:p>
    <w:p w14:paraId="5916C518">
      <w:pPr>
        <w:pStyle w:val="36"/>
        <w:ind w:firstLine="480"/>
        <w:jc w:val="center"/>
        <w:rPr>
          <w:rFonts w:ascii="宋体" w:hAnsi="宋体" w:cs="宋体"/>
          <w:sz w:val="24"/>
        </w:rPr>
      </w:pPr>
    </w:p>
    <w:p w14:paraId="071E5FB9">
      <w:pPr>
        <w:pStyle w:val="36"/>
        <w:ind w:firstLine="480"/>
        <w:jc w:val="center"/>
        <w:rPr>
          <w:rFonts w:ascii="宋体" w:hAnsi="宋体" w:cs="宋体"/>
          <w:sz w:val="24"/>
        </w:rPr>
      </w:pPr>
    </w:p>
    <w:p w14:paraId="2EDAEBD0">
      <w:pPr>
        <w:pStyle w:val="36"/>
        <w:ind w:firstLine="480"/>
        <w:jc w:val="center"/>
        <w:rPr>
          <w:rFonts w:ascii="宋体" w:hAnsi="宋体" w:cs="宋体"/>
          <w:sz w:val="24"/>
        </w:rPr>
      </w:pPr>
    </w:p>
    <w:p w14:paraId="05B31F3F">
      <w:pPr>
        <w:pStyle w:val="36"/>
        <w:ind w:firstLine="480"/>
        <w:jc w:val="center"/>
        <w:rPr>
          <w:rFonts w:ascii="宋体" w:hAnsi="宋体" w:cs="宋体"/>
          <w:sz w:val="24"/>
        </w:rPr>
      </w:pPr>
    </w:p>
    <w:p w14:paraId="6324AB10">
      <w:pPr>
        <w:pStyle w:val="36"/>
        <w:ind w:firstLine="480"/>
        <w:jc w:val="center"/>
        <w:rPr>
          <w:rFonts w:ascii="宋体" w:hAnsi="宋体" w:cs="宋体"/>
          <w:sz w:val="24"/>
        </w:rPr>
      </w:pPr>
    </w:p>
    <w:p w14:paraId="4DDC644D">
      <w:pPr>
        <w:pStyle w:val="36"/>
        <w:ind w:firstLine="480"/>
        <w:jc w:val="center"/>
        <w:rPr>
          <w:rFonts w:ascii="宋体" w:hAnsi="宋体" w:cs="宋体"/>
          <w:sz w:val="24"/>
        </w:rPr>
      </w:pPr>
    </w:p>
    <w:p w14:paraId="00741A5D">
      <w:pPr>
        <w:pStyle w:val="36"/>
        <w:ind w:firstLine="480"/>
        <w:jc w:val="center"/>
        <w:rPr>
          <w:rFonts w:ascii="宋体" w:hAnsi="宋体" w:cs="宋体"/>
          <w:sz w:val="24"/>
        </w:rPr>
      </w:pPr>
    </w:p>
    <w:p w14:paraId="78EF7FB6">
      <w:pPr>
        <w:pStyle w:val="36"/>
        <w:ind w:firstLine="480"/>
        <w:jc w:val="center"/>
        <w:rPr>
          <w:rFonts w:ascii="宋体" w:hAnsi="宋体" w:cs="宋体"/>
          <w:sz w:val="24"/>
        </w:rPr>
      </w:pPr>
    </w:p>
    <w:p w14:paraId="163FAC26">
      <w:pPr>
        <w:pStyle w:val="36"/>
        <w:ind w:firstLine="480"/>
        <w:jc w:val="center"/>
        <w:rPr>
          <w:rFonts w:ascii="宋体" w:hAnsi="宋体" w:cs="宋体"/>
          <w:sz w:val="24"/>
        </w:rPr>
      </w:pPr>
    </w:p>
    <w:p w14:paraId="072567F6">
      <w:pPr>
        <w:pStyle w:val="36"/>
        <w:ind w:firstLine="480"/>
        <w:jc w:val="center"/>
        <w:rPr>
          <w:rFonts w:ascii="宋体" w:hAnsi="宋体" w:cs="宋体"/>
          <w:sz w:val="24"/>
        </w:rPr>
      </w:pPr>
    </w:p>
    <w:p w14:paraId="5829D881">
      <w:pPr>
        <w:pStyle w:val="36"/>
        <w:ind w:firstLine="480"/>
        <w:jc w:val="center"/>
        <w:rPr>
          <w:rFonts w:ascii="宋体" w:hAnsi="宋体" w:cs="宋体"/>
          <w:sz w:val="24"/>
        </w:rPr>
      </w:pPr>
    </w:p>
    <w:p w14:paraId="4B047067">
      <w:pPr>
        <w:pStyle w:val="36"/>
        <w:ind w:firstLine="480"/>
        <w:jc w:val="center"/>
        <w:rPr>
          <w:rFonts w:ascii="宋体" w:hAnsi="宋体" w:cs="宋体"/>
          <w:sz w:val="24"/>
        </w:rPr>
      </w:pPr>
    </w:p>
    <w:p w14:paraId="60E4DBD2">
      <w:pPr>
        <w:pStyle w:val="36"/>
        <w:ind w:firstLine="480"/>
        <w:jc w:val="center"/>
        <w:rPr>
          <w:rFonts w:ascii="宋体" w:hAnsi="宋体" w:cs="宋体"/>
          <w:sz w:val="24"/>
        </w:rPr>
      </w:pPr>
    </w:p>
    <w:p w14:paraId="0104AB56">
      <w:pPr>
        <w:pStyle w:val="36"/>
        <w:ind w:firstLine="480"/>
        <w:jc w:val="center"/>
        <w:rPr>
          <w:rFonts w:ascii="宋体" w:hAnsi="宋体" w:cs="宋体"/>
          <w:sz w:val="24"/>
        </w:rPr>
      </w:pPr>
    </w:p>
    <w:p w14:paraId="124AECF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766B3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1C5ED45">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3477BD">
      <w:pPr>
        <w:spacing w:line="360" w:lineRule="auto"/>
        <w:ind w:firstLine="3600" w:firstLineChars="1500"/>
        <w:rPr>
          <w:rFonts w:hint="eastAsia" w:ascii="宋体" w:hAnsi="宋体" w:cs="宋体"/>
          <w:sz w:val="24"/>
        </w:rPr>
      </w:pPr>
    </w:p>
    <w:p w14:paraId="62A7581E">
      <w:pPr>
        <w:pStyle w:val="9"/>
        <w:rPr>
          <w:rFonts w:hint="eastAsia" w:ascii="宋体" w:hAnsi="宋体" w:cs="宋体"/>
          <w:sz w:val="24"/>
        </w:rPr>
      </w:pPr>
    </w:p>
    <w:p w14:paraId="54F466CA">
      <w:pPr>
        <w:rPr>
          <w:rFonts w:hint="eastAsia" w:ascii="宋体" w:hAnsi="宋体" w:cs="宋体"/>
          <w:sz w:val="24"/>
        </w:rPr>
      </w:pPr>
    </w:p>
    <w:p w14:paraId="27EB3262">
      <w:pPr>
        <w:pStyle w:val="2"/>
        <w:rPr>
          <w:rFonts w:hint="eastAsia"/>
        </w:rPr>
      </w:pPr>
    </w:p>
    <w:p w14:paraId="3C4A2AD3">
      <w:pPr>
        <w:rPr>
          <w:rFonts w:hint="eastAsia" w:ascii="宋体" w:hAnsi="宋体" w:cs="宋体"/>
          <w:sz w:val="24"/>
        </w:rPr>
      </w:pPr>
    </w:p>
    <w:p w14:paraId="30A9F26B">
      <w:pPr>
        <w:pStyle w:val="5"/>
        <w:rPr>
          <w:rFonts w:hint="eastAsia"/>
        </w:rPr>
      </w:pPr>
    </w:p>
    <w:p w14:paraId="52BC5D53">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4.5拟投入其他人员情况</w:t>
      </w:r>
    </w:p>
    <w:p w14:paraId="6C8D1E27">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提供证书扫描件加盖供应商公章。</w:t>
      </w:r>
    </w:p>
    <w:p w14:paraId="484AF57C">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提供响应截止日前三个月内任一月份由供应商为各专业负责人缴纳的社保证明复印件盖供应商公章。</w:t>
      </w:r>
    </w:p>
    <w:p w14:paraId="29FBF726">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kern w:val="2"/>
          <w:sz w:val="21"/>
          <w:szCs w:val="24"/>
          <w:highlight w:val="none"/>
          <w:lang w:val="en-US" w:eastAsia="zh-CN" w:bidi="ar-SA"/>
        </w:rPr>
        <w:t>以上人员不得兼任</w:t>
      </w:r>
      <w:r>
        <w:rPr>
          <w:rFonts w:hint="eastAsia" w:ascii="宋体" w:hAnsi="宋体" w:cs="宋体"/>
          <w:color w:val="auto"/>
          <w:kern w:val="2"/>
          <w:sz w:val="21"/>
          <w:szCs w:val="24"/>
          <w:highlight w:val="none"/>
          <w:lang w:val="en-US" w:eastAsia="zh-CN" w:bidi="ar-SA"/>
        </w:rPr>
        <w:t>，同一人只计算一个</w:t>
      </w:r>
      <w:r>
        <w:rPr>
          <w:rFonts w:hint="eastAsia" w:ascii="宋体" w:hAnsi="宋体" w:eastAsia="宋体" w:cs="宋体"/>
          <w:color w:val="auto"/>
          <w:kern w:val="2"/>
          <w:sz w:val="21"/>
          <w:szCs w:val="24"/>
          <w:highlight w:val="none"/>
          <w:lang w:val="en-US" w:eastAsia="zh-CN" w:bidi="ar-SA"/>
        </w:rPr>
        <w:t>。</w:t>
      </w:r>
    </w:p>
    <w:p w14:paraId="332AF434">
      <w:pPr>
        <w:widowControl/>
        <w:numPr>
          <w:ilvl w:val="0"/>
          <w:numId w:val="0"/>
        </w:numPr>
        <w:ind w:left="0" w:leftChars="0" w:firstLine="420" w:firstLineChars="200"/>
        <w:jc w:val="left"/>
        <w:textAlignment w:val="center"/>
        <w:rPr>
          <w:rFonts w:hint="eastAsia" w:ascii="宋体" w:hAnsi="宋体" w:eastAsia="宋体" w:cs="宋体"/>
          <w:color w:val="auto"/>
          <w:highlight w:val="none"/>
          <w:lang w:val="en-US" w:eastAsia="zh-CN"/>
        </w:rPr>
      </w:pPr>
    </w:p>
    <w:p w14:paraId="43A45427">
      <w:pPr>
        <w:pStyle w:val="36"/>
        <w:ind w:firstLine="480"/>
        <w:jc w:val="center"/>
        <w:rPr>
          <w:rFonts w:ascii="宋体" w:hAnsi="宋体" w:cs="宋体"/>
          <w:sz w:val="24"/>
        </w:rPr>
      </w:pPr>
    </w:p>
    <w:p w14:paraId="6B2FE4AC">
      <w:pPr>
        <w:pStyle w:val="36"/>
        <w:ind w:firstLine="480"/>
        <w:jc w:val="center"/>
        <w:rPr>
          <w:rFonts w:ascii="宋体" w:hAnsi="宋体" w:cs="宋体"/>
          <w:sz w:val="24"/>
        </w:rPr>
      </w:pPr>
    </w:p>
    <w:p w14:paraId="7F467091">
      <w:pPr>
        <w:pStyle w:val="36"/>
        <w:ind w:firstLine="480"/>
        <w:jc w:val="center"/>
        <w:rPr>
          <w:rFonts w:ascii="宋体" w:hAnsi="宋体" w:cs="宋体"/>
          <w:sz w:val="24"/>
        </w:rPr>
      </w:pPr>
    </w:p>
    <w:p w14:paraId="1DB6627B">
      <w:pPr>
        <w:pStyle w:val="36"/>
        <w:ind w:firstLine="480"/>
        <w:jc w:val="center"/>
        <w:rPr>
          <w:rFonts w:ascii="宋体" w:hAnsi="宋体" w:cs="宋体"/>
          <w:sz w:val="24"/>
        </w:rPr>
      </w:pPr>
    </w:p>
    <w:p w14:paraId="50734B2F">
      <w:pPr>
        <w:pStyle w:val="36"/>
        <w:ind w:firstLine="480"/>
        <w:jc w:val="center"/>
        <w:rPr>
          <w:rFonts w:ascii="宋体" w:hAnsi="宋体" w:cs="宋体"/>
          <w:sz w:val="24"/>
        </w:rPr>
      </w:pPr>
    </w:p>
    <w:p w14:paraId="4473E88A">
      <w:pPr>
        <w:pStyle w:val="36"/>
        <w:ind w:firstLine="480"/>
        <w:jc w:val="center"/>
        <w:rPr>
          <w:rFonts w:ascii="宋体" w:hAnsi="宋体" w:cs="宋体"/>
          <w:sz w:val="24"/>
        </w:rPr>
      </w:pPr>
    </w:p>
    <w:p w14:paraId="0B561340">
      <w:pPr>
        <w:pStyle w:val="36"/>
        <w:ind w:firstLine="480"/>
        <w:jc w:val="center"/>
        <w:rPr>
          <w:rFonts w:ascii="宋体" w:hAnsi="宋体" w:cs="宋体"/>
          <w:sz w:val="24"/>
        </w:rPr>
      </w:pPr>
    </w:p>
    <w:p w14:paraId="5112C196">
      <w:pPr>
        <w:pStyle w:val="36"/>
        <w:ind w:firstLine="480"/>
        <w:jc w:val="center"/>
        <w:rPr>
          <w:rFonts w:ascii="宋体" w:hAnsi="宋体" w:cs="宋体"/>
          <w:sz w:val="24"/>
        </w:rPr>
      </w:pPr>
    </w:p>
    <w:p w14:paraId="597D11E9">
      <w:pPr>
        <w:pStyle w:val="36"/>
        <w:ind w:firstLine="480"/>
        <w:jc w:val="center"/>
        <w:rPr>
          <w:rFonts w:ascii="宋体" w:hAnsi="宋体" w:cs="宋体"/>
          <w:sz w:val="24"/>
        </w:rPr>
      </w:pPr>
    </w:p>
    <w:p w14:paraId="02C717E9">
      <w:pPr>
        <w:pStyle w:val="36"/>
        <w:ind w:firstLine="480"/>
        <w:jc w:val="center"/>
        <w:rPr>
          <w:rFonts w:ascii="宋体" w:hAnsi="宋体" w:cs="宋体"/>
          <w:sz w:val="24"/>
        </w:rPr>
      </w:pPr>
    </w:p>
    <w:p w14:paraId="562351E5">
      <w:pPr>
        <w:pStyle w:val="36"/>
        <w:ind w:firstLine="480"/>
        <w:jc w:val="center"/>
        <w:rPr>
          <w:rFonts w:ascii="宋体" w:hAnsi="宋体" w:cs="宋体"/>
          <w:sz w:val="24"/>
        </w:rPr>
      </w:pPr>
    </w:p>
    <w:p w14:paraId="446EE29D">
      <w:pPr>
        <w:pStyle w:val="36"/>
        <w:ind w:firstLine="480"/>
        <w:jc w:val="center"/>
        <w:rPr>
          <w:rFonts w:ascii="宋体" w:hAnsi="宋体" w:cs="宋体"/>
          <w:sz w:val="24"/>
        </w:rPr>
      </w:pPr>
    </w:p>
    <w:p w14:paraId="389B7B9A">
      <w:pPr>
        <w:pStyle w:val="36"/>
        <w:ind w:firstLine="480"/>
        <w:jc w:val="center"/>
        <w:rPr>
          <w:rFonts w:ascii="宋体" w:hAnsi="宋体" w:cs="宋体"/>
          <w:sz w:val="24"/>
        </w:rPr>
      </w:pPr>
    </w:p>
    <w:p w14:paraId="1F9C21C0">
      <w:pPr>
        <w:pStyle w:val="36"/>
        <w:ind w:firstLine="480"/>
        <w:jc w:val="center"/>
        <w:rPr>
          <w:rFonts w:ascii="宋体" w:hAnsi="宋体" w:cs="宋体"/>
          <w:sz w:val="24"/>
        </w:rPr>
      </w:pPr>
    </w:p>
    <w:p w14:paraId="6F407842">
      <w:pPr>
        <w:pStyle w:val="36"/>
        <w:ind w:firstLine="480"/>
        <w:jc w:val="center"/>
        <w:rPr>
          <w:rFonts w:ascii="宋体" w:hAnsi="宋体" w:cs="宋体"/>
          <w:sz w:val="24"/>
        </w:rPr>
      </w:pPr>
    </w:p>
    <w:p w14:paraId="4B77057E">
      <w:pPr>
        <w:pStyle w:val="36"/>
        <w:ind w:firstLine="480"/>
        <w:jc w:val="center"/>
        <w:rPr>
          <w:rFonts w:ascii="宋体" w:hAnsi="宋体" w:cs="宋体"/>
          <w:sz w:val="24"/>
        </w:rPr>
      </w:pPr>
    </w:p>
    <w:p w14:paraId="23B9BFEF">
      <w:pPr>
        <w:pStyle w:val="36"/>
        <w:ind w:firstLine="480"/>
        <w:jc w:val="center"/>
        <w:rPr>
          <w:rFonts w:ascii="宋体" w:hAnsi="宋体" w:cs="宋体"/>
          <w:sz w:val="24"/>
        </w:rPr>
      </w:pPr>
    </w:p>
    <w:p w14:paraId="146B214E">
      <w:pPr>
        <w:pStyle w:val="36"/>
        <w:ind w:firstLine="480"/>
        <w:jc w:val="center"/>
        <w:rPr>
          <w:rFonts w:ascii="宋体" w:hAnsi="宋体" w:cs="宋体"/>
          <w:sz w:val="24"/>
        </w:rPr>
      </w:pPr>
    </w:p>
    <w:p w14:paraId="55E80E2A">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EDA309">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8CBE965">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4575F3E">
      <w:pPr>
        <w:spacing w:line="360" w:lineRule="auto"/>
        <w:ind w:firstLine="3600" w:firstLineChars="1500"/>
        <w:rPr>
          <w:rFonts w:hint="eastAsia" w:ascii="宋体" w:hAnsi="宋体" w:cs="宋体"/>
          <w:sz w:val="24"/>
        </w:rPr>
      </w:pPr>
    </w:p>
    <w:p w14:paraId="678D8CD5">
      <w:pPr>
        <w:pStyle w:val="2"/>
        <w:rPr>
          <w:rFonts w:hint="eastAsia" w:ascii="宋体" w:hAnsi="宋体" w:cs="宋体"/>
          <w:sz w:val="24"/>
        </w:rPr>
      </w:pPr>
    </w:p>
    <w:p w14:paraId="4B945989">
      <w:pPr>
        <w:pStyle w:val="5"/>
        <w:rPr>
          <w:rFonts w:hint="eastAsia" w:ascii="宋体" w:hAnsi="宋体" w:cs="宋体"/>
          <w:sz w:val="24"/>
        </w:rPr>
      </w:pPr>
    </w:p>
    <w:p w14:paraId="53275DF0">
      <w:pPr>
        <w:pStyle w:val="7"/>
        <w:rPr>
          <w:rFonts w:hint="eastAsia" w:ascii="宋体" w:hAnsi="宋体" w:cs="宋体"/>
          <w:sz w:val="24"/>
        </w:rPr>
      </w:pPr>
    </w:p>
    <w:p w14:paraId="192E6FE0">
      <w:pPr>
        <w:pStyle w:val="7"/>
        <w:rPr>
          <w:rFonts w:hint="eastAsia" w:ascii="宋体" w:hAnsi="宋体" w:cs="宋体"/>
          <w:sz w:val="24"/>
        </w:rPr>
      </w:pPr>
    </w:p>
    <w:p w14:paraId="154A2CE3">
      <w:pPr>
        <w:pStyle w:val="7"/>
        <w:rPr>
          <w:rFonts w:hint="eastAsia" w:ascii="宋体" w:hAnsi="宋体" w:cs="宋体"/>
          <w:sz w:val="24"/>
        </w:rPr>
      </w:pPr>
    </w:p>
    <w:p w14:paraId="2772DE9F">
      <w:pPr>
        <w:pStyle w:val="7"/>
        <w:rPr>
          <w:rFonts w:hint="eastAsia" w:ascii="宋体" w:hAnsi="宋体" w:cs="宋体"/>
          <w:sz w:val="24"/>
        </w:rPr>
      </w:pPr>
    </w:p>
    <w:p w14:paraId="39C4FC7B">
      <w:pPr>
        <w:pStyle w:val="7"/>
        <w:rPr>
          <w:rFonts w:hint="eastAsia" w:ascii="宋体" w:hAnsi="宋体" w:cs="宋体"/>
          <w:sz w:val="24"/>
        </w:rPr>
      </w:pPr>
    </w:p>
    <w:p w14:paraId="56BCFC00">
      <w:pPr>
        <w:pStyle w:val="7"/>
        <w:rPr>
          <w:rFonts w:hint="eastAsia" w:ascii="宋体" w:hAnsi="宋体" w:cs="宋体"/>
          <w:sz w:val="24"/>
        </w:rPr>
      </w:pPr>
    </w:p>
    <w:p w14:paraId="13D73495">
      <w:pPr>
        <w:pStyle w:val="7"/>
        <w:rPr>
          <w:rFonts w:hint="eastAsia" w:ascii="宋体" w:hAnsi="宋体" w:cs="宋体"/>
          <w:sz w:val="24"/>
        </w:rPr>
      </w:pPr>
    </w:p>
    <w:p w14:paraId="0626FE8A">
      <w:pPr>
        <w:pStyle w:val="7"/>
        <w:rPr>
          <w:rFonts w:hint="eastAsia" w:ascii="宋体" w:hAnsi="宋体" w:cs="宋体"/>
          <w:sz w:val="24"/>
        </w:rPr>
      </w:pPr>
    </w:p>
    <w:p w14:paraId="62503BBF">
      <w:pPr>
        <w:pStyle w:val="7"/>
        <w:rPr>
          <w:rFonts w:hint="eastAsia" w:ascii="宋体" w:hAnsi="宋体" w:cs="宋体"/>
          <w:sz w:val="24"/>
        </w:rPr>
      </w:pPr>
    </w:p>
    <w:p w14:paraId="22C72DEA">
      <w:pPr>
        <w:pStyle w:val="7"/>
        <w:rPr>
          <w:rFonts w:hint="eastAsia" w:ascii="宋体" w:hAnsi="宋体" w:cs="宋体"/>
          <w:sz w:val="24"/>
        </w:rPr>
      </w:pPr>
    </w:p>
    <w:p w14:paraId="13FA1DB8">
      <w:pPr>
        <w:pStyle w:val="7"/>
        <w:rPr>
          <w:rFonts w:hint="eastAsia" w:ascii="宋体" w:hAnsi="宋体" w:cs="宋体"/>
          <w:sz w:val="24"/>
        </w:rPr>
      </w:pPr>
    </w:p>
    <w:p w14:paraId="68C01B9D">
      <w:pPr>
        <w:rPr>
          <w:rFonts w:hint="eastAsia" w:ascii="宋体" w:hAnsi="宋体" w:cs="宋体"/>
          <w:sz w:val="24"/>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9"/>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5"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5"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6A5089FF">
            <w:pPr>
              <w:jc w:val="center"/>
            </w:pPr>
            <w:r>
              <w:rPr>
                <w:rFonts w:hint="eastAsia"/>
                <w:lang w:val="en-US" w:eastAsia="zh-CN"/>
              </w:rPr>
              <w:t>实施</w:t>
            </w:r>
            <w:r>
              <w:t>方案</w:t>
            </w:r>
          </w:p>
          <w:p w14:paraId="1DB4B446">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10分）</w:t>
            </w:r>
          </w:p>
        </w:tc>
        <w:tc>
          <w:tcPr>
            <w:tcW w:w="6095" w:type="dxa"/>
          </w:tcPr>
          <w:p w14:paraId="06F3D668">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根据供应商对本项目所提供的项目实施方案（包含监理工程程序、合同管理方案、安全文明施工管理方案、组织协调方案以及监理重点难点监控措施等内容）进行综合评审： </w:t>
            </w:r>
          </w:p>
          <w:p w14:paraId="6E736E10">
            <w:pPr>
              <w:keepNext w:val="0"/>
              <w:keepLines w:val="0"/>
              <w:widowControl/>
              <w:suppressLineNumbers w:val="0"/>
              <w:jc w:val="left"/>
              <w:rPr>
                <w:rFonts w:hint="default"/>
                <w:color w:val="auto"/>
                <w:lang w:val="en-US"/>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auto"/>
                <w:kern w:val="0"/>
                <w:sz w:val="21"/>
                <w:szCs w:val="21"/>
                <w:lang w:val="en-US" w:eastAsia="zh-CN" w:bidi="ar"/>
              </w:rPr>
              <w:t>实施方案</w:t>
            </w:r>
            <w:r>
              <w:rPr>
                <w:rFonts w:hint="eastAsia" w:ascii="宋体" w:hAnsi="宋体" w:cs="宋体"/>
                <w:color w:val="auto"/>
                <w:kern w:val="0"/>
                <w:sz w:val="21"/>
                <w:szCs w:val="21"/>
                <w:lang w:val="en-US" w:eastAsia="zh-CN" w:bidi="ar"/>
              </w:rPr>
              <w:t>内容全面、具体</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针对性强、科学</w:t>
            </w:r>
            <w:r>
              <w:rPr>
                <w:rFonts w:hint="eastAsia" w:ascii="宋体" w:hAnsi="宋体" w:eastAsia="宋体" w:cs="宋体"/>
                <w:color w:val="auto"/>
                <w:kern w:val="0"/>
                <w:sz w:val="21"/>
                <w:szCs w:val="21"/>
                <w:lang w:val="en-US" w:eastAsia="zh-CN" w:bidi="ar"/>
              </w:rPr>
              <w:t>合理</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性强</w:t>
            </w:r>
            <w:r>
              <w:rPr>
                <w:rFonts w:hint="eastAsia" w:ascii="宋体" w:hAnsi="宋体" w:eastAsia="宋体" w:cs="宋体"/>
                <w:color w:val="auto"/>
                <w:kern w:val="0"/>
                <w:sz w:val="21"/>
                <w:szCs w:val="21"/>
                <w:lang w:val="en-US" w:eastAsia="zh-CN" w:bidi="ar"/>
              </w:rPr>
              <w:t>的，得10分。</w:t>
            </w:r>
          </w:p>
          <w:p w14:paraId="3F9A5645">
            <w:pPr>
              <w:keepNext w:val="0"/>
              <w:keepLines w:val="0"/>
              <w:widowControl/>
              <w:suppressLineNumbers w:val="0"/>
              <w:jc w:val="lef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kern w:val="0"/>
                <w:sz w:val="21"/>
                <w:szCs w:val="21"/>
                <w:lang w:val="en-US" w:eastAsia="zh-CN" w:bidi="ar"/>
              </w:rPr>
              <w:t>实施方案内容</w:t>
            </w:r>
            <w:r>
              <w:rPr>
                <w:rFonts w:hint="eastAsia" w:ascii="宋体" w:hAnsi="宋体" w:cs="宋体"/>
                <w:color w:val="auto"/>
                <w:kern w:val="0"/>
                <w:sz w:val="21"/>
                <w:szCs w:val="21"/>
                <w:lang w:val="en-US" w:eastAsia="zh-CN" w:bidi="ar"/>
              </w:rPr>
              <w:t>比较全面</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针对性较强、较</w:t>
            </w:r>
            <w:r>
              <w:rPr>
                <w:rFonts w:hint="eastAsia" w:ascii="宋体" w:hAnsi="宋体" w:eastAsia="宋体" w:cs="宋体"/>
                <w:color w:val="auto"/>
                <w:kern w:val="0"/>
                <w:sz w:val="21"/>
                <w:szCs w:val="21"/>
                <w:lang w:val="en-US" w:eastAsia="zh-CN" w:bidi="ar"/>
              </w:rPr>
              <w:t>合理</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性较强</w:t>
            </w:r>
            <w:r>
              <w:rPr>
                <w:rFonts w:hint="eastAsia" w:ascii="宋体" w:hAnsi="宋体" w:eastAsia="宋体" w:cs="宋体"/>
                <w:color w:val="auto"/>
                <w:kern w:val="0"/>
                <w:sz w:val="21"/>
                <w:szCs w:val="21"/>
                <w:lang w:val="en-US" w:eastAsia="zh-CN" w:bidi="ar"/>
              </w:rPr>
              <w:t>的</w:t>
            </w:r>
            <w:r>
              <w:rPr>
                <w:rFonts w:hint="eastAsia" w:ascii="宋体" w:hAnsi="宋体" w:eastAsia="宋体" w:cs="宋体"/>
                <w:color w:val="auto"/>
                <w:highlight w:val="none"/>
                <w:lang w:val="en-US" w:eastAsia="zh-CN"/>
              </w:rPr>
              <w:t>，得</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分。</w:t>
            </w:r>
          </w:p>
          <w:p w14:paraId="5BD9AECD">
            <w:pPr>
              <w:keepNext w:val="0"/>
              <w:keepLines w:val="0"/>
              <w:widowControl/>
              <w:suppressLineNumbers w:val="0"/>
              <w:jc w:val="lef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w:t>
            </w:r>
            <w:r>
              <w:rPr>
                <w:rFonts w:hint="eastAsia" w:ascii="宋体" w:hAnsi="宋体" w:eastAsia="宋体" w:cs="宋体"/>
                <w:color w:val="auto"/>
                <w:kern w:val="0"/>
                <w:sz w:val="21"/>
                <w:szCs w:val="21"/>
                <w:lang w:val="en-US" w:eastAsia="zh-CN" w:bidi="ar"/>
              </w:rPr>
              <w:t>实施方案</w:t>
            </w:r>
            <w:r>
              <w:rPr>
                <w:rFonts w:hint="eastAsia" w:ascii="宋体" w:hAnsi="宋体" w:cs="宋体"/>
                <w:color w:val="auto"/>
                <w:kern w:val="0"/>
                <w:sz w:val="21"/>
                <w:szCs w:val="21"/>
                <w:lang w:val="en-US" w:eastAsia="zh-CN" w:bidi="ar"/>
              </w:rPr>
              <w:t>一般</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针对性合理性一般、</w:t>
            </w:r>
            <w:r>
              <w:rPr>
                <w:rFonts w:hint="eastAsia" w:ascii="宋体" w:hAnsi="宋体" w:eastAsia="宋体" w:cs="宋体"/>
                <w:color w:val="auto"/>
                <w:kern w:val="0"/>
                <w:sz w:val="21"/>
                <w:szCs w:val="21"/>
                <w:lang w:val="en-US" w:eastAsia="zh-CN" w:bidi="ar"/>
              </w:rPr>
              <w:t>可行</w:t>
            </w:r>
            <w:r>
              <w:rPr>
                <w:rFonts w:hint="eastAsia" w:ascii="宋体" w:hAnsi="宋体" w:cs="宋体"/>
                <w:color w:val="auto"/>
                <w:kern w:val="0"/>
                <w:sz w:val="21"/>
                <w:szCs w:val="21"/>
                <w:lang w:val="en-US" w:eastAsia="zh-CN" w:bidi="ar"/>
              </w:rPr>
              <w:t>性一般</w:t>
            </w:r>
            <w:r>
              <w:rPr>
                <w:rFonts w:hint="eastAsia" w:ascii="宋体" w:hAnsi="宋体" w:eastAsia="宋体" w:cs="宋体"/>
                <w:color w:val="auto"/>
                <w:kern w:val="0"/>
                <w:sz w:val="21"/>
                <w:szCs w:val="21"/>
                <w:lang w:val="en-US" w:eastAsia="zh-CN" w:bidi="ar"/>
              </w:rPr>
              <w:t>的</w:t>
            </w:r>
            <w:r>
              <w:rPr>
                <w:rFonts w:hint="eastAsia" w:ascii="宋体" w:hAnsi="宋体" w:eastAsia="宋体" w:cs="宋体"/>
                <w:color w:val="auto"/>
                <w:highlight w:val="none"/>
                <w:lang w:val="en-US" w:eastAsia="zh-CN"/>
              </w:rPr>
              <w:t>，得</w:t>
            </w: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 xml:space="preserve">分。 </w:t>
            </w:r>
          </w:p>
          <w:p w14:paraId="163F23A7">
            <w:pPr>
              <w:keepNext w:val="0"/>
              <w:keepLines w:val="0"/>
              <w:widowControl/>
              <w:suppressLineNumbers w:val="0"/>
              <w:jc w:val="left"/>
              <w:rPr>
                <w:rFonts w:ascii="宋体" w:hAnsi="宋体" w:cs="宋体"/>
                <w:szCs w:val="21"/>
              </w:rPr>
            </w:pPr>
            <w:r>
              <w:rPr>
                <w:rFonts w:hint="eastAsia" w:ascii="宋体" w:hAnsi="宋体" w:eastAsia="宋体" w:cs="宋体"/>
                <w:color w:val="auto"/>
                <w:highlight w:val="none"/>
                <w:lang w:val="en-US" w:eastAsia="zh-CN"/>
              </w:rPr>
              <w:t>4</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未提供或者实施方案</w:t>
            </w:r>
            <w:r>
              <w:rPr>
                <w:rFonts w:hint="eastAsia" w:ascii="宋体" w:hAnsi="宋体" w:cs="宋体"/>
                <w:color w:val="auto"/>
                <w:kern w:val="0"/>
                <w:sz w:val="21"/>
                <w:szCs w:val="21"/>
                <w:lang w:val="en-US" w:eastAsia="zh-CN" w:bidi="ar"/>
              </w:rPr>
              <w:t>差，</w:t>
            </w:r>
            <w:r>
              <w:rPr>
                <w:rFonts w:hint="eastAsia" w:ascii="宋体" w:hAnsi="宋体" w:cs="宋体"/>
                <w:color w:val="auto"/>
                <w:highlight w:val="none"/>
                <w:lang w:val="en-US" w:eastAsia="zh-CN"/>
              </w:rPr>
              <w:t>不</w:t>
            </w:r>
            <w:r>
              <w:rPr>
                <w:rFonts w:hint="eastAsia" w:ascii="宋体" w:hAnsi="宋体" w:eastAsia="宋体" w:cs="宋体"/>
                <w:color w:val="auto"/>
                <w:highlight w:val="none"/>
                <w:lang w:val="en-US" w:eastAsia="zh-CN"/>
              </w:rPr>
              <w:t>合理</w:t>
            </w:r>
            <w:r>
              <w:rPr>
                <w:rFonts w:hint="eastAsia" w:ascii="宋体" w:hAnsi="宋体" w:cs="宋体"/>
                <w:color w:val="auto"/>
                <w:highlight w:val="none"/>
                <w:lang w:val="en-US" w:eastAsia="zh-CN"/>
              </w:rPr>
              <w:t>、可行性差的</w:t>
            </w:r>
            <w:r>
              <w:rPr>
                <w:rFonts w:hint="eastAsia" w:ascii="宋体" w:hAnsi="宋体" w:eastAsia="宋体" w:cs="宋体"/>
                <w:color w:val="auto"/>
                <w:highlight w:val="none"/>
                <w:lang w:val="en-US" w:eastAsia="zh-CN"/>
              </w:rPr>
              <w:t>，得0分。</w:t>
            </w:r>
          </w:p>
        </w:tc>
        <w:tc>
          <w:tcPr>
            <w:tcW w:w="1155"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2D4845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4F167850">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4A75DBAA">
            <w:pPr>
              <w:widowControl/>
              <w:jc w:val="center"/>
              <w:textAlignment w:val="center"/>
              <w:rPr>
                <w:rFonts w:hint="eastAsia"/>
                <w:color w:val="auto"/>
                <w:lang w:val="en-US" w:eastAsia="zh-CN"/>
              </w:rPr>
            </w:pPr>
            <w:r>
              <w:rPr>
                <w:rFonts w:hint="eastAsia"/>
                <w:color w:val="auto"/>
                <w:lang w:val="en-US" w:eastAsia="zh-CN"/>
              </w:rPr>
              <w:t>质量保证措施</w:t>
            </w:r>
          </w:p>
          <w:p w14:paraId="05FA2F19">
            <w:pPr>
              <w:widowControl/>
              <w:jc w:val="center"/>
              <w:textAlignment w:val="center"/>
              <w:rPr>
                <w:rFonts w:hint="default" w:ascii="Calibri" w:hAnsi="Calibri" w:eastAsia="宋体"/>
                <w:color w:val="auto"/>
                <w:lang w:val="en-US" w:eastAsia="zh-CN"/>
              </w:rPr>
            </w:pP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14:paraId="6C530182">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根据供应商针对本项目提供的质量保证措施（包括工程质量控制措施、材料质量监督措施、施工工艺监督措施、新增变更项目造价合理性及取证管理措施、工程结算造价及资料质量保证措施等内容）进行综合评审： </w:t>
            </w:r>
          </w:p>
          <w:p w14:paraId="5B4B9A4C">
            <w:pPr>
              <w:keepNext w:val="0"/>
              <w:keepLines w:val="0"/>
              <w:widowControl/>
              <w:suppressLineNumbers w:val="0"/>
              <w:jc w:val="left"/>
            </w:pPr>
            <w:r>
              <w:rPr>
                <w:rFonts w:hint="eastAsia" w:ascii="宋体" w:hAnsi="宋体" w:eastAsia="宋体" w:cs="宋体"/>
                <w:color w:val="000000"/>
                <w:kern w:val="0"/>
                <w:sz w:val="21"/>
                <w:szCs w:val="21"/>
                <w:lang w:val="en-US" w:eastAsia="zh-CN" w:bidi="ar"/>
              </w:rPr>
              <w:t>1、质量保证措施</w:t>
            </w:r>
            <w:r>
              <w:rPr>
                <w:rFonts w:hint="eastAsia" w:ascii="宋体" w:hAnsi="宋体" w:cs="宋体"/>
                <w:color w:val="000000"/>
                <w:kern w:val="0"/>
                <w:sz w:val="21"/>
                <w:szCs w:val="21"/>
                <w:lang w:val="en-US" w:eastAsia="zh-CN" w:bidi="ar"/>
              </w:rPr>
              <w:t>合理、高效、</w:t>
            </w:r>
            <w:r>
              <w:rPr>
                <w:rFonts w:hint="eastAsia" w:ascii="宋体" w:hAnsi="宋体" w:eastAsia="宋体" w:cs="宋体"/>
                <w:color w:val="000000"/>
                <w:kern w:val="0"/>
                <w:sz w:val="21"/>
                <w:szCs w:val="21"/>
                <w:lang w:val="en-US" w:eastAsia="zh-CN" w:bidi="ar"/>
              </w:rPr>
              <w:t xml:space="preserve">可行的，得10分。 </w:t>
            </w:r>
          </w:p>
          <w:p w14:paraId="2EE07D5B">
            <w:pPr>
              <w:keepNext w:val="0"/>
              <w:keepLines w:val="0"/>
              <w:widowControl/>
              <w:suppressLineNumbers w:val="0"/>
              <w:jc w:val="left"/>
            </w:pPr>
            <w:r>
              <w:rPr>
                <w:rFonts w:hint="eastAsia" w:ascii="宋体" w:hAnsi="宋体" w:eastAsia="宋体" w:cs="宋体"/>
                <w:color w:val="000000"/>
                <w:kern w:val="0"/>
                <w:sz w:val="21"/>
                <w:szCs w:val="21"/>
                <w:lang w:val="en-US" w:eastAsia="zh-CN" w:bidi="ar"/>
              </w:rPr>
              <w:t>2、质量保证措施</w:t>
            </w:r>
            <w:r>
              <w:rPr>
                <w:rFonts w:hint="eastAsia" w:ascii="宋体" w:hAnsi="宋体" w:cs="宋体"/>
                <w:color w:val="000000"/>
                <w:kern w:val="0"/>
                <w:sz w:val="21"/>
                <w:szCs w:val="21"/>
                <w:lang w:val="en-US" w:eastAsia="zh-CN" w:bidi="ar"/>
              </w:rPr>
              <w:t>较为合理、较高效、较</w:t>
            </w:r>
            <w:r>
              <w:rPr>
                <w:rFonts w:hint="eastAsia" w:ascii="宋体" w:hAnsi="宋体" w:eastAsia="宋体" w:cs="宋体"/>
                <w:color w:val="000000"/>
                <w:kern w:val="0"/>
                <w:sz w:val="21"/>
                <w:szCs w:val="21"/>
                <w:lang w:val="en-US" w:eastAsia="zh-CN" w:bidi="ar"/>
              </w:rPr>
              <w:t xml:space="preserve">可行的，得7分。 </w:t>
            </w:r>
          </w:p>
          <w:p w14:paraId="5813D348">
            <w:pPr>
              <w:keepNext w:val="0"/>
              <w:keepLines w:val="0"/>
              <w:widowControl/>
              <w:suppressLineNumbers w:val="0"/>
              <w:jc w:val="left"/>
            </w:pPr>
            <w:r>
              <w:rPr>
                <w:rFonts w:hint="eastAsia" w:ascii="宋体" w:hAnsi="宋体" w:eastAsia="宋体" w:cs="宋体"/>
                <w:color w:val="000000"/>
                <w:kern w:val="0"/>
                <w:sz w:val="21"/>
                <w:szCs w:val="21"/>
                <w:lang w:val="en-US" w:eastAsia="zh-CN" w:bidi="ar"/>
              </w:rPr>
              <w:t>3、质量保证措施</w:t>
            </w:r>
            <w:r>
              <w:rPr>
                <w:rFonts w:hint="eastAsia" w:ascii="宋体" w:hAnsi="宋体" w:cs="宋体"/>
                <w:color w:val="000000"/>
                <w:kern w:val="0"/>
                <w:sz w:val="21"/>
                <w:szCs w:val="21"/>
                <w:lang w:val="en-US" w:eastAsia="zh-CN" w:bidi="ar"/>
              </w:rPr>
              <w:t>合理性一般、有效性一般、可行性一般的</w:t>
            </w:r>
            <w:r>
              <w:rPr>
                <w:rFonts w:hint="eastAsia" w:ascii="宋体" w:hAnsi="宋体" w:eastAsia="宋体" w:cs="宋体"/>
                <w:color w:val="000000"/>
                <w:kern w:val="0"/>
                <w:sz w:val="21"/>
                <w:szCs w:val="21"/>
                <w:lang w:val="en-US" w:eastAsia="zh-CN" w:bidi="ar"/>
              </w:rPr>
              <w:t xml:space="preserve">，得4分。 </w:t>
            </w:r>
          </w:p>
          <w:p w14:paraId="67A722FB">
            <w:pPr>
              <w:widowControl/>
              <w:textAlignment w:val="center"/>
              <w:rPr>
                <w:rFonts w:ascii="宋体" w:hAnsi="宋体" w:cs="宋体"/>
                <w:color w:val="auto"/>
                <w:szCs w:val="21"/>
              </w:rPr>
            </w:pPr>
            <w:r>
              <w:rPr>
                <w:rFonts w:hint="eastAsia" w:ascii="宋体" w:hAnsi="宋体" w:eastAsia="宋体" w:cs="宋体"/>
                <w:color w:val="000000"/>
                <w:kern w:val="0"/>
                <w:sz w:val="21"/>
                <w:szCs w:val="21"/>
                <w:lang w:val="en-US" w:eastAsia="zh-CN" w:bidi="ar"/>
              </w:rPr>
              <w:t>4、未提供或</w:t>
            </w:r>
            <w:r>
              <w:rPr>
                <w:rFonts w:hint="eastAsia" w:ascii="宋体" w:hAnsi="宋体" w:cs="宋体"/>
                <w:color w:val="000000"/>
                <w:kern w:val="0"/>
                <w:sz w:val="21"/>
                <w:szCs w:val="21"/>
                <w:lang w:val="en-US" w:eastAsia="zh-CN" w:bidi="ar"/>
              </w:rPr>
              <w:t>措施不合理、缺乏有效性、不可行的</w:t>
            </w:r>
            <w:r>
              <w:rPr>
                <w:rFonts w:hint="eastAsia" w:ascii="宋体" w:hAnsi="宋体" w:eastAsia="宋体" w:cs="宋体"/>
                <w:color w:val="000000"/>
                <w:kern w:val="0"/>
                <w:sz w:val="21"/>
                <w:szCs w:val="21"/>
                <w:lang w:val="en-US" w:eastAsia="zh-CN" w:bidi="ar"/>
              </w:rPr>
              <w:t>，得0分。</w:t>
            </w:r>
          </w:p>
        </w:tc>
        <w:tc>
          <w:tcPr>
            <w:tcW w:w="1155" w:type="dxa"/>
            <w:vAlign w:val="center"/>
          </w:tcPr>
          <w:p w14:paraId="3FADEEB6">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E056711">
            <w:pPr>
              <w:jc w:val="center"/>
              <w:rPr>
                <w:rFonts w:ascii="宋体" w:hAnsi="宋体" w:cs="宋体"/>
                <w:szCs w:val="21"/>
              </w:rPr>
            </w:pPr>
            <w:r>
              <w:rPr>
                <w:rFonts w:hint="eastAsia" w:ascii="宋体" w:hAnsi="宋体" w:cs="宋体"/>
                <w:szCs w:val="21"/>
              </w:rPr>
              <w:t>□无</w:t>
            </w:r>
          </w:p>
        </w:tc>
        <w:tc>
          <w:tcPr>
            <w:tcW w:w="1352" w:type="dxa"/>
            <w:vAlign w:val="center"/>
          </w:tcPr>
          <w:p w14:paraId="63138ABD">
            <w:pPr>
              <w:jc w:val="center"/>
              <w:rPr>
                <w:rFonts w:hint="eastAsia" w:ascii="宋体" w:hAnsi="宋体" w:cs="宋体"/>
                <w:szCs w:val="21"/>
              </w:rPr>
            </w:pPr>
            <w:r>
              <w:rPr>
                <w:rFonts w:hint="eastAsia" w:ascii="宋体" w:hAnsi="宋体" w:cs="宋体"/>
                <w:szCs w:val="21"/>
              </w:rPr>
              <w:t>见响应文件</w:t>
            </w:r>
          </w:p>
          <w:p w14:paraId="08F77C7C">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0E926774">
            <w:pPr>
              <w:widowControl/>
              <w:jc w:val="center"/>
              <w:textAlignment w:val="center"/>
              <w:rPr>
                <w:rFonts w:hint="eastAsia" w:ascii="宋体" w:hAnsi="宋体" w:eastAsia="宋体" w:cs="宋体"/>
                <w:color w:val="auto"/>
                <w:sz w:val="21"/>
                <w:szCs w:val="21"/>
                <w:highlight w:val="none"/>
                <w:lang w:bidi="ar"/>
              </w:rPr>
            </w:pPr>
            <w:r>
              <w:rPr>
                <w:rFonts w:hint="eastAsia" w:ascii="宋体" w:hAnsi="宋体" w:cs="宋体"/>
                <w:color w:val="auto"/>
                <w:sz w:val="21"/>
                <w:szCs w:val="21"/>
                <w:highlight w:val="none"/>
                <w:lang w:val="en-US" w:eastAsia="zh-CN" w:bidi="ar"/>
              </w:rPr>
              <w:t>进度</w:t>
            </w:r>
            <w:r>
              <w:rPr>
                <w:rFonts w:hint="eastAsia" w:ascii="宋体" w:hAnsi="宋体" w:eastAsia="宋体" w:cs="宋体"/>
                <w:color w:val="auto"/>
                <w:sz w:val="21"/>
                <w:szCs w:val="21"/>
                <w:highlight w:val="none"/>
                <w:lang w:bidi="ar"/>
              </w:rPr>
              <w:t>保障措施</w:t>
            </w:r>
          </w:p>
          <w:p w14:paraId="05C97ABC">
            <w:pPr>
              <w:widowControl/>
              <w:jc w:val="center"/>
              <w:textAlignment w:val="center"/>
              <w:rPr>
                <w:rFonts w:hint="default" w:ascii="Calibri" w:hAnsi="Calibri" w:eastAsia="宋体"/>
                <w:color w:val="auto"/>
                <w:lang w:val="en-US" w:eastAsia="zh-CN"/>
              </w:rPr>
            </w:pP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14:paraId="1227FD2A">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根据投标人针对本项目提供的进度保障措施进行综合评审： </w:t>
            </w:r>
          </w:p>
          <w:p w14:paraId="332432A6">
            <w:pPr>
              <w:keepNext w:val="0"/>
              <w:keepLines w:val="0"/>
              <w:widowControl/>
              <w:suppressLineNumbers w:val="0"/>
              <w:jc w:val="left"/>
            </w:pPr>
            <w:r>
              <w:rPr>
                <w:rFonts w:hint="eastAsia" w:ascii="宋体" w:hAnsi="宋体" w:eastAsia="宋体" w:cs="宋体"/>
                <w:color w:val="000000"/>
                <w:kern w:val="0"/>
                <w:sz w:val="21"/>
                <w:szCs w:val="21"/>
                <w:lang w:val="en-US" w:eastAsia="zh-CN" w:bidi="ar"/>
              </w:rPr>
              <w:t>1、进度保障措施全面</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具体，计划详细可行的，得10分。 </w:t>
            </w:r>
          </w:p>
          <w:p w14:paraId="4752CCDD">
            <w:pPr>
              <w:keepNext w:val="0"/>
              <w:keepLines w:val="0"/>
              <w:widowControl/>
              <w:suppressLineNumbers w:val="0"/>
              <w:jc w:val="left"/>
            </w:pPr>
            <w:r>
              <w:rPr>
                <w:rFonts w:hint="eastAsia" w:ascii="宋体" w:hAnsi="宋体" w:eastAsia="宋体" w:cs="宋体"/>
                <w:color w:val="000000"/>
                <w:kern w:val="0"/>
                <w:sz w:val="21"/>
                <w:szCs w:val="21"/>
                <w:lang w:val="en-US" w:eastAsia="zh-CN" w:bidi="ar"/>
              </w:rPr>
              <w:t>2、进度保障措施</w:t>
            </w:r>
            <w:r>
              <w:rPr>
                <w:rFonts w:hint="eastAsia" w:ascii="宋体" w:hAnsi="宋体" w:cs="宋体"/>
                <w:color w:val="000000"/>
                <w:kern w:val="0"/>
                <w:sz w:val="21"/>
                <w:szCs w:val="21"/>
                <w:lang w:val="en-US" w:eastAsia="zh-CN" w:bidi="ar"/>
              </w:rPr>
              <w:t>较</w:t>
            </w:r>
            <w:r>
              <w:rPr>
                <w:rFonts w:hint="eastAsia" w:ascii="宋体" w:hAnsi="宋体" w:eastAsia="宋体" w:cs="宋体"/>
                <w:color w:val="000000"/>
                <w:kern w:val="0"/>
                <w:sz w:val="21"/>
                <w:szCs w:val="21"/>
                <w:lang w:val="en-US" w:eastAsia="zh-CN" w:bidi="ar"/>
              </w:rPr>
              <w:t>全面</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计划</w:t>
            </w:r>
            <w:r>
              <w:rPr>
                <w:rFonts w:hint="eastAsia" w:ascii="宋体" w:hAnsi="宋体" w:cs="宋体"/>
                <w:color w:val="000000"/>
                <w:kern w:val="0"/>
                <w:sz w:val="21"/>
                <w:szCs w:val="21"/>
                <w:lang w:val="en-US" w:eastAsia="zh-CN" w:bidi="ar"/>
              </w:rPr>
              <w:t>较</w:t>
            </w:r>
            <w:r>
              <w:rPr>
                <w:rFonts w:hint="eastAsia" w:ascii="宋体" w:hAnsi="宋体" w:eastAsia="宋体" w:cs="宋体"/>
                <w:color w:val="000000"/>
                <w:kern w:val="0"/>
                <w:sz w:val="21"/>
                <w:szCs w:val="21"/>
                <w:lang w:val="en-US" w:eastAsia="zh-CN" w:bidi="ar"/>
              </w:rPr>
              <w:t xml:space="preserve">可行的，得7分。 </w:t>
            </w:r>
          </w:p>
          <w:p w14:paraId="5AE823AC">
            <w:pPr>
              <w:keepNext w:val="0"/>
              <w:keepLines w:val="0"/>
              <w:widowControl/>
              <w:suppressLineNumbers w:val="0"/>
              <w:jc w:val="left"/>
            </w:pPr>
            <w:r>
              <w:rPr>
                <w:rFonts w:hint="eastAsia" w:ascii="宋体" w:hAnsi="宋体" w:eastAsia="宋体" w:cs="宋体"/>
                <w:color w:val="000000"/>
                <w:kern w:val="0"/>
                <w:sz w:val="21"/>
                <w:szCs w:val="21"/>
                <w:lang w:val="en-US" w:eastAsia="zh-CN" w:bidi="ar"/>
              </w:rPr>
              <w:t>3、进度保障措施</w:t>
            </w:r>
            <w:r>
              <w:rPr>
                <w:rFonts w:hint="eastAsia" w:ascii="宋体" w:hAnsi="宋体" w:cs="宋体"/>
                <w:color w:val="000000"/>
                <w:kern w:val="0"/>
                <w:sz w:val="21"/>
                <w:szCs w:val="21"/>
                <w:lang w:val="en-US" w:eastAsia="zh-CN" w:bidi="ar"/>
              </w:rPr>
              <w:t>一般</w:t>
            </w:r>
            <w:r>
              <w:rPr>
                <w:rFonts w:hint="eastAsia" w:ascii="宋体" w:hAnsi="宋体" w:eastAsia="宋体" w:cs="宋体"/>
                <w:color w:val="000000"/>
                <w:kern w:val="0"/>
                <w:sz w:val="21"/>
                <w:szCs w:val="21"/>
                <w:lang w:val="en-US" w:eastAsia="zh-CN" w:bidi="ar"/>
              </w:rPr>
              <w:t>，计划</w:t>
            </w:r>
            <w:r>
              <w:rPr>
                <w:rFonts w:hint="eastAsia" w:ascii="宋体" w:hAnsi="宋体" w:cs="宋体"/>
                <w:color w:val="000000"/>
                <w:kern w:val="0"/>
                <w:sz w:val="21"/>
                <w:szCs w:val="21"/>
                <w:lang w:val="en-US" w:eastAsia="zh-CN" w:bidi="ar"/>
              </w:rPr>
              <w:t>合理性一般、可行性一般</w:t>
            </w:r>
            <w:r>
              <w:rPr>
                <w:rFonts w:hint="eastAsia" w:ascii="宋体" w:hAnsi="宋体" w:eastAsia="宋体" w:cs="宋体"/>
                <w:color w:val="000000"/>
                <w:kern w:val="0"/>
                <w:sz w:val="21"/>
                <w:szCs w:val="21"/>
                <w:lang w:val="en-US" w:eastAsia="zh-CN" w:bidi="ar"/>
              </w:rPr>
              <w:t xml:space="preserve">的，得4分。 </w:t>
            </w:r>
          </w:p>
          <w:p w14:paraId="5DD612A7">
            <w:pPr>
              <w:widowControl/>
              <w:numPr>
                <w:ilvl w:val="0"/>
                <w:numId w:val="0"/>
              </w:numPr>
              <w:ind w:leftChars="0"/>
              <w:jc w:val="left"/>
              <w:textAlignment w:val="center"/>
              <w:rPr>
                <w:rFonts w:ascii="宋体" w:hAnsi="宋体" w:cs="宋体"/>
                <w:szCs w:val="21"/>
              </w:rPr>
            </w:pPr>
            <w:r>
              <w:rPr>
                <w:rFonts w:hint="eastAsia" w:ascii="宋体" w:hAnsi="宋体" w:eastAsia="宋体" w:cs="宋体"/>
                <w:color w:val="000000"/>
                <w:kern w:val="0"/>
                <w:sz w:val="21"/>
                <w:szCs w:val="21"/>
                <w:lang w:val="en-US" w:eastAsia="zh-CN" w:bidi="ar"/>
              </w:rPr>
              <w:t>4、未提供或</w:t>
            </w:r>
            <w:r>
              <w:rPr>
                <w:rFonts w:hint="eastAsia" w:ascii="宋体" w:hAnsi="宋体" w:cs="宋体"/>
                <w:color w:val="000000"/>
                <w:kern w:val="0"/>
                <w:sz w:val="21"/>
                <w:szCs w:val="21"/>
                <w:lang w:val="en-US" w:eastAsia="zh-CN" w:bidi="ar"/>
              </w:rPr>
              <w:t>措施不合理、计划不可行的</w:t>
            </w:r>
            <w:r>
              <w:rPr>
                <w:rFonts w:hint="eastAsia" w:ascii="宋体" w:hAnsi="宋体" w:eastAsia="宋体" w:cs="宋体"/>
                <w:color w:val="000000"/>
                <w:kern w:val="0"/>
                <w:sz w:val="21"/>
                <w:szCs w:val="21"/>
                <w:lang w:val="en-US" w:eastAsia="zh-CN" w:bidi="ar"/>
              </w:rPr>
              <w:t>，得0分。</w:t>
            </w:r>
          </w:p>
        </w:tc>
        <w:tc>
          <w:tcPr>
            <w:tcW w:w="1155"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bl>
    <w:p w14:paraId="5D87B8B6">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36"/>
        <w:rPr>
          <w:rStyle w:val="39"/>
        </w:rPr>
      </w:pPr>
      <w:r>
        <w:rPr>
          <w:rFonts w:hint="eastAsia" w:ascii="宋体" w:hAnsi="宋体" w:cs="宋体"/>
          <w:sz w:val="21"/>
          <w:szCs w:val="21"/>
        </w:rPr>
        <w:t>5.本自查表不得擅自删改。</w:t>
      </w: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3"/>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5.1实施方案</w:t>
      </w:r>
    </w:p>
    <w:p w14:paraId="045959CC">
      <w:pPr>
        <w:shd w:val="clear" w:color="auto" w:fill="FFFFFF"/>
        <w:ind w:left="0" w:leftChars="0" w:firstLine="0" w:firstLineChars="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06E6DCB5">
      <w:pPr>
        <w:shd w:val="clear" w:color="auto" w:fill="FFFFFF"/>
        <w:ind w:left="0" w:leftChars="0"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5CCC2473">
      <w:pPr>
        <w:pStyle w:val="3"/>
        <w:rPr>
          <w:rFonts w:hint="eastAsia" w:ascii="宋体" w:hAnsi="宋体" w:cs="宋体"/>
          <w:b/>
          <w:sz w:val="32"/>
          <w:highlight w:val="none"/>
          <w:lang w:val="en-US" w:eastAsia="zh-CN"/>
        </w:rPr>
      </w:pPr>
    </w:p>
    <w:p w14:paraId="36DDA8A8">
      <w:pPr>
        <w:pStyle w:val="3"/>
        <w:rPr>
          <w:rFonts w:hint="eastAsia" w:ascii="宋体" w:hAnsi="宋体" w:cs="宋体"/>
          <w:b/>
          <w:sz w:val="32"/>
          <w:highlight w:val="none"/>
          <w:lang w:val="en-US" w:eastAsia="zh-CN"/>
        </w:rPr>
      </w:pPr>
    </w:p>
    <w:p w14:paraId="10D86EAA">
      <w:pPr>
        <w:pStyle w:val="3"/>
        <w:rPr>
          <w:rFonts w:hint="eastAsia" w:ascii="宋体" w:hAnsi="宋体" w:cs="宋体"/>
          <w:b/>
          <w:sz w:val="32"/>
          <w:highlight w:val="none"/>
          <w:lang w:val="en-US" w:eastAsia="zh-CN"/>
        </w:rPr>
      </w:pPr>
    </w:p>
    <w:p w14:paraId="5AEC0BBC">
      <w:pPr>
        <w:pStyle w:val="3"/>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3"/>
        <w:rPr>
          <w:rFonts w:hint="eastAsia" w:ascii="宋体" w:hAnsi="宋体" w:cs="宋体"/>
          <w:b/>
          <w:sz w:val="32"/>
          <w:highlight w:val="none"/>
          <w:lang w:val="en-US" w:eastAsia="zh-CN"/>
        </w:rPr>
      </w:pPr>
    </w:p>
    <w:p w14:paraId="1C14A47B">
      <w:pPr>
        <w:rPr>
          <w:rFonts w:hint="eastAsia" w:ascii="宋体" w:hAnsi="宋体" w:cs="宋体"/>
          <w:b/>
          <w:sz w:val="32"/>
          <w:lang w:val="en-US" w:eastAsia="zh-CN"/>
        </w:rPr>
      </w:pPr>
    </w:p>
    <w:p w14:paraId="7C082045">
      <w:pPr>
        <w:rPr>
          <w:rFonts w:hint="eastAsia" w:ascii="宋体" w:hAnsi="宋体" w:cs="宋体"/>
          <w:b/>
          <w:sz w:val="32"/>
          <w:lang w:val="en-US" w:eastAsia="zh-CN"/>
        </w:rPr>
      </w:pPr>
    </w:p>
    <w:p w14:paraId="73AEDA70">
      <w:pPr>
        <w:pStyle w:val="3"/>
        <w:jc w:val="center"/>
        <w:rPr>
          <w:rFonts w:hint="default" w:ascii="宋体" w:hAnsi="宋体" w:eastAsia="宋体" w:cs="宋体"/>
          <w:b/>
          <w:sz w:val="32"/>
          <w:lang w:val="en-US" w:eastAsia="zh-CN"/>
        </w:rPr>
      </w:pPr>
      <w:r>
        <w:rPr>
          <w:rFonts w:hint="eastAsia" w:ascii="宋体" w:hAnsi="宋体" w:cs="宋体"/>
          <w:b/>
          <w:sz w:val="32"/>
          <w:lang w:val="en-US" w:eastAsia="zh-CN"/>
        </w:rPr>
        <w:t>5.2质量保证措施</w:t>
      </w:r>
    </w:p>
    <w:p w14:paraId="184A1AFA">
      <w:pPr>
        <w:pStyle w:val="36"/>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6069ACFE">
      <w:pPr>
        <w:pStyle w:val="36"/>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7FD6295">
      <w:pPr>
        <w:pStyle w:val="3"/>
        <w:rPr>
          <w:rFonts w:hint="eastAsia" w:ascii="宋体" w:hAnsi="宋体" w:cs="宋体"/>
          <w:b/>
          <w:sz w:val="32"/>
          <w:lang w:val="en-US" w:eastAsia="zh-CN"/>
        </w:rPr>
      </w:pPr>
    </w:p>
    <w:p w14:paraId="0210C486">
      <w:pPr>
        <w:pStyle w:val="3"/>
        <w:rPr>
          <w:rFonts w:hint="eastAsia" w:ascii="宋体" w:hAnsi="宋体" w:cs="宋体"/>
          <w:b/>
          <w:sz w:val="32"/>
          <w:lang w:val="en-US" w:eastAsia="zh-CN"/>
        </w:rPr>
      </w:pPr>
    </w:p>
    <w:p w14:paraId="3DB91D89">
      <w:pPr>
        <w:pStyle w:val="3"/>
        <w:rPr>
          <w:rFonts w:hint="eastAsia" w:ascii="宋体" w:hAnsi="宋体" w:cs="宋体"/>
          <w:b/>
          <w:sz w:val="32"/>
          <w:lang w:val="en-US" w:eastAsia="zh-CN"/>
        </w:rPr>
      </w:pPr>
    </w:p>
    <w:p w14:paraId="66D5DD48">
      <w:pPr>
        <w:pStyle w:val="3"/>
        <w:rPr>
          <w:rFonts w:hint="eastAsia" w:ascii="宋体" w:hAnsi="宋体" w:cs="宋体"/>
          <w:b/>
          <w:sz w:val="32"/>
          <w:lang w:val="en-US" w:eastAsia="zh-CN"/>
        </w:rPr>
      </w:pPr>
    </w:p>
    <w:p w14:paraId="7166679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CB41F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9326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6E8300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828C8AC">
      <w:pPr>
        <w:pStyle w:val="2"/>
        <w:rPr>
          <w:rFonts w:hint="eastAsia"/>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cs="宋体"/>
          <w:b/>
          <w:kern w:val="2"/>
          <w:sz w:val="32"/>
          <w:szCs w:val="24"/>
          <w:lang w:val="en-US" w:eastAsia="zh-CN" w:bidi="ar-SA"/>
        </w:rPr>
        <w:t>进度</w:t>
      </w:r>
      <w:r>
        <w:rPr>
          <w:rFonts w:hint="eastAsia" w:ascii="宋体" w:hAnsi="宋体" w:eastAsia="宋体" w:cs="宋体"/>
          <w:b/>
          <w:kern w:val="2"/>
          <w:sz w:val="32"/>
          <w:szCs w:val="24"/>
          <w:lang w:val="en-US" w:eastAsia="zh-CN" w:bidi="ar-SA"/>
        </w:rPr>
        <w:t>保障措施</w:t>
      </w:r>
    </w:p>
    <w:p w14:paraId="7F0A66CF">
      <w:pPr>
        <w:pStyle w:val="36"/>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01F12C95">
      <w:pPr>
        <w:pStyle w:val="36"/>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BFAAB31">
      <w:pPr>
        <w:pStyle w:val="36"/>
        <w:ind w:firstLine="400"/>
        <w:rPr>
          <w:rFonts w:ascii="宋体" w:hAnsi="宋体" w:cs="宋体"/>
          <w:szCs w:val="21"/>
          <w:lang w:val="en-GB"/>
        </w:rPr>
      </w:pPr>
    </w:p>
    <w:p w14:paraId="76C62192">
      <w:pPr>
        <w:pStyle w:val="36"/>
        <w:ind w:firstLine="400"/>
        <w:rPr>
          <w:rFonts w:ascii="宋体" w:hAnsi="宋体" w:cs="宋体"/>
          <w:szCs w:val="21"/>
          <w:lang w:val="en-GB"/>
        </w:rPr>
      </w:pPr>
    </w:p>
    <w:p w14:paraId="26DCD0C1">
      <w:pPr>
        <w:pStyle w:val="36"/>
        <w:ind w:firstLine="400"/>
      </w:pPr>
    </w:p>
    <w:p w14:paraId="20F7AD52">
      <w:pPr>
        <w:pStyle w:val="36"/>
        <w:ind w:firstLine="400"/>
      </w:pPr>
    </w:p>
    <w:p w14:paraId="7239A5BB">
      <w:pPr>
        <w:pStyle w:val="36"/>
        <w:ind w:firstLine="400"/>
      </w:pPr>
    </w:p>
    <w:p w14:paraId="1F911043">
      <w:pPr>
        <w:pStyle w:val="36"/>
        <w:ind w:firstLine="400"/>
      </w:pPr>
    </w:p>
    <w:p w14:paraId="38FAAAC3">
      <w:pPr>
        <w:pStyle w:val="36"/>
        <w:ind w:firstLine="400"/>
      </w:pPr>
    </w:p>
    <w:p w14:paraId="0A8ADB19">
      <w:pPr>
        <w:pStyle w:val="36"/>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306058A8">
      <w:pPr>
        <w:spacing w:line="360" w:lineRule="auto"/>
        <w:ind w:firstLine="3684" w:firstLineChars="1535"/>
        <w:jc w:val="left"/>
        <w:rPr>
          <w:rFonts w:hint="eastAsia" w:ascii="宋体" w:hAnsi="宋体" w:cs="宋体"/>
          <w:sz w:val="24"/>
        </w:rPr>
      </w:pPr>
    </w:p>
    <w:p w14:paraId="78FE479F">
      <w:pPr>
        <w:rPr>
          <w:rFonts w:hint="eastAsia"/>
          <w:lang w:val="en-US" w:eastAsia="zh-CN"/>
        </w:rPr>
      </w:pPr>
    </w:p>
    <w:sectPr>
      <w:headerReference r:id="rId6" w:type="default"/>
      <w:footerReference r:id="rId7" w:type="default"/>
      <w:pgSz w:w="11906" w:h="16838"/>
      <w:pgMar w:top="1134" w:right="1037" w:bottom="1037"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7E88B8-134E-4D7A-B93B-B7C7642699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226ECA8-B0C6-4E1A-9A94-155393941E31}"/>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BA22F3C1-6DC5-4FD7-94D0-6A12EC8ECFF2}"/>
  </w:font>
  <w:font w:name="仿宋_GB2312">
    <w:panose1 w:val="02010609030101010101"/>
    <w:charset w:val="86"/>
    <w:family w:val="modern"/>
    <w:pitch w:val="default"/>
    <w:sig w:usb0="00000001" w:usb1="080E0000" w:usb2="00000000" w:usb3="00000000" w:csb0="00040000" w:csb1="00000000"/>
    <w:embedRegular r:id="rId4" w:fontKey="{1C275F53-9A0A-4A07-BD9D-08E5EA38231F}"/>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AA537D04-26D1-4768-BA5E-27CAF6578D0F}"/>
  </w:font>
  <w:font w:name="华文中宋">
    <w:panose1 w:val="02010600040101010101"/>
    <w:charset w:val="86"/>
    <w:family w:val="auto"/>
    <w:pitch w:val="default"/>
    <w:sig w:usb0="00000287" w:usb1="080F0000" w:usb2="00000000" w:usb3="00000000" w:csb0="0004009F" w:csb1="DFD70000"/>
    <w:embedRegular r:id="rId6" w:fontKey="{98A29D6E-611E-47E2-9296-46BFDD304CC9}"/>
  </w:font>
  <w:font w:name="华文仿宋">
    <w:panose1 w:val="02010600040101010101"/>
    <w:charset w:val="86"/>
    <w:family w:val="auto"/>
    <w:pitch w:val="default"/>
    <w:sig w:usb0="00000287" w:usb1="080F0000" w:usb2="00000000" w:usb3="00000000" w:csb0="0004009F" w:csb1="DFD70000"/>
    <w:embedRegular r:id="rId7" w:fontKey="{E2DAA9D1-6B89-45D6-B3E7-4DD4C0D1E80B}"/>
  </w:font>
  <w:font w:name="仿宋">
    <w:panose1 w:val="02010609060101010101"/>
    <w:charset w:val="86"/>
    <w:family w:val="modern"/>
    <w:pitch w:val="default"/>
    <w:sig w:usb0="800002BF" w:usb1="38CF7CFA" w:usb2="00000016" w:usb3="00000000" w:csb0="00040001" w:csb1="00000000"/>
    <w:embedRegular r:id="rId8" w:fontKey="{F7E75441-271B-4A3E-8945-11F522F1935C}"/>
  </w:font>
  <w:font w:name="Helvetica">
    <w:altName w:val="Arial"/>
    <w:panose1 w:val="020B0604020202020204"/>
    <w:charset w:val="00"/>
    <w:family w:val="swiss"/>
    <w:pitch w:val="default"/>
    <w:sig w:usb0="00000000" w:usb1="00000000" w:usb2="00000000" w:usb3="00000000" w:csb0="00000001" w:csb1="00000000"/>
    <w:embedRegular r:id="rId9" w:fontKey="{06D2D7D8-7601-4B9D-B9E5-887FC82942D7}"/>
  </w:font>
  <w:font w:name="Calibri Light">
    <w:panose1 w:val="020F0302020204030204"/>
    <w:charset w:val="00"/>
    <w:family w:val="swiss"/>
    <w:pitch w:val="default"/>
    <w:sig w:usb0="E4002EFF" w:usb1="C000247B" w:usb2="00000009" w:usb3="00000000" w:csb0="200001FF" w:csb1="00000000"/>
    <w:embedRegular r:id="rId10" w:fontKey="{BEB7456E-1DD8-47B8-8929-58F7A03B018F}"/>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23"/>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686C0">
                          <w:pPr>
                            <w:pStyle w:val="23"/>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8D686C0">
                    <w:pPr>
                      <w:pStyle w:val="23"/>
                    </w:pPr>
                    <w:r>
                      <w:fldChar w:fldCharType="begin"/>
                    </w:r>
                    <w:r>
                      <w:instrText xml:space="preserve"> PAGE  \* MERGEFORMAT </w:instrText>
                    </w:r>
                    <w:r>
                      <w:fldChar w:fldCharType="separate"/>
                    </w:r>
                    <w:r>
                      <w:t>0</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08FB4">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1D08FB4">
                    <w:pPr>
                      <w:pStyle w:val="2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23"/>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D59E5">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F2D59E5">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169A9">
    <w:pPr>
      <w:pStyle w:val="3"/>
      <w:spacing w:line="14" w:lineRule="auto"/>
      <w:ind w:left="0"/>
      <w:rPr>
        <w:sz w:val="12"/>
      </w:rPr>
    </w:pPr>
    <w:r>
      <w:rPr>
        <w:sz w:val="1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1519E">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851519E">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2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43113">
                          <w:pPr>
                            <w:pStyle w:val="23"/>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C743113">
                    <w:pPr>
                      <w:pStyle w:val="23"/>
                    </w:pPr>
                    <w:r>
                      <w:fldChar w:fldCharType="begin"/>
                    </w:r>
                    <w:r>
                      <w:instrText xml:space="preserve"> PAGE  \* MERGEFORMAT </w:instrText>
                    </w:r>
                    <w:r>
                      <w:fldChar w:fldCharType="separate"/>
                    </w:r>
                    <w:r>
                      <w:t>88</w:t>
                    </w:r>
                    <w:r>
                      <w:fldChar w:fldCharType="end"/>
                    </w:r>
                  </w:p>
                </w:txbxContent>
              </v:textbox>
            </v:shape>
          </w:pict>
        </mc:Fallback>
      </mc:AlternateContent>
    </w:r>
  </w:p>
  <w:p w14:paraId="573F112C">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24"/>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lowerLetter"/>
      <w:lvlText w:val="%1."/>
      <w:lvlJc w:val="left"/>
      <w:pPr>
        <w:ind w:left="1144" w:hanging="303"/>
      </w:pPr>
      <w:rPr>
        <w:rFonts w:hint="default" w:ascii="Times New Roman" w:hAnsi="Times New Roman" w:eastAsia="Times New Roman" w:cs="Times New Roman"/>
        <w:spacing w:val="0"/>
        <w:w w:val="100"/>
        <w:sz w:val="24"/>
        <w:szCs w:val="24"/>
        <w:lang w:val="zh-CN" w:eastAsia="zh-CN" w:bidi="zh-CN"/>
      </w:rPr>
    </w:lvl>
    <w:lvl w:ilvl="1" w:tentative="0">
      <w:start w:val="0"/>
      <w:numFmt w:val="bullet"/>
      <w:lvlText w:val="•"/>
      <w:lvlJc w:val="left"/>
      <w:pPr>
        <w:ind w:left="2018" w:hanging="303"/>
      </w:pPr>
      <w:rPr>
        <w:rFonts w:hint="default"/>
        <w:lang w:val="zh-CN" w:eastAsia="zh-CN" w:bidi="zh-CN"/>
      </w:rPr>
    </w:lvl>
    <w:lvl w:ilvl="2" w:tentative="0">
      <w:start w:val="0"/>
      <w:numFmt w:val="bullet"/>
      <w:lvlText w:val="•"/>
      <w:lvlJc w:val="left"/>
      <w:pPr>
        <w:ind w:left="2897" w:hanging="303"/>
      </w:pPr>
      <w:rPr>
        <w:rFonts w:hint="default"/>
        <w:lang w:val="zh-CN" w:eastAsia="zh-CN" w:bidi="zh-CN"/>
      </w:rPr>
    </w:lvl>
    <w:lvl w:ilvl="3" w:tentative="0">
      <w:start w:val="0"/>
      <w:numFmt w:val="bullet"/>
      <w:lvlText w:val="•"/>
      <w:lvlJc w:val="left"/>
      <w:pPr>
        <w:ind w:left="3775" w:hanging="303"/>
      </w:pPr>
      <w:rPr>
        <w:rFonts w:hint="default"/>
        <w:lang w:val="zh-CN" w:eastAsia="zh-CN" w:bidi="zh-CN"/>
      </w:rPr>
    </w:lvl>
    <w:lvl w:ilvl="4" w:tentative="0">
      <w:start w:val="0"/>
      <w:numFmt w:val="bullet"/>
      <w:lvlText w:val="•"/>
      <w:lvlJc w:val="left"/>
      <w:pPr>
        <w:ind w:left="4654" w:hanging="303"/>
      </w:pPr>
      <w:rPr>
        <w:rFonts w:hint="default"/>
        <w:lang w:val="zh-CN" w:eastAsia="zh-CN" w:bidi="zh-CN"/>
      </w:rPr>
    </w:lvl>
    <w:lvl w:ilvl="5" w:tentative="0">
      <w:start w:val="0"/>
      <w:numFmt w:val="bullet"/>
      <w:lvlText w:val="•"/>
      <w:lvlJc w:val="left"/>
      <w:pPr>
        <w:ind w:left="5533" w:hanging="303"/>
      </w:pPr>
      <w:rPr>
        <w:rFonts w:hint="default"/>
        <w:lang w:val="zh-CN" w:eastAsia="zh-CN" w:bidi="zh-CN"/>
      </w:rPr>
    </w:lvl>
    <w:lvl w:ilvl="6" w:tentative="0">
      <w:start w:val="0"/>
      <w:numFmt w:val="bullet"/>
      <w:lvlText w:val="•"/>
      <w:lvlJc w:val="left"/>
      <w:pPr>
        <w:ind w:left="6411" w:hanging="303"/>
      </w:pPr>
      <w:rPr>
        <w:rFonts w:hint="default"/>
        <w:lang w:val="zh-CN" w:eastAsia="zh-CN" w:bidi="zh-CN"/>
      </w:rPr>
    </w:lvl>
    <w:lvl w:ilvl="7" w:tentative="0">
      <w:start w:val="0"/>
      <w:numFmt w:val="bullet"/>
      <w:lvlText w:val="•"/>
      <w:lvlJc w:val="left"/>
      <w:pPr>
        <w:ind w:left="7290" w:hanging="303"/>
      </w:pPr>
      <w:rPr>
        <w:rFonts w:hint="default"/>
        <w:lang w:val="zh-CN" w:eastAsia="zh-CN" w:bidi="zh-CN"/>
      </w:rPr>
    </w:lvl>
    <w:lvl w:ilvl="8" w:tentative="0">
      <w:start w:val="0"/>
      <w:numFmt w:val="bullet"/>
      <w:lvlText w:val="•"/>
      <w:lvlJc w:val="left"/>
      <w:pPr>
        <w:ind w:left="8169" w:hanging="303"/>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223" w:hanging="624"/>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223" w:hanging="366"/>
      </w:pPr>
      <w:rPr>
        <w:rFonts w:hint="default" w:ascii="Times New Roman" w:hAnsi="Times New Roman" w:eastAsia="Times New Roman" w:cs="Times New Roman"/>
        <w:spacing w:val="-32"/>
        <w:w w:val="100"/>
        <w:sz w:val="22"/>
        <w:szCs w:val="22"/>
        <w:lang w:val="zh-CN" w:eastAsia="zh-CN" w:bidi="zh-CN"/>
      </w:rPr>
    </w:lvl>
    <w:lvl w:ilvl="2" w:tentative="0">
      <w:start w:val="0"/>
      <w:numFmt w:val="bullet"/>
      <w:lvlText w:val="•"/>
      <w:lvlJc w:val="left"/>
      <w:pPr>
        <w:ind w:left="2161" w:hanging="366"/>
      </w:pPr>
      <w:rPr>
        <w:rFonts w:hint="default"/>
        <w:lang w:val="zh-CN" w:eastAsia="zh-CN" w:bidi="zh-CN"/>
      </w:rPr>
    </w:lvl>
    <w:lvl w:ilvl="3" w:tentative="0">
      <w:start w:val="0"/>
      <w:numFmt w:val="bullet"/>
      <w:lvlText w:val="•"/>
      <w:lvlJc w:val="left"/>
      <w:pPr>
        <w:ind w:left="3131" w:hanging="366"/>
      </w:pPr>
      <w:rPr>
        <w:rFonts w:hint="default"/>
        <w:lang w:val="zh-CN" w:eastAsia="zh-CN" w:bidi="zh-CN"/>
      </w:rPr>
    </w:lvl>
    <w:lvl w:ilvl="4" w:tentative="0">
      <w:start w:val="0"/>
      <w:numFmt w:val="bullet"/>
      <w:lvlText w:val="•"/>
      <w:lvlJc w:val="left"/>
      <w:pPr>
        <w:ind w:left="4102" w:hanging="366"/>
      </w:pPr>
      <w:rPr>
        <w:rFonts w:hint="default"/>
        <w:lang w:val="zh-CN" w:eastAsia="zh-CN" w:bidi="zh-CN"/>
      </w:rPr>
    </w:lvl>
    <w:lvl w:ilvl="5" w:tentative="0">
      <w:start w:val="0"/>
      <w:numFmt w:val="bullet"/>
      <w:lvlText w:val="•"/>
      <w:lvlJc w:val="left"/>
      <w:pPr>
        <w:ind w:left="5073" w:hanging="366"/>
      </w:pPr>
      <w:rPr>
        <w:rFonts w:hint="default"/>
        <w:lang w:val="zh-CN" w:eastAsia="zh-CN" w:bidi="zh-CN"/>
      </w:rPr>
    </w:lvl>
    <w:lvl w:ilvl="6" w:tentative="0">
      <w:start w:val="0"/>
      <w:numFmt w:val="bullet"/>
      <w:lvlText w:val="•"/>
      <w:lvlJc w:val="left"/>
      <w:pPr>
        <w:ind w:left="6043" w:hanging="366"/>
      </w:pPr>
      <w:rPr>
        <w:rFonts w:hint="default"/>
        <w:lang w:val="zh-CN" w:eastAsia="zh-CN" w:bidi="zh-CN"/>
      </w:rPr>
    </w:lvl>
    <w:lvl w:ilvl="7" w:tentative="0">
      <w:start w:val="0"/>
      <w:numFmt w:val="bullet"/>
      <w:lvlText w:val="•"/>
      <w:lvlJc w:val="left"/>
      <w:pPr>
        <w:ind w:left="7014" w:hanging="366"/>
      </w:pPr>
      <w:rPr>
        <w:rFonts w:hint="default"/>
        <w:lang w:val="zh-CN" w:eastAsia="zh-CN" w:bidi="zh-CN"/>
      </w:rPr>
    </w:lvl>
    <w:lvl w:ilvl="8" w:tentative="0">
      <w:start w:val="0"/>
      <w:numFmt w:val="bullet"/>
      <w:lvlText w:val="•"/>
      <w:lvlJc w:val="left"/>
      <w:pPr>
        <w:ind w:left="7985" w:hanging="366"/>
      </w:pPr>
      <w:rPr>
        <w:rFonts w:hint="default"/>
        <w:lang w:val="zh-CN" w:eastAsia="zh-CN" w:bidi="zh-CN"/>
      </w:rPr>
    </w:lvl>
  </w:abstractNum>
  <w:abstractNum w:abstractNumId="2">
    <w:nsid w:val="8461FADE"/>
    <w:multiLevelType w:val="multilevel"/>
    <w:tmpl w:val="8461FADE"/>
    <w:lvl w:ilvl="0" w:tentative="0">
      <w:start w:val="1"/>
      <w:numFmt w:val="decimal"/>
      <w:lvlText w:val="%1）"/>
      <w:lvlJc w:val="left"/>
      <w:pPr>
        <w:ind w:left="223" w:hanging="366"/>
      </w:pPr>
      <w:rPr>
        <w:rFonts w:hint="default" w:ascii="Times New Roman" w:hAnsi="Times New Roman" w:eastAsia="Times New Roman" w:cs="Times New Roman"/>
        <w:spacing w:val="-20"/>
        <w:w w:val="100"/>
        <w:sz w:val="22"/>
        <w:szCs w:val="22"/>
        <w:lang w:val="zh-CN" w:eastAsia="zh-CN" w:bidi="zh-CN"/>
      </w:rPr>
    </w:lvl>
    <w:lvl w:ilvl="1" w:tentative="0">
      <w:start w:val="0"/>
      <w:numFmt w:val="bullet"/>
      <w:lvlText w:val="•"/>
      <w:lvlJc w:val="left"/>
      <w:pPr>
        <w:ind w:left="1190" w:hanging="366"/>
      </w:pPr>
      <w:rPr>
        <w:rFonts w:hint="default"/>
        <w:lang w:val="zh-CN" w:eastAsia="zh-CN" w:bidi="zh-CN"/>
      </w:rPr>
    </w:lvl>
    <w:lvl w:ilvl="2" w:tentative="0">
      <w:start w:val="0"/>
      <w:numFmt w:val="bullet"/>
      <w:lvlText w:val="•"/>
      <w:lvlJc w:val="left"/>
      <w:pPr>
        <w:ind w:left="2161" w:hanging="366"/>
      </w:pPr>
      <w:rPr>
        <w:rFonts w:hint="default"/>
        <w:lang w:val="zh-CN" w:eastAsia="zh-CN" w:bidi="zh-CN"/>
      </w:rPr>
    </w:lvl>
    <w:lvl w:ilvl="3" w:tentative="0">
      <w:start w:val="0"/>
      <w:numFmt w:val="bullet"/>
      <w:lvlText w:val="•"/>
      <w:lvlJc w:val="left"/>
      <w:pPr>
        <w:ind w:left="3131" w:hanging="366"/>
      </w:pPr>
      <w:rPr>
        <w:rFonts w:hint="default"/>
        <w:lang w:val="zh-CN" w:eastAsia="zh-CN" w:bidi="zh-CN"/>
      </w:rPr>
    </w:lvl>
    <w:lvl w:ilvl="4" w:tentative="0">
      <w:start w:val="0"/>
      <w:numFmt w:val="bullet"/>
      <w:lvlText w:val="•"/>
      <w:lvlJc w:val="left"/>
      <w:pPr>
        <w:ind w:left="4102" w:hanging="366"/>
      </w:pPr>
      <w:rPr>
        <w:rFonts w:hint="default"/>
        <w:lang w:val="zh-CN" w:eastAsia="zh-CN" w:bidi="zh-CN"/>
      </w:rPr>
    </w:lvl>
    <w:lvl w:ilvl="5" w:tentative="0">
      <w:start w:val="0"/>
      <w:numFmt w:val="bullet"/>
      <w:lvlText w:val="•"/>
      <w:lvlJc w:val="left"/>
      <w:pPr>
        <w:ind w:left="5073" w:hanging="366"/>
      </w:pPr>
      <w:rPr>
        <w:rFonts w:hint="default"/>
        <w:lang w:val="zh-CN" w:eastAsia="zh-CN" w:bidi="zh-CN"/>
      </w:rPr>
    </w:lvl>
    <w:lvl w:ilvl="6" w:tentative="0">
      <w:start w:val="0"/>
      <w:numFmt w:val="bullet"/>
      <w:lvlText w:val="•"/>
      <w:lvlJc w:val="left"/>
      <w:pPr>
        <w:ind w:left="6043" w:hanging="366"/>
      </w:pPr>
      <w:rPr>
        <w:rFonts w:hint="default"/>
        <w:lang w:val="zh-CN" w:eastAsia="zh-CN" w:bidi="zh-CN"/>
      </w:rPr>
    </w:lvl>
    <w:lvl w:ilvl="7" w:tentative="0">
      <w:start w:val="0"/>
      <w:numFmt w:val="bullet"/>
      <w:lvlText w:val="•"/>
      <w:lvlJc w:val="left"/>
      <w:pPr>
        <w:ind w:left="7014" w:hanging="366"/>
      </w:pPr>
      <w:rPr>
        <w:rFonts w:hint="default"/>
        <w:lang w:val="zh-CN" w:eastAsia="zh-CN" w:bidi="zh-CN"/>
      </w:rPr>
    </w:lvl>
    <w:lvl w:ilvl="8" w:tentative="0">
      <w:start w:val="0"/>
      <w:numFmt w:val="bullet"/>
      <w:lvlText w:val="•"/>
      <w:lvlJc w:val="left"/>
      <w:pPr>
        <w:ind w:left="7985" w:hanging="366"/>
      </w:pPr>
      <w:rPr>
        <w:rFonts w:hint="default"/>
        <w:lang w:val="zh-CN" w:eastAsia="zh-CN" w:bidi="zh-CN"/>
      </w:rPr>
    </w:lvl>
  </w:abstractNum>
  <w:abstractNum w:abstractNumId="3">
    <w:nsid w:val="9239341B"/>
    <w:multiLevelType w:val="multilevel"/>
    <w:tmpl w:val="9239341B"/>
    <w:lvl w:ilvl="0" w:tentative="0">
      <w:start w:val="1"/>
      <w:numFmt w:val="decimal"/>
      <w:lvlText w:val="（%1）"/>
      <w:lvlJc w:val="left"/>
      <w:pPr>
        <w:ind w:left="1304"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1" w:hanging="601"/>
      </w:pPr>
      <w:rPr>
        <w:rFonts w:hint="default"/>
        <w:lang w:val="zh-CN" w:eastAsia="zh-CN" w:bidi="zh-CN"/>
      </w:rPr>
    </w:lvl>
  </w:abstractNum>
  <w:abstractNum w:abstractNumId="4">
    <w:nsid w:val="9288B902"/>
    <w:multiLevelType w:val="multilevel"/>
    <w:tmpl w:val="9288B902"/>
    <w:lvl w:ilvl="0" w:tentative="0">
      <w:start w:val="1"/>
      <w:numFmt w:val="lowerLetter"/>
      <w:lvlText w:val="%1."/>
      <w:lvlJc w:val="left"/>
      <w:pPr>
        <w:ind w:left="1144" w:hanging="303"/>
      </w:pPr>
      <w:rPr>
        <w:rFonts w:hint="default" w:ascii="Times New Roman" w:hAnsi="Times New Roman" w:eastAsia="Times New Roman" w:cs="Times New Roman"/>
        <w:spacing w:val="0"/>
        <w:w w:val="100"/>
        <w:sz w:val="24"/>
        <w:szCs w:val="24"/>
        <w:lang w:val="zh-CN" w:eastAsia="zh-CN" w:bidi="zh-CN"/>
      </w:rPr>
    </w:lvl>
    <w:lvl w:ilvl="1" w:tentative="0">
      <w:start w:val="0"/>
      <w:numFmt w:val="bullet"/>
      <w:lvlText w:val="•"/>
      <w:lvlJc w:val="left"/>
      <w:pPr>
        <w:ind w:left="2018" w:hanging="303"/>
      </w:pPr>
      <w:rPr>
        <w:rFonts w:hint="default"/>
        <w:lang w:val="zh-CN" w:eastAsia="zh-CN" w:bidi="zh-CN"/>
      </w:rPr>
    </w:lvl>
    <w:lvl w:ilvl="2" w:tentative="0">
      <w:start w:val="0"/>
      <w:numFmt w:val="bullet"/>
      <w:lvlText w:val="•"/>
      <w:lvlJc w:val="left"/>
      <w:pPr>
        <w:ind w:left="2897" w:hanging="303"/>
      </w:pPr>
      <w:rPr>
        <w:rFonts w:hint="default"/>
        <w:lang w:val="zh-CN" w:eastAsia="zh-CN" w:bidi="zh-CN"/>
      </w:rPr>
    </w:lvl>
    <w:lvl w:ilvl="3" w:tentative="0">
      <w:start w:val="0"/>
      <w:numFmt w:val="bullet"/>
      <w:lvlText w:val="•"/>
      <w:lvlJc w:val="left"/>
      <w:pPr>
        <w:ind w:left="3775" w:hanging="303"/>
      </w:pPr>
      <w:rPr>
        <w:rFonts w:hint="default"/>
        <w:lang w:val="zh-CN" w:eastAsia="zh-CN" w:bidi="zh-CN"/>
      </w:rPr>
    </w:lvl>
    <w:lvl w:ilvl="4" w:tentative="0">
      <w:start w:val="0"/>
      <w:numFmt w:val="bullet"/>
      <w:lvlText w:val="•"/>
      <w:lvlJc w:val="left"/>
      <w:pPr>
        <w:ind w:left="4654" w:hanging="303"/>
      </w:pPr>
      <w:rPr>
        <w:rFonts w:hint="default"/>
        <w:lang w:val="zh-CN" w:eastAsia="zh-CN" w:bidi="zh-CN"/>
      </w:rPr>
    </w:lvl>
    <w:lvl w:ilvl="5" w:tentative="0">
      <w:start w:val="0"/>
      <w:numFmt w:val="bullet"/>
      <w:lvlText w:val="•"/>
      <w:lvlJc w:val="left"/>
      <w:pPr>
        <w:ind w:left="5533" w:hanging="303"/>
      </w:pPr>
      <w:rPr>
        <w:rFonts w:hint="default"/>
        <w:lang w:val="zh-CN" w:eastAsia="zh-CN" w:bidi="zh-CN"/>
      </w:rPr>
    </w:lvl>
    <w:lvl w:ilvl="6" w:tentative="0">
      <w:start w:val="0"/>
      <w:numFmt w:val="bullet"/>
      <w:lvlText w:val="•"/>
      <w:lvlJc w:val="left"/>
      <w:pPr>
        <w:ind w:left="6411" w:hanging="303"/>
      </w:pPr>
      <w:rPr>
        <w:rFonts w:hint="default"/>
        <w:lang w:val="zh-CN" w:eastAsia="zh-CN" w:bidi="zh-CN"/>
      </w:rPr>
    </w:lvl>
    <w:lvl w:ilvl="7" w:tentative="0">
      <w:start w:val="0"/>
      <w:numFmt w:val="bullet"/>
      <w:lvlText w:val="•"/>
      <w:lvlJc w:val="left"/>
      <w:pPr>
        <w:ind w:left="7290" w:hanging="303"/>
      </w:pPr>
      <w:rPr>
        <w:rFonts w:hint="default"/>
        <w:lang w:val="zh-CN" w:eastAsia="zh-CN" w:bidi="zh-CN"/>
      </w:rPr>
    </w:lvl>
    <w:lvl w:ilvl="8" w:tentative="0">
      <w:start w:val="0"/>
      <w:numFmt w:val="bullet"/>
      <w:lvlText w:val="•"/>
      <w:lvlJc w:val="left"/>
      <w:pPr>
        <w:ind w:left="8169" w:hanging="303"/>
      </w:pPr>
      <w:rPr>
        <w:rFonts w:hint="default"/>
        <w:lang w:val="zh-CN" w:eastAsia="zh-CN" w:bidi="zh-CN"/>
      </w:rPr>
    </w:lvl>
  </w:abstractNum>
  <w:abstractNum w:abstractNumId="5">
    <w:nsid w:val="9377BC45"/>
    <w:multiLevelType w:val="multilevel"/>
    <w:tmpl w:val="9377BC45"/>
    <w:lvl w:ilvl="0" w:tentative="0">
      <w:start w:val="6"/>
      <w:numFmt w:val="decimal"/>
      <w:lvlText w:val="%1"/>
      <w:lvlJc w:val="left"/>
      <w:pPr>
        <w:ind w:left="223" w:hanging="660"/>
      </w:pPr>
      <w:rPr>
        <w:rFonts w:hint="default"/>
        <w:lang w:val="zh-CN" w:eastAsia="zh-CN" w:bidi="zh-CN"/>
      </w:rPr>
    </w:lvl>
    <w:lvl w:ilvl="1" w:tentative="0">
      <w:start w:val="2"/>
      <w:numFmt w:val="decimal"/>
      <w:lvlText w:val="%1.%2"/>
      <w:lvlJc w:val="left"/>
      <w:pPr>
        <w:ind w:left="223" w:hanging="660"/>
      </w:pPr>
      <w:rPr>
        <w:rFonts w:hint="default"/>
        <w:lang w:val="zh-CN" w:eastAsia="zh-CN" w:bidi="zh-CN"/>
      </w:rPr>
    </w:lvl>
    <w:lvl w:ilvl="2" w:tentative="0">
      <w:start w:val="2"/>
      <w:numFmt w:val="decimal"/>
      <w:lvlText w:val="%1.%2.%3"/>
      <w:lvlJc w:val="left"/>
      <w:pPr>
        <w:ind w:left="223" w:hanging="660"/>
      </w:pPr>
      <w:rPr>
        <w:rFonts w:hint="default" w:ascii="宋体" w:hAnsi="宋体" w:eastAsia="宋体" w:cs="宋体"/>
        <w:w w:val="100"/>
        <w:sz w:val="24"/>
        <w:szCs w:val="24"/>
        <w:lang w:val="zh-CN" w:eastAsia="zh-CN" w:bidi="zh-CN"/>
      </w:rPr>
    </w:lvl>
    <w:lvl w:ilvl="3" w:tentative="0">
      <w:start w:val="0"/>
      <w:numFmt w:val="bullet"/>
      <w:lvlText w:val="•"/>
      <w:lvlJc w:val="left"/>
      <w:pPr>
        <w:ind w:left="3131" w:hanging="660"/>
      </w:pPr>
      <w:rPr>
        <w:rFonts w:hint="default"/>
        <w:lang w:val="zh-CN" w:eastAsia="zh-CN" w:bidi="zh-CN"/>
      </w:rPr>
    </w:lvl>
    <w:lvl w:ilvl="4" w:tentative="0">
      <w:start w:val="0"/>
      <w:numFmt w:val="bullet"/>
      <w:lvlText w:val="•"/>
      <w:lvlJc w:val="left"/>
      <w:pPr>
        <w:ind w:left="4102" w:hanging="660"/>
      </w:pPr>
      <w:rPr>
        <w:rFonts w:hint="default"/>
        <w:lang w:val="zh-CN" w:eastAsia="zh-CN" w:bidi="zh-CN"/>
      </w:rPr>
    </w:lvl>
    <w:lvl w:ilvl="5" w:tentative="0">
      <w:start w:val="0"/>
      <w:numFmt w:val="bullet"/>
      <w:lvlText w:val="•"/>
      <w:lvlJc w:val="left"/>
      <w:pPr>
        <w:ind w:left="5073" w:hanging="660"/>
      </w:pPr>
      <w:rPr>
        <w:rFonts w:hint="default"/>
        <w:lang w:val="zh-CN" w:eastAsia="zh-CN" w:bidi="zh-CN"/>
      </w:rPr>
    </w:lvl>
    <w:lvl w:ilvl="6" w:tentative="0">
      <w:start w:val="0"/>
      <w:numFmt w:val="bullet"/>
      <w:lvlText w:val="•"/>
      <w:lvlJc w:val="left"/>
      <w:pPr>
        <w:ind w:left="6043" w:hanging="660"/>
      </w:pPr>
      <w:rPr>
        <w:rFonts w:hint="default"/>
        <w:lang w:val="zh-CN" w:eastAsia="zh-CN" w:bidi="zh-CN"/>
      </w:rPr>
    </w:lvl>
    <w:lvl w:ilvl="7" w:tentative="0">
      <w:start w:val="0"/>
      <w:numFmt w:val="bullet"/>
      <w:lvlText w:val="•"/>
      <w:lvlJc w:val="left"/>
      <w:pPr>
        <w:ind w:left="7014" w:hanging="660"/>
      </w:pPr>
      <w:rPr>
        <w:rFonts w:hint="default"/>
        <w:lang w:val="zh-CN" w:eastAsia="zh-CN" w:bidi="zh-CN"/>
      </w:rPr>
    </w:lvl>
    <w:lvl w:ilvl="8" w:tentative="0">
      <w:start w:val="0"/>
      <w:numFmt w:val="bullet"/>
      <w:lvlText w:val="•"/>
      <w:lvlJc w:val="left"/>
      <w:pPr>
        <w:ind w:left="7985" w:hanging="660"/>
      </w:pPr>
      <w:rPr>
        <w:rFonts w:hint="default"/>
        <w:lang w:val="zh-CN" w:eastAsia="zh-CN" w:bidi="zh-CN"/>
      </w:rPr>
    </w:lvl>
  </w:abstractNum>
  <w:abstractNum w:abstractNumId="6">
    <w:nsid w:val="9ACF65A0"/>
    <w:multiLevelType w:val="multilevel"/>
    <w:tmpl w:val="9ACF65A0"/>
    <w:lvl w:ilvl="0" w:tentative="0">
      <w:start w:val="14"/>
      <w:numFmt w:val="decimal"/>
      <w:lvlText w:val="（%1）"/>
      <w:lvlJc w:val="left"/>
      <w:pPr>
        <w:ind w:left="223" w:hanging="721"/>
      </w:pPr>
      <w:rPr>
        <w:rFonts w:hint="default" w:ascii="宋体" w:hAnsi="宋体" w:eastAsia="宋体" w:cs="宋体"/>
        <w:spacing w:val="-8"/>
        <w:w w:val="100"/>
        <w:sz w:val="22"/>
        <w:szCs w:val="22"/>
        <w:lang w:val="zh-CN" w:eastAsia="zh-CN" w:bidi="zh-CN"/>
      </w:rPr>
    </w:lvl>
    <w:lvl w:ilvl="1" w:tentative="0">
      <w:start w:val="1"/>
      <w:numFmt w:val="decimal"/>
      <w:lvlText w:val="%2）"/>
      <w:lvlJc w:val="left"/>
      <w:pPr>
        <w:ind w:left="1064" w:hanging="361"/>
      </w:pPr>
      <w:rPr>
        <w:rFonts w:hint="default" w:ascii="宋体" w:hAnsi="宋体" w:eastAsia="宋体" w:cs="宋体"/>
        <w:w w:val="100"/>
        <w:sz w:val="22"/>
        <w:szCs w:val="22"/>
        <w:lang w:val="zh-CN" w:eastAsia="zh-CN" w:bidi="zh-CN"/>
      </w:rPr>
    </w:lvl>
    <w:lvl w:ilvl="2" w:tentative="0">
      <w:start w:val="0"/>
      <w:numFmt w:val="bullet"/>
      <w:lvlText w:val="•"/>
      <w:lvlJc w:val="left"/>
      <w:pPr>
        <w:ind w:left="2045" w:hanging="361"/>
      </w:pPr>
      <w:rPr>
        <w:rFonts w:hint="default"/>
        <w:lang w:val="zh-CN" w:eastAsia="zh-CN" w:bidi="zh-CN"/>
      </w:rPr>
    </w:lvl>
    <w:lvl w:ilvl="3" w:tentative="0">
      <w:start w:val="0"/>
      <w:numFmt w:val="bullet"/>
      <w:lvlText w:val="•"/>
      <w:lvlJc w:val="left"/>
      <w:pPr>
        <w:ind w:left="3030" w:hanging="361"/>
      </w:pPr>
      <w:rPr>
        <w:rFonts w:hint="default"/>
        <w:lang w:val="zh-CN" w:eastAsia="zh-CN" w:bidi="zh-CN"/>
      </w:rPr>
    </w:lvl>
    <w:lvl w:ilvl="4" w:tentative="0">
      <w:start w:val="0"/>
      <w:numFmt w:val="bullet"/>
      <w:lvlText w:val="•"/>
      <w:lvlJc w:val="left"/>
      <w:pPr>
        <w:ind w:left="4015" w:hanging="361"/>
      </w:pPr>
      <w:rPr>
        <w:rFonts w:hint="default"/>
        <w:lang w:val="zh-CN" w:eastAsia="zh-CN" w:bidi="zh-CN"/>
      </w:rPr>
    </w:lvl>
    <w:lvl w:ilvl="5" w:tentative="0">
      <w:start w:val="0"/>
      <w:numFmt w:val="bullet"/>
      <w:lvlText w:val="•"/>
      <w:lvlJc w:val="left"/>
      <w:pPr>
        <w:ind w:left="5000" w:hanging="361"/>
      </w:pPr>
      <w:rPr>
        <w:rFonts w:hint="default"/>
        <w:lang w:val="zh-CN" w:eastAsia="zh-CN" w:bidi="zh-CN"/>
      </w:rPr>
    </w:lvl>
    <w:lvl w:ilvl="6" w:tentative="0">
      <w:start w:val="0"/>
      <w:numFmt w:val="bullet"/>
      <w:lvlText w:val="•"/>
      <w:lvlJc w:val="left"/>
      <w:pPr>
        <w:ind w:left="5985" w:hanging="361"/>
      </w:pPr>
      <w:rPr>
        <w:rFonts w:hint="default"/>
        <w:lang w:val="zh-CN" w:eastAsia="zh-CN" w:bidi="zh-CN"/>
      </w:rPr>
    </w:lvl>
    <w:lvl w:ilvl="7" w:tentative="0">
      <w:start w:val="0"/>
      <w:numFmt w:val="bullet"/>
      <w:lvlText w:val="•"/>
      <w:lvlJc w:val="left"/>
      <w:pPr>
        <w:ind w:left="6970" w:hanging="361"/>
      </w:pPr>
      <w:rPr>
        <w:rFonts w:hint="default"/>
        <w:lang w:val="zh-CN" w:eastAsia="zh-CN" w:bidi="zh-CN"/>
      </w:rPr>
    </w:lvl>
    <w:lvl w:ilvl="8" w:tentative="0">
      <w:start w:val="0"/>
      <w:numFmt w:val="bullet"/>
      <w:lvlText w:val="•"/>
      <w:lvlJc w:val="left"/>
      <w:pPr>
        <w:ind w:left="7956" w:hanging="361"/>
      </w:pPr>
      <w:rPr>
        <w:rFonts w:hint="default"/>
        <w:lang w:val="zh-CN" w:eastAsia="zh-CN" w:bidi="zh-CN"/>
      </w:rPr>
    </w:lvl>
  </w:abstractNum>
  <w:abstractNum w:abstractNumId="7">
    <w:nsid w:val="9C8AC8EF"/>
    <w:multiLevelType w:val="multilevel"/>
    <w:tmpl w:val="9C8AC8EF"/>
    <w:lvl w:ilvl="0" w:tentative="0">
      <w:start w:val="1"/>
      <w:numFmt w:val="decimal"/>
      <w:lvlText w:val="（%1）"/>
      <w:lvlJc w:val="left"/>
      <w:pPr>
        <w:ind w:left="1184" w:hanging="601"/>
      </w:pPr>
      <w:rPr>
        <w:rFonts w:hint="default" w:ascii="宋体" w:hAnsi="宋体" w:eastAsia="宋体" w:cs="宋体"/>
        <w:spacing w:val="-3"/>
        <w:w w:val="100"/>
        <w:sz w:val="22"/>
        <w:szCs w:val="22"/>
        <w:lang w:val="zh-CN" w:eastAsia="zh-CN" w:bidi="zh-CN"/>
      </w:rPr>
    </w:lvl>
    <w:lvl w:ilvl="1" w:tentative="0">
      <w:start w:val="0"/>
      <w:numFmt w:val="bullet"/>
      <w:lvlText w:val="•"/>
      <w:lvlJc w:val="left"/>
      <w:pPr>
        <w:ind w:left="2054" w:hanging="601"/>
      </w:pPr>
      <w:rPr>
        <w:rFonts w:hint="default"/>
        <w:lang w:val="zh-CN" w:eastAsia="zh-CN" w:bidi="zh-CN"/>
      </w:rPr>
    </w:lvl>
    <w:lvl w:ilvl="2" w:tentative="0">
      <w:start w:val="0"/>
      <w:numFmt w:val="bullet"/>
      <w:lvlText w:val="•"/>
      <w:lvlJc w:val="left"/>
      <w:pPr>
        <w:ind w:left="2929" w:hanging="601"/>
      </w:pPr>
      <w:rPr>
        <w:rFonts w:hint="default"/>
        <w:lang w:val="zh-CN" w:eastAsia="zh-CN" w:bidi="zh-CN"/>
      </w:rPr>
    </w:lvl>
    <w:lvl w:ilvl="3" w:tentative="0">
      <w:start w:val="0"/>
      <w:numFmt w:val="bullet"/>
      <w:lvlText w:val="•"/>
      <w:lvlJc w:val="left"/>
      <w:pPr>
        <w:ind w:left="380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53" w:hanging="601"/>
      </w:pPr>
      <w:rPr>
        <w:rFonts w:hint="default"/>
        <w:lang w:val="zh-CN" w:eastAsia="zh-CN" w:bidi="zh-CN"/>
      </w:rPr>
    </w:lvl>
    <w:lvl w:ilvl="6" w:tentative="0">
      <w:start w:val="0"/>
      <w:numFmt w:val="bullet"/>
      <w:lvlText w:val="•"/>
      <w:lvlJc w:val="left"/>
      <w:pPr>
        <w:ind w:left="6427" w:hanging="601"/>
      </w:pPr>
      <w:rPr>
        <w:rFonts w:hint="default"/>
        <w:lang w:val="zh-CN" w:eastAsia="zh-CN" w:bidi="zh-CN"/>
      </w:rPr>
    </w:lvl>
    <w:lvl w:ilvl="7" w:tentative="0">
      <w:start w:val="0"/>
      <w:numFmt w:val="bullet"/>
      <w:lvlText w:val="•"/>
      <w:lvlJc w:val="left"/>
      <w:pPr>
        <w:ind w:left="7302" w:hanging="601"/>
      </w:pPr>
      <w:rPr>
        <w:rFonts w:hint="default"/>
        <w:lang w:val="zh-CN" w:eastAsia="zh-CN" w:bidi="zh-CN"/>
      </w:rPr>
    </w:lvl>
    <w:lvl w:ilvl="8" w:tentative="0">
      <w:start w:val="0"/>
      <w:numFmt w:val="bullet"/>
      <w:lvlText w:val="•"/>
      <w:lvlJc w:val="left"/>
      <w:pPr>
        <w:ind w:left="8177" w:hanging="601"/>
      </w:pPr>
      <w:rPr>
        <w:rFonts w:hint="default"/>
        <w:lang w:val="zh-CN" w:eastAsia="zh-CN" w:bidi="zh-CN"/>
      </w:rPr>
    </w:lvl>
  </w:abstractNum>
  <w:abstractNum w:abstractNumId="8">
    <w:nsid w:val="9D5D7490"/>
    <w:multiLevelType w:val="multilevel"/>
    <w:tmpl w:val="9D5D7490"/>
    <w:lvl w:ilvl="0" w:tentative="0">
      <w:start w:val="7"/>
      <w:numFmt w:val="decimal"/>
      <w:lvlText w:val="%1"/>
      <w:lvlJc w:val="left"/>
      <w:pPr>
        <w:ind w:left="1130" w:hanging="425"/>
      </w:pPr>
      <w:rPr>
        <w:rFonts w:hint="default"/>
        <w:lang w:val="zh-CN" w:eastAsia="zh-CN" w:bidi="zh-CN"/>
      </w:rPr>
    </w:lvl>
    <w:lvl w:ilvl="1" w:tentative="0">
      <w:start w:val="2"/>
      <w:numFmt w:val="decimal"/>
      <w:lvlText w:val="%1.%2"/>
      <w:lvlJc w:val="left"/>
      <w:pPr>
        <w:ind w:left="1130" w:hanging="425"/>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2897" w:hanging="425"/>
      </w:pPr>
      <w:rPr>
        <w:rFonts w:hint="default"/>
        <w:lang w:val="zh-CN" w:eastAsia="zh-CN" w:bidi="zh-CN"/>
      </w:rPr>
    </w:lvl>
    <w:lvl w:ilvl="3" w:tentative="0">
      <w:start w:val="0"/>
      <w:numFmt w:val="bullet"/>
      <w:lvlText w:val="•"/>
      <w:lvlJc w:val="left"/>
      <w:pPr>
        <w:ind w:left="3775" w:hanging="425"/>
      </w:pPr>
      <w:rPr>
        <w:rFonts w:hint="default"/>
        <w:lang w:val="zh-CN" w:eastAsia="zh-CN" w:bidi="zh-CN"/>
      </w:rPr>
    </w:lvl>
    <w:lvl w:ilvl="4" w:tentative="0">
      <w:start w:val="0"/>
      <w:numFmt w:val="bullet"/>
      <w:lvlText w:val="•"/>
      <w:lvlJc w:val="left"/>
      <w:pPr>
        <w:ind w:left="4654" w:hanging="425"/>
      </w:pPr>
      <w:rPr>
        <w:rFonts w:hint="default"/>
        <w:lang w:val="zh-CN" w:eastAsia="zh-CN" w:bidi="zh-CN"/>
      </w:rPr>
    </w:lvl>
    <w:lvl w:ilvl="5" w:tentative="0">
      <w:start w:val="0"/>
      <w:numFmt w:val="bullet"/>
      <w:lvlText w:val="•"/>
      <w:lvlJc w:val="left"/>
      <w:pPr>
        <w:ind w:left="5533" w:hanging="425"/>
      </w:pPr>
      <w:rPr>
        <w:rFonts w:hint="default"/>
        <w:lang w:val="zh-CN" w:eastAsia="zh-CN" w:bidi="zh-CN"/>
      </w:rPr>
    </w:lvl>
    <w:lvl w:ilvl="6" w:tentative="0">
      <w:start w:val="0"/>
      <w:numFmt w:val="bullet"/>
      <w:lvlText w:val="•"/>
      <w:lvlJc w:val="left"/>
      <w:pPr>
        <w:ind w:left="6411" w:hanging="425"/>
      </w:pPr>
      <w:rPr>
        <w:rFonts w:hint="default"/>
        <w:lang w:val="zh-CN" w:eastAsia="zh-CN" w:bidi="zh-CN"/>
      </w:rPr>
    </w:lvl>
    <w:lvl w:ilvl="7" w:tentative="0">
      <w:start w:val="0"/>
      <w:numFmt w:val="bullet"/>
      <w:lvlText w:val="•"/>
      <w:lvlJc w:val="left"/>
      <w:pPr>
        <w:ind w:left="7290" w:hanging="425"/>
      </w:pPr>
      <w:rPr>
        <w:rFonts w:hint="default"/>
        <w:lang w:val="zh-CN" w:eastAsia="zh-CN" w:bidi="zh-CN"/>
      </w:rPr>
    </w:lvl>
    <w:lvl w:ilvl="8" w:tentative="0">
      <w:start w:val="0"/>
      <w:numFmt w:val="bullet"/>
      <w:lvlText w:val="•"/>
      <w:lvlJc w:val="left"/>
      <w:pPr>
        <w:ind w:left="8169" w:hanging="425"/>
      </w:pPr>
      <w:rPr>
        <w:rFonts w:hint="default"/>
        <w:lang w:val="zh-CN" w:eastAsia="zh-CN" w:bidi="zh-CN"/>
      </w:rPr>
    </w:lvl>
  </w:abstractNum>
  <w:abstractNum w:abstractNumId="9">
    <w:nsid w:val="A0C93552"/>
    <w:multiLevelType w:val="multilevel"/>
    <w:tmpl w:val="A0C93552"/>
    <w:lvl w:ilvl="0" w:tentative="0">
      <w:start w:val="3"/>
      <w:numFmt w:val="decimal"/>
      <w:lvlText w:val="%1"/>
      <w:lvlJc w:val="left"/>
      <w:pPr>
        <w:ind w:left="1130" w:hanging="425"/>
      </w:pPr>
      <w:rPr>
        <w:rFonts w:hint="default"/>
        <w:lang w:val="zh-CN" w:eastAsia="zh-CN" w:bidi="zh-CN"/>
      </w:rPr>
    </w:lvl>
    <w:lvl w:ilvl="1" w:tentative="0">
      <w:start w:val="2"/>
      <w:numFmt w:val="decimal"/>
      <w:lvlText w:val="%1.%2"/>
      <w:lvlJc w:val="left"/>
      <w:pPr>
        <w:ind w:left="1130" w:hanging="425"/>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223" w:hanging="660"/>
      </w:pPr>
      <w:rPr>
        <w:rFonts w:hint="default" w:ascii="宋体" w:hAnsi="宋体" w:eastAsia="宋体" w:cs="宋体"/>
        <w:w w:val="100"/>
        <w:sz w:val="24"/>
        <w:szCs w:val="24"/>
        <w:lang w:val="zh-CN" w:eastAsia="zh-CN" w:bidi="zh-CN"/>
      </w:rPr>
    </w:lvl>
    <w:lvl w:ilvl="3" w:tentative="0">
      <w:start w:val="0"/>
      <w:numFmt w:val="bullet"/>
      <w:lvlText w:val="•"/>
      <w:lvlJc w:val="left"/>
      <w:pPr>
        <w:ind w:left="3092" w:hanging="660"/>
      </w:pPr>
      <w:rPr>
        <w:rFonts w:hint="default"/>
        <w:lang w:val="zh-CN" w:eastAsia="zh-CN" w:bidi="zh-CN"/>
      </w:rPr>
    </w:lvl>
    <w:lvl w:ilvl="4" w:tentative="0">
      <w:start w:val="0"/>
      <w:numFmt w:val="bullet"/>
      <w:lvlText w:val="•"/>
      <w:lvlJc w:val="left"/>
      <w:pPr>
        <w:ind w:left="4068" w:hanging="660"/>
      </w:pPr>
      <w:rPr>
        <w:rFonts w:hint="default"/>
        <w:lang w:val="zh-CN" w:eastAsia="zh-CN" w:bidi="zh-CN"/>
      </w:rPr>
    </w:lvl>
    <w:lvl w:ilvl="5" w:tentative="0">
      <w:start w:val="0"/>
      <w:numFmt w:val="bullet"/>
      <w:lvlText w:val="•"/>
      <w:lvlJc w:val="left"/>
      <w:pPr>
        <w:ind w:left="5045" w:hanging="660"/>
      </w:pPr>
      <w:rPr>
        <w:rFonts w:hint="default"/>
        <w:lang w:val="zh-CN" w:eastAsia="zh-CN" w:bidi="zh-CN"/>
      </w:rPr>
    </w:lvl>
    <w:lvl w:ilvl="6" w:tentative="0">
      <w:start w:val="0"/>
      <w:numFmt w:val="bullet"/>
      <w:lvlText w:val="•"/>
      <w:lvlJc w:val="left"/>
      <w:pPr>
        <w:ind w:left="6021" w:hanging="660"/>
      </w:pPr>
      <w:rPr>
        <w:rFonts w:hint="default"/>
        <w:lang w:val="zh-CN" w:eastAsia="zh-CN" w:bidi="zh-CN"/>
      </w:rPr>
    </w:lvl>
    <w:lvl w:ilvl="7" w:tentative="0">
      <w:start w:val="0"/>
      <w:numFmt w:val="bullet"/>
      <w:lvlText w:val="•"/>
      <w:lvlJc w:val="left"/>
      <w:pPr>
        <w:ind w:left="6997" w:hanging="660"/>
      </w:pPr>
      <w:rPr>
        <w:rFonts w:hint="default"/>
        <w:lang w:val="zh-CN" w:eastAsia="zh-CN" w:bidi="zh-CN"/>
      </w:rPr>
    </w:lvl>
    <w:lvl w:ilvl="8" w:tentative="0">
      <w:start w:val="0"/>
      <w:numFmt w:val="bullet"/>
      <w:lvlText w:val="•"/>
      <w:lvlJc w:val="left"/>
      <w:pPr>
        <w:ind w:left="7973" w:hanging="660"/>
      </w:pPr>
      <w:rPr>
        <w:rFonts w:hint="default"/>
        <w:lang w:val="zh-CN" w:eastAsia="zh-CN" w:bidi="zh-CN"/>
      </w:rPr>
    </w:lvl>
  </w:abstractNum>
  <w:abstractNum w:abstractNumId="10">
    <w:nsid w:val="A0F05207"/>
    <w:multiLevelType w:val="multilevel"/>
    <w:tmpl w:val="A0F05207"/>
    <w:lvl w:ilvl="0" w:tentative="0">
      <w:start w:val="1"/>
      <w:numFmt w:val="decimal"/>
      <w:lvlText w:val="（%1）"/>
      <w:lvlJc w:val="left"/>
      <w:pPr>
        <w:ind w:left="1216" w:hanging="622"/>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223" w:hanging="366"/>
      </w:pPr>
      <w:rPr>
        <w:rFonts w:hint="default" w:ascii="Times New Roman" w:hAnsi="Times New Roman" w:eastAsia="Times New Roman" w:cs="Times New Roman"/>
        <w:spacing w:val="-5"/>
        <w:w w:val="100"/>
        <w:sz w:val="22"/>
        <w:szCs w:val="22"/>
        <w:lang w:val="zh-CN" w:eastAsia="zh-CN" w:bidi="zh-CN"/>
      </w:rPr>
    </w:lvl>
    <w:lvl w:ilvl="2" w:tentative="0">
      <w:start w:val="0"/>
      <w:numFmt w:val="bullet"/>
      <w:lvlText w:val="•"/>
      <w:lvlJc w:val="left"/>
      <w:pPr>
        <w:ind w:left="2187" w:hanging="366"/>
      </w:pPr>
      <w:rPr>
        <w:rFonts w:hint="default"/>
        <w:lang w:val="zh-CN" w:eastAsia="zh-CN" w:bidi="zh-CN"/>
      </w:rPr>
    </w:lvl>
    <w:lvl w:ilvl="3" w:tentative="0">
      <w:start w:val="0"/>
      <w:numFmt w:val="bullet"/>
      <w:lvlText w:val="•"/>
      <w:lvlJc w:val="left"/>
      <w:pPr>
        <w:ind w:left="3154" w:hanging="366"/>
      </w:pPr>
      <w:rPr>
        <w:rFonts w:hint="default"/>
        <w:lang w:val="zh-CN" w:eastAsia="zh-CN" w:bidi="zh-CN"/>
      </w:rPr>
    </w:lvl>
    <w:lvl w:ilvl="4" w:tentative="0">
      <w:start w:val="0"/>
      <w:numFmt w:val="bullet"/>
      <w:lvlText w:val="•"/>
      <w:lvlJc w:val="left"/>
      <w:pPr>
        <w:ind w:left="4122" w:hanging="366"/>
      </w:pPr>
      <w:rPr>
        <w:rFonts w:hint="default"/>
        <w:lang w:val="zh-CN" w:eastAsia="zh-CN" w:bidi="zh-CN"/>
      </w:rPr>
    </w:lvl>
    <w:lvl w:ilvl="5" w:tentative="0">
      <w:start w:val="0"/>
      <w:numFmt w:val="bullet"/>
      <w:lvlText w:val="•"/>
      <w:lvlJc w:val="left"/>
      <w:pPr>
        <w:ind w:left="5089" w:hanging="366"/>
      </w:pPr>
      <w:rPr>
        <w:rFonts w:hint="default"/>
        <w:lang w:val="zh-CN" w:eastAsia="zh-CN" w:bidi="zh-CN"/>
      </w:rPr>
    </w:lvl>
    <w:lvl w:ilvl="6" w:tentative="0">
      <w:start w:val="0"/>
      <w:numFmt w:val="bullet"/>
      <w:lvlText w:val="•"/>
      <w:lvlJc w:val="left"/>
      <w:pPr>
        <w:ind w:left="6056" w:hanging="366"/>
      </w:pPr>
      <w:rPr>
        <w:rFonts w:hint="default"/>
        <w:lang w:val="zh-CN" w:eastAsia="zh-CN" w:bidi="zh-CN"/>
      </w:rPr>
    </w:lvl>
    <w:lvl w:ilvl="7" w:tentative="0">
      <w:start w:val="0"/>
      <w:numFmt w:val="bullet"/>
      <w:lvlText w:val="•"/>
      <w:lvlJc w:val="left"/>
      <w:pPr>
        <w:ind w:left="7024" w:hanging="366"/>
      </w:pPr>
      <w:rPr>
        <w:rFonts w:hint="default"/>
        <w:lang w:val="zh-CN" w:eastAsia="zh-CN" w:bidi="zh-CN"/>
      </w:rPr>
    </w:lvl>
    <w:lvl w:ilvl="8" w:tentative="0">
      <w:start w:val="0"/>
      <w:numFmt w:val="bullet"/>
      <w:lvlText w:val="•"/>
      <w:lvlJc w:val="left"/>
      <w:pPr>
        <w:ind w:left="7991" w:hanging="366"/>
      </w:pPr>
      <w:rPr>
        <w:rFonts w:hint="default"/>
        <w:lang w:val="zh-CN" w:eastAsia="zh-CN" w:bidi="zh-CN"/>
      </w:rPr>
    </w:lvl>
  </w:abstractNum>
  <w:abstractNum w:abstractNumId="11">
    <w:nsid w:val="B0ED9BEA"/>
    <w:multiLevelType w:val="multilevel"/>
    <w:tmpl w:val="B0ED9BEA"/>
    <w:lvl w:ilvl="0" w:tentative="0">
      <w:start w:val="6"/>
      <w:numFmt w:val="decimal"/>
      <w:lvlText w:val="%1"/>
      <w:lvlJc w:val="left"/>
      <w:pPr>
        <w:ind w:left="1130" w:hanging="425"/>
      </w:pPr>
      <w:rPr>
        <w:rFonts w:hint="default"/>
        <w:lang w:val="zh-CN" w:eastAsia="zh-CN" w:bidi="zh-CN"/>
      </w:rPr>
    </w:lvl>
    <w:lvl w:ilvl="1" w:tentative="0">
      <w:start w:val="2"/>
      <w:numFmt w:val="decimal"/>
      <w:lvlText w:val="%1.%2"/>
      <w:lvlJc w:val="left"/>
      <w:pPr>
        <w:ind w:left="1130" w:hanging="425"/>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1387" w:hanging="684"/>
      </w:pPr>
      <w:rPr>
        <w:rFonts w:hint="default" w:ascii="宋体" w:hAnsi="宋体" w:eastAsia="宋体" w:cs="宋体"/>
        <w:w w:val="100"/>
        <w:sz w:val="24"/>
        <w:szCs w:val="24"/>
        <w:lang w:val="zh-CN" w:eastAsia="zh-CN" w:bidi="zh-CN"/>
      </w:rPr>
    </w:lvl>
    <w:lvl w:ilvl="3" w:tentative="0">
      <w:start w:val="0"/>
      <w:numFmt w:val="bullet"/>
      <w:lvlText w:val="•"/>
      <w:lvlJc w:val="left"/>
      <w:pPr>
        <w:ind w:left="3279" w:hanging="684"/>
      </w:pPr>
      <w:rPr>
        <w:rFonts w:hint="default"/>
        <w:lang w:val="zh-CN" w:eastAsia="zh-CN" w:bidi="zh-CN"/>
      </w:rPr>
    </w:lvl>
    <w:lvl w:ilvl="4" w:tentative="0">
      <w:start w:val="0"/>
      <w:numFmt w:val="bullet"/>
      <w:lvlText w:val="•"/>
      <w:lvlJc w:val="left"/>
      <w:pPr>
        <w:ind w:left="4228" w:hanging="684"/>
      </w:pPr>
      <w:rPr>
        <w:rFonts w:hint="default"/>
        <w:lang w:val="zh-CN" w:eastAsia="zh-CN" w:bidi="zh-CN"/>
      </w:rPr>
    </w:lvl>
    <w:lvl w:ilvl="5" w:tentative="0">
      <w:start w:val="0"/>
      <w:numFmt w:val="bullet"/>
      <w:lvlText w:val="•"/>
      <w:lvlJc w:val="left"/>
      <w:pPr>
        <w:ind w:left="5178" w:hanging="684"/>
      </w:pPr>
      <w:rPr>
        <w:rFonts w:hint="default"/>
        <w:lang w:val="zh-CN" w:eastAsia="zh-CN" w:bidi="zh-CN"/>
      </w:rPr>
    </w:lvl>
    <w:lvl w:ilvl="6" w:tentative="0">
      <w:start w:val="0"/>
      <w:numFmt w:val="bullet"/>
      <w:lvlText w:val="•"/>
      <w:lvlJc w:val="left"/>
      <w:pPr>
        <w:ind w:left="6128" w:hanging="684"/>
      </w:pPr>
      <w:rPr>
        <w:rFonts w:hint="default"/>
        <w:lang w:val="zh-CN" w:eastAsia="zh-CN" w:bidi="zh-CN"/>
      </w:rPr>
    </w:lvl>
    <w:lvl w:ilvl="7" w:tentative="0">
      <w:start w:val="0"/>
      <w:numFmt w:val="bullet"/>
      <w:lvlText w:val="•"/>
      <w:lvlJc w:val="left"/>
      <w:pPr>
        <w:ind w:left="7077" w:hanging="684"/>
      </w:pPr>
      <w:rPr>
        <w:rFonts w:hint="default"/>
        <w:lang w:val="zh-CN" w:eastAsia="zh-CN" w:bidi="zh-CN"/>
      </w:rPr>
    </w:lvl>
    <w:lvl w:ilvl="8" w:tentative="0">
      <w:start w:val="0"/>
      <w:numFmt w:val="bullet"/>
      <w:lvlText w:val="•"/>
      <w:lvlJc w:val="left"/>
      <w:pPr>
        <w:ind w:left="8027" w:hanging="684"/>
      </w:pPr>
      <w:rPr>
        <w:rFonts w:hint="default"/>
        <w:lang w:val="zh-CN" w:eastAsia="zh-CN" w:bidi="zh-CN"/>
      </w:rPr>
    </w:lvl>
  </w:abstractNum>
  <w:abstractNum w:abstractNumId="12">
    <w:nsid w:val="B23A94A9"/>
    <w:multiLevelType w:val="multilevel"/>
    <w:tmpl w:val="B23A94A9"/>
    <w:lvl w:ilvl="0" w:tentative="0">
      <w:start w:val="1"/>
      <w:numFmt w:val="decimal"/>
      <w:lvlText w:val="（%1）"/>
      <w:lvlJc w:val="left"/>
      <w:pPr>
        <w:ind w:left="1216" w:hanging="622"/>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090" w:hanging="622"/>
      </w:pPr>
      <w:rPr>
        <w:rFonts w:hint="default"/>
        <w:lang w:val="zh-CN" w:eastAsia="zh-CN" w:bidi="zh-CN"/>
      </w:rPr>
    </w:lvl>
    <w:lvl w:ilvl="2" w:tentative="0">
      <w:start w:val="0"/>
      <w:numFmt w:val="bullet"/>
      <w:lvlText w:val="•"/>
      <w:lvlJc w:val="left"/>
      <w:pPr>
        <w:ind w:left="2961" w:hanging="622"/>
      </w:pPr>
      <w:rPr>
        <w:rFonts w:hint="default"/>
        <w:lang w:val="zh-CN" w:eastAsia="zh-CN" w:bidi="zh-CN"/>
      </w:rPr>
    </w:lvl>
    <w:lvl w:ilvl="3" w:tentative="0">
      <w:start w:val="0"/>
      <w:numFmt w:val="bullet"/>
      <w:lvlText w:val="•"/>
      <w:lvlJc w:val="left"/>
      <w:pPr>
        <w:ind w:left="3831" w:hanging="622"/>
      </w:pPr>
      <w:rPr>
        <w:rFonts w:hint="default"/>
        <w:lang w:val="zh-CN" w:eastAsia="zh-CN" w:bidi="zh-CN"/>
      </w:rPr>
    </w:lvl>
    <w:lvl w:ilvl="4" w:tentative="0">
      <w:start w:val="0"/>
      <w:numFmt w:val="bullet"/>
      <w:lvlText w:val="•"/>
      <w:lvlJc w:val="left"/>
      <w:pPr>
        <w:ind w:left="4702" w:hanging="622"/>
      </w:pPr>
      <w:rPr>
        <w:rFonts w:hint="default"/>
        <w:lang w:val="zh-CN" w:eastAsia="zh-CN" w:bidi="zh-CN"/>
      </w:rPr>
    </w:lvl>
    <w:lvl w:ilvl="5" w:tentative="0">
      <w:start w:val="0"/>
      <w:numFmt w:val="bullet"/>
      <w:lvlText w:val="•"/>
      <w:lvlJc w:val="left"/>
      <w:pPr>
        <w:ind w:left="5573" w:hanging="622"/>
      </w:pPr>
      <w:rPr>
        <w:rFonts w:hint="default"/>
        <w:lang w:val="zh-CN" w:eastAsia="zh-CN" w:bidi="zh-CN"/>
      </w:rPr>
    </w:lvl>
    <w:lvl w:ilvl="6" w:tentative="0">
      <w:start w:val="0"/>
      <w:numFmt w:val="bullet"/>
      <w:lvlText w:val="•"/>
      <w:lvlJc w:val="left"/>
      <w:pPr>
        <w:ind w:left="6443" w:hanging="622"/>
      </w:pPr>
      <w:rPr>
        <w:rFonts w:hint="default"/>
        <w:lang w:val="zh-CN" w:eastAsia="zh-CN" w:bidi="zh-CN"/>
      </w:rPr>
    </w:lvl>
    <w:lvl w:ilvl="7" w:tentative="0">
      <w:start w:val="0"/>
      <w:numFmt w:val="bullet"/>
      <w:lvlText w:val="•"/>
      <w:lvlJc w:val="left"/>
      <w:pPr>
        <w:ind w:left="7314" w:hanging="622"/>
      </w:pPr>
      <w:rPr>
        <w:rFonts w:hint="default"/>
        <w:lang w:val="zh-CN" w:eastAsia="zh-CN" w:bidi="zh-CN"/>
      </w:rPr>
    </w:lvl>
    <w:lvl w:ilvl="8" w:tentative="0">
      <w:start w:val="0"/>
      <w:numFmt w:val="bullet"/>
      <w:lvlText w:val="•"/>
      <w:lvlJc w:val="left"/>
      <w:pPr>
        <w:ind w:left="8185" w:hanging="622"/>
      </w:pPr>
      <w:rPr>
        <w:rFonts w:hint="default"/>
        <w:lang w:val="zh-CN" w:eastAsia="zh-CN" w:bidi="zh-CN"/>
      </w:rPr>
    </w:lvl>
  </w:abstractNum>
  <w:abstractNum w:abstractNumId="13">
    <w:nsid w:val="B5E306ED"/>
    <w:multiLevelType w:val="multilevel"/>
    <w:tmpl w:val="B5E306ED"/>
    <w:lvl w:ilvl="0" w:tentative="0">
      <w:start w:val="3"/>
      <w:numFmt w:val="decimal"/>
      <w:lvlText w:val="%1"/>
      <w:lvlJc w:val="left"/>
      <w:pPr>
        <w:ind w:left="1130" w:hanging="425"/>
      </w:pPr>
      <w:rPr>
        <w:rFonts w:hint="default"/>
        <w:lang w:val="zh-CN" w:eastAsia="zh-CN" w:bidi="zh-CN"/>
      </w:rPr>
    </w:lvl>
    <w:lvl w:ilvl="1" w:tentative="0">
      <w:start w:val="1"/>
      <w:numFmt w:val="decimal"/>
      <w:lvlText w:val="%1.%2"/>
      <w:lvlJc w:val="left"/>
      <w:pPr>
        <w:ind w:left="1130" w:hanging="425"/>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223" w:hanging="660"/>
      </w:pPr>
      <w:rPr>
        <w:rFonts w:hint="default" w:ascii="宋体" w:hAnsi="宋体" w:eastAsia="宋体" w:cs="宋体"/>
        <w:w w:val="100"/>
        <w:sz w:val="24"/>
        <w:szCs w:val="24"/>
        <w:lang w:val="zh-CN" w:eastAsia="zh-CN" w:bidi="zh-CN"/>
      </w:rPr>
    </w:lvl>
    <w:lvl w:ilvl="3" w:tentative="0">
      <w:start w:val="0"/>
      <w:numFmt w:val="bullet"/>
      <w:lvlText w:val="•"/>
      <w:lvlJc w:val="left"/>
      <w:pPr>
        <w:ind w:left="3092" w:hanging="660"/>
      </w:pPr>
      <w:rPr>
        <w:rFonts w:hint="default"/>
        <w:lang w:val="zh-CN" w:eastAsia="zh-CN" w:bidi="zh-CN"/>
      </w:rPr>
    </w:lvl>
    <w:lvl w:ilvl="4" w:tentative="0">
      <w:start w:val="0"/>
      <w:numFmt w:val="bullet"/>
      <w:lvlText w:val="•"/>
      <w:lvlJc w:val="left"/>
      <w:pPr>
        <w:ind w:left="4068" w:hanging="660"/>
      </w:pPr>
      <w:rPr>
        <w:rFonts w:hint="default"/>
        <w:lang w:val="zh-CN" w:eastAsia="zh-CN" w:bidi="zh-CN"/>
      </w:rPr>
    </w:lvl>
    <w:lvl w:ilvl="5" w:tentative="0">
      <w:start w:val="0"/>
      <w:numFmt w:val="bullet"/>
      <w:lvlText w:val="•"/>
      <w:lvlJc w:val="left"/>
      <w:pPr>
        <w:ind w:left="5045" w:hanging="660"/>
      </w:pPr>
      <w:rPr>
        <w:rFonts w:hint="default"/>
        <w:lang w:val="zh-CN" w:eastAsia="zh-CN" w:bidi="zh-CN"/>
      </w:rPr>
    </w:lvl>
    <w:lvl w:ilvl="6" w:tentative="0">
      <w:start w:val="0"/>
      <w:numFmt w:val="bullet"/>
      <w:lvlText w:val="•"/>
      <w:lvlJc w:val="left"/>
      <w:pPr>
        <w:ind w:left="6021" w:hanging="660"/>
      </w:pPr>
      <w:rPr>
        <w:rFonts w:hint="default"/>
        <w:lang w:val="zh-CN" w:eastAsia="zh-CN" w:bidi="zh-CN"/>
      </w:rPr>
    </w:lvl>
    <w:lvl w:ilvl="7" w:tentative="0">
      <w:start w:val="0"/>
      <w:numFmt w:val="bullet"/>
      <w:lvlText w:val="•"/>
      <w:lvlJc w:val="left"/>
      <w:pPr>
        <w:ind w:left="6997" w:hanging="660"/>
      </w:pPr>
      <w:rPr>
        <w:rFonts w:hint="default"/>
        <w:lang w:val="zh-CN" w:eastAsia="zh-CN" w:bidi="zh-CN"/>
      </w:rPr>
    </w:lvl>
    <w:lvl w:ilvl="8" w:tentative="0">
      <w:start w:val="0"/>
      <w:numFmt w:val="bullet"/>
      <w:lvlText w:val="•"/>
      <w:lvlJc w:val="left"/>
      <w:pPr>
        <w:ind w:left="7973" w:hanging="660"/>
      </w:pPr>
      <w:rPr>
        <w:rFonts w:hint="default"/>
        <w:lang w:val="zh-CN" w:eastAsia="zh-CN" w:bidi="zh-CN"/>
      </w:rPr>
    </w:lvl>
  </w:abstractNum>
  <w:abstractNum w:abstractNumId="14">
    <w:nsid w:val="B88D21A8"/>
    <w:multiLevelType w:val="multilevel"/>
    <w:tmpl w:val="B88D21A8"/>
    <w:lvl w:ilvl="0" w:tentative="0">
      <w:start w:val="1"/>
      <w:numFmt w:val="decimal"/>
      <w:lvlText w:val="（%1）"/>
      <w:lvlJc w:val="left"/>
      <w:pPr>
        <w:ind w:left="223" w:hanging="608"/>
      </w:pPr>
      <w:rPr>
        <w:rFonts w:hint="default" w:ascii="宋体" w:hAnsi="宋体" w:eastAsia="宋体" w:cs="宋体"/>
        <w:spacing w:val="-14"/>
        <w:w w:val="100"/>
        <w:sz w:val="22"/>
        <w:szCs w:val="22"/>
        <w:lang w:val="zh-CN" w:eastAsia="zh-CN" w:bidi="zh-CN"/>
      </w:rPr>
    </w:lvl>
    <w:lvl w:ilvl="1" w:tentative="0">
      <w:start w:val="0"/>
      <w:numFmt w:val="bullet"/>
      <w:lvlText w:val="•"/>
      <w:lvlJc w:val="left"/>
      <w:pPr>
        <w:ind w:left="1190" w:hanging="608"/>
      </w:pPr>
      <w:rPr>
        <w:rFonts w:hint="default"/>
        <w:lang w:val="zh-CN" w:eastAsia="zh-CN" w:bidi="zh-CN"/>
      </w:rPr>
    </w:lvl>
    <w:lvl w:ilvl="2" w:tentative="0">
      <w:start w:val="0"/>
      <w:numFmt w:val="bullet"/>
      <w:lvlText w:val="•"/>
      <w:lvlJc w:val="left"/>
      <w:pPr>
        <w:ind w:left="2161" w:hanging="608"/>
      </w:pPr>
      <w:rPr>
        <w:rFonts w:hint="default"/>
        <w:lang w:val="zh-CN" w:eastAsia="zh-CN" w:bidi="zh-CN"/>
      </w:rPr>
    </w:lvl>
    <w:lvl w:ilvl="3" w:tentative="0">
      <w:start w:val="0"/>
      <w:numFmt w:val="bullet"/>
      <w:lvlText w:val="•"/>
      <w:lvlJc w:val="left"/>
      <w:pPr>
        <w:ind w:left="3131" w:hanging="608"/>
      </w:pPr>
      <w:rPr>
        <w:rFonts w:hint="default"/>
        <w:lang w:val="zh-CN" w:eastAsia="zh-CN" w:bidi="zh-CN"/>
      </w:rPr>
    </w:lvl>
    <w:lvl w:ilvl="4" w:tentative="0">
      <w:start w:val="0"/>
      <w:numFmt w:val="bullet"/>
      <w:lvlText w:val="•"/>
      <w:lvlJc w:val="left"/>
      <w:pPr>
        <w:ind w:left="4102" w:hanging="608"/>
      </w:pPr>
      <w:rPr>
        <w:rFonts w:hint="default"/>
        <w:lang w:val="zh-CN" w:eastAsia="zh-CN" w:bidi="zh-CN"/>
      </w:rPr>
    </w:lvl>
    <w:lvl w:ilvl="5" w:tentative="0">
      <w:start w:val="0"/>
      <w:numFmt w:val="bullet"/>
      <w:lvlText w:val="•"/>
      <w:lvlJc w:val="left"/>
      <w:pPr>
        <w:ind w:left="5073" w:hanging="608"/>
      </w:pPr>
      <w:rPr>
        <w:rFonts w:hint="default"/>
        <w:lang w:val="zh-CN" w:eastAsia="zh-CN" w:bidi="zh-CN"/>
      </w:rPr>
    </w:lvl>
    <w:lvl w:ilvl="6" w:tentative="0">
      <w:start w:val="0"/>
      <w:numFmt w:val="bullet"/>
      <w:lvlText w:val="•"/>
      <w:lvlJc w:val="left"/>
      <w:pPr>
        <w:ind w:left="6043" w:hanging="608"/>
      </w:pPr>
      <w:rPr>
        <w:rFonts w:hint="default"/>
        <w:lang w:val="zh-CN" w:eastAsia="zh-CN" w:bidi="zh-CN"/>
      </w:rPr>
    </w:lvl>
    <w:lvl w:ilvl="7" w:tentative="0">
      <w:start w:val="0"/>
      <w:numFmt w:val="bullet"/>
      <w:lvlText w:val="•"/>
      <w:lvlJc w:val="left"/>
      <w:pPr>
        <w:ind w:left="7014" w:hanging="608"/>
      </w:pPr>
      <w:rPr>
        <w:rFonts w:hint="default"/>
        <w:lang w:val="zh-CN" w:eastAsia="zh-CN" w:bidi="zh-CN"/>
      </w:rPr>
    </w:lvl>
    <w:lvl w:ilvl="8" w:tentative="0">
      <w:start w:val="0"/>
      <w:numFmt w:val="bullet"/>
      <w:lvlText w:val="•"/>
      <w:lvlJc w:val="left"/>
      <w:pPr>
        <w:ind w:left="7985" w:hanging="608"/>
      </w:pPr>
      <w:rPr>
        <w:rFonts w:hint="default"/>
        <w:lang w:val="zh-CN" w:eastAsia="zh-CN" w:bidi="zh-CN"/>
      </w:rPr>
    </w:lvl>
  </w:abstractNum>
  <w:abstractNum w:abstractNumId="15">
    <w:nsid w:val="BDA1395C"/>
    <w:multiLevelType w:val="multilevel"/>
    <w:tmpl w:val="BDA1395C"/>
    <w:lvl w:ilvl="0" w:tentative="0">
      <w:start w:val="1"/>
      <w:numFmt w:val="decimal"/>
      <w:lvlText w:val="（%1）"/>
      <w:lvlJc w:val="left"/>
      <w:pPr>
        <w:ind w:left="1184" w:hanging="601"/>
      </w:pPr>
      <w:rPr>
        <w:rFonts w:hint="default" w:ascii="宋体" w:hAnsi="宋体" w:eastAsia="宋体" w:cs="宋体"/>
        <w:w w:val="100"/>
        <w:sz w:val="22"/>
        <w:szCs w:val="22"/>
        <w:lang w:val="zh-CN" w:eastAsia="zh-CN" w:bidi="zh-CN"/>
      </w:rPr>
    </w:lvl>
    <w:lvl w:ilvl="1" w:tentative="0">
      <w:start w:val="1"/>
      <w:numFmt w:val="decimal"/>
      <w:lvlText w:val="%2）"/>
      <w:lvlJc w:val="left"/>
      <w:pPr>
        <w:ind w:left="1064" w:hanging="361"/>
      </w:pPr>
      <w:rPr>
        <w:rFonts w:hint="default" w:ascii="宋体" w:hAnsi="宋体" w:eastAsia="宋体" w:cs="宋体"/>
        <w:w w:val="100"/>
        <w:sz w:val="22"/>
        <w:szCs w:val="22"/>
        <w:lang w:val="zh-CN" w:eastAsia="zh-CN" w:bidi="zh-CN"/>
      </w:rPr>
    </w:lvl>
    <w:lvl w:ilvl="2" w:tentative="0">
      <w:start w:val="0"/>
      <w:numFmt w:val="bullet"/>
      <w:lvlText w:val="•"/>
      <w:lvlJc w:val="left"/>
      <w:pPr>
        <w:ind w:left="2151" w:hanging="361"/>
      </w:pPr>
      <w:rPr>
        <w:rFonts w:hint="default"/>
        <w:lang w:val="zh-CN" w:eastAsia="zh-CN" w:bidi="zh-CN"/>
      </w:rPr>
    </w:lvl>
    <w:lvl w:ilvl="3" w:tentative="0">
      <w:start w:val="0"/>
      <w:numFmt w:val="bullet"/>
      <w:lvlText w:val="•"/>
      <w:lvlJc w:val="left"/>
      <w:pPr>
        <w:ind w:left="3123" w:hanging="361"/>
      </w:pPr>
      <w:rPr>
        <w:rFonts w:hint="default"/>
        <w:lang w:val="zh-CN" w:eastAsia="zh-CN" w:bidi="zh-CN"/>
      </w:rPr>
    </w:lvl>
    <w:lvl w:ilvl="4" w:tentative="0">
      <w:start w:val="0"/>
      <w:numFmt w:val="bullet"/>
      <w:lvlText w:val="•"/>
      <w:lvlJc w:val="left"/>
      <w:pPr>
        <w:ind w:left="4095" w:hanging="361"/>
      </w:pPr>
      <w:rPr>
        <w:rFonts w:hint="default"/>
        <w:lang w:val="zh-CN" w:eastAsia="zh-CN" w:bidi="zh-CN"/>
      </w:rPr>
    </w:lvl>
    <w:lvl w:ilvl="5" w:tentative="0">
      <w:start w:val="0"/>
      <w:numFmt w:val="bullet"/>
      <w:lvlText w:val="•"/>
      <w:lvlJc w:val="left"/>
      <w:pPr>
        <w:ind w:left="5067" w:hanging="361"/>
      </w:pPr>
      <w:rPr>
        <w:rFonts w:hint="default"/>
        <w:lang w:val="zh-CN" w:eastAsia="zh-CN" w:bidi="zh-CN"/>
      </w:rPr>
    </w:lvl>
    <w:lvl w:ilvl="6" w:tentative="0">
      <w:start w:val="0"/>
      <w:numFmt w:val="bullet"/>
      <w:lvlText w:val="•"/>
      <w:lvlJc w:val="left"/>
      <w:pPr>
        <w:ind w:left="6039" w:hanging="361"/>
      </w:pPr>
      <w:rPr>
        <w:rFonts w:hint="default"/>
        <w:lang w:val="zh-CN" w:eastAsia="zh-CN" w:bidi="zh-CN"/>
      </w:rPr>
    </w:lvl>
    <w:lvl w:ilvl="7" w:tentative="0">
      <w:start w:val="0"/>
      <w:numFmt w:val="bullet"/>
      <w:lvlText w:val="•"/>
      <w:lvlJc w:val="left"/>
      <w:pPr>
        <w:ind w:left="7010" w:hanging="361"/>
      </w:pPr>
      <w:rPr>
        <w:rFonts w:hint="default"/>
        <w:lang w:val="zh-CN" w:eastAsia="zh-CN" w:bidi="zh-CN"/>
      </w:rPr>
    </w:lvl>
    <w:lvl w:ilvl="8" w:tentative="0">
      <w:start w:val="0"/>
      <w:numFmt w:val="bullet"/>
      <w:lvlText w:val="•"/>
      <w:lvlJc w:val="left"/>
      <w:pPr>
        <w:ind w:left="7982" w:hanging="361"/>
      </w:pPr>
      <w:rPr>
        <w:rFonts w:hint="default"/>
        <w:lang w:val="zh-CN" w:eastAsia="zh-CN" w:bidi="zh-CN"/>
      </w:rPr>
    </w:lvl>
  </w:abstractNum>
  <w:abstractNum w:abstractNumId="16">
    <w:nsid w:val="BE923771"/>
    <w:multiLevelType w:val="multilevel"/>
    <w:tmpl w:val="BE923771"/>
    <w:lvl w:ilvl="0" w:tentative="0">
      <w:start w:val="1"/>
      <w:numFmt w:val="lowerLetter"/>
      <w:lvlText w:val="%1."/>
      <w:lvlJc w:val="left"/>
      <w:pPr>
        <w:ind w:left="1144" w:hanging="303"/>
      </w:pPr>
      <w:rPr>
        <w:rFonts w:hint="default" w:ascii="Times New Roman" w:hAnsi="Times New Roman" w:eastAsia="Times New Roman" w:cs="Times New Roman"/>
        <w:spacing w:val="0"/>
        <w:w w:val="100"/>
        <w:sz w:val="24"/>
        <w:szCs w:val="24"/>
        <w:lang w:val="zh-CN" w:eastAsia="zh-CN" w:bidi="zh-CN"/>
      </w:rPr>
    </w:lvl>
    <w:lvl w:ilvl="1" w:tentative="0">
      <w:start w:val="0"/>
      <w:numFmt w:val="bullet"/>
      <w:lvlText w:val="•"/>
      <w:lvlJc w:val="left"/>
      <w:pPr>
        <w:ind w:left="2018" w:hanging="303"/>
      </w:pPr>
      <w:rPr>
        <w:rFonts w:hint="default"/>
        <w:lang w:val="zh-CN" w:eastAsia="zh-CN" w:bidi="zh-CN"/>
      </w:rPr>
    </w:lvl>
    <w:lvl w:ilvl="2" w:tentative="0">
      <w:start w:val="0"/>
      <w:numFmt w:val="bullet"/>
      <w:lvlText w:val="•"/>
      <w:lvlJc w:val="left"/>
      <w:pPr>
        <w:ind w:left="2897" w:hanging="303"/>
      </w:pPr>
      <w:rPr>
        <w:rFonts w:hint="default"/>
        <w:lang w:val="zh-CN" w:eastAsia="zh-CN" w:bidi="zh-CN"/>
      </w:rPr>
    </w:lvl>
    <w:lvl w:ilvl="3" w:tentative="0">
      <w:start w:val="0"/>
      <w:numFmt w:val="bullet"/>
      <w:lvlText w:val="•"/>
      <w:lvlJc w:val="left"/>
      <w:pPr>
        <w:ind w:left="3775" w:hanging="303"/>
      </w:pPr>
      <w:rPr>
        <w:rFonts w:hint="default"/>
        <w:lang w:val="zh-CN" w:eastAsia="zh-CN" w:bidi="zh-CN"/>
      </w:rPr>
    </w:lvl>
    <w:lvl w:ilvl="4" w:tentative="0">
      <w:start w:val="0"/>
      <w:numFmt w:val="bullet"/>
      <w:lvlText w:val="•"/>
      <w:lvlJc w:val="left"/>
      <w:pPr>
        <w:ind w:left="4654" w:hanging="303"/>
      </w:pPr>
      <w:rPr>
        <w:rFonts w:hint="default"/>
        <w:lang w:val="zh-CN" w:eastAsia="zh-CN" w:bidi="zh-CN"/>
      </w:rPr>
    </w:lvl>
    <w:lvl w:ilvl="5" w:tentative="0">
      <w:start w:val="0"/>
      <w:numFmt w:val="bullet"/>
      <w:lvlText w:val="•"/>
      <w:lvlJc w:val="left"/>
      <w:pPr>
        <w:ind w:left="5533" w:hanging="303"/>
      </w:pPr>
      <w:rPr>
        <w:rFonts w:hint="default"/>
        <w:lang w:val="zh-CN" w:eastAsia="zh-CN" w:bidi="zh-CN"/>
      </w:rPr>
    </w:lvl>
    <w:lvl w:ilvl="6" w:tentative="0">
      <w:start w:val="0"/>
      <w:numFmt w:val="bullet"/>
      <w:lvlText w:val="•"/>
      <w:lvlJc w:val="left"/>
      <w:pPr>
        <w:ind w:left="6411" w:hanging="303"/>
      </w:pPr>
      <w:rPr>
        <w:rFonts w:hint="default"/>
        <w:lang w:val="zh-CN" w:eastAsia="zh-CN" w:bidi="zh-CN"/>
      </w:rPr>
    </w:lvl>
    <w:lvl w:ilvl="7" w:tentative="0">
      <w:start w:val="0"/>
      <w:numFmt w:val="bullet"/>
      <w:lvlText w:val="•"/>
      <w:lvlJc w:val="left"/>
      <w:pPr>
        <w:ind w:left="7290" w:hanging="303"/>
      </w:pPr>
      <w:rPr>
        <w:rFonts w:hint="default"/>
        <w:lang w:val="zh-CN" w:eastAsia="zh-CN" w:bidi="zh-CN"/>
      </w:rPr>
    </w:lvl>
    <w:lvl w:ilvl="8" w:tentative="0">
      <w:start w:val="0"/>
      <w:numFmt w:val="bullet"/>
      <w:lvlText w:val="•"/>
      <w:lvlJc w:val="left"/>
      <w:pPr>
        <w:ind w:left="8169" w:hanging="303"/>
      </w:pPr>
      <w:rPr>
        <w:rFonts w:hint="default"/>
        <w:lang w:val="zh-CN" w:eastAsia="zh-CN" w:bidi="zh-CN"/>
      </w:rPr>
    </w:lvl>
  </w:abstractNum>
  <w:abstractNum w:abstractNumId="17">
    <w:nsid w:val="C0915F4F"/>
    <w:multiLevelType w:val="multilevel"/>
    <w:tmpl w:val="C0915F4F"/>
    <w:lvl w:ilvl="0" w:tentative="0">
      <w:start w:val="1"/>
      <w:numFmt w:val="decimal"/>
      <w:lvlText w:val="%1）"/>
      <w:lvlJc w:val="left"/>
      <w:pPr>
        <w:ind w:left="223" w:hanging="366"/>
      </w:pPr>
      <w:rPr>
        <w:rFonts w:hint="default" w:ascii="Times New Roman" w:hAnsi="Times New Roman" w:eastAsia="Times New Roman" w:cs="Times New Roman"/>
        <w:spacing w:val="-20"/>
        <w:w w:val="100"/>
        <w:sz w:val="22"/>
        <w:szCs w:val="22"/>
        <w:lang w:val="zh-CN" w:eastAsia="zh-CN" w:bidi="zh-CN"/>
      </w:rPr>
    </w:lvl>
    <w:lvl w:ilvl="1" w:tentative="0">
      <w:start w:val="0"/>
      <w:numFmt w:val="bullet"/>
      <w:lvlText w:val="•"/>
      <w:lvlJc w:val="left"/>
      <w:pPr>
        <w:ind w:left="1190" w:hanging="366"/>
      </w:pPr>
      <w:rPr>
        <w:rFonts w:hint="default"/>
        <w:lang w:val="zh-CN" w:eastAsia="zh-CN" w:bidi="zh-CN"/>
      </w:rPr>
    </w:lvl>
    <w:lvl w:ilvl="2" w:tentative="0">
      <w:start w:val="0"/>
      <w:numFmt w:val="bullet"/>
      <w:lvlText w:val="•"/>
      <w:lvlJc w:val="left"/>
      <w:pPr>
        <w:ind w:left="2161" w:hanging="366"/>
      </w:pPr>
      <w:rPr>
        <w:rFonts w:hint="default"/>
        <w:lang w:val="zh-CN" w:eastAsia="zh-CN" w:bidi="zh-CN"/>
      </w:rPr>
    </w:lvl>
    <w:lvl w:ilvl="3" w:tentative="0">
      <w:start w:val="0"/>
      <w:numFmt w:val="bullet"/>
      <w:lvlText w:val="•"/>
      <w:lvlJc w:val="left"/>
      <w:pPr>
        <w:ind w:left="3131" w:hanging="366"/>
      </w:pPr>
      <w:rPr>
        <w:rFonts w:hint="default"/>
        <w:lang w:val="zh-CN" w:eastAsia="zh-CN" w:bidi="zh-CN"/>
      </w:rPr>
    </w:lvl>
    <w:lvl w:ilvl="4" w:tentative="0">
      <w:start w:val="0"/>
      <w:numFmt w:val="bullet"/>
      <w:lvlText w:val="•"/>
      <w:lvlJc w:val="left"/>
      <w:pPr>
        <w:ind w:left="4102" w:hanging="366"/>
      </w:pPr>
      <w:rPr>
        <w:rFonts w:hint="default"/>
        <w:lang w:val="zh-CN" w:eastAsia="zh-CN" w:bidi="zh-CN"/>
      </w:rPr>
    </w:lvl>
    <w:lvl w:ilvl="5" w:tentative="0">
      <w:start w:val="0"/>
      <w:numFmt w:val="bullet"/>
      <w:lvlText w:val="•"/>
      <w:lvlJc w:val="left"/>
      <w:pPr>
        <w:ind w:left="5073" w:hanging="366"/>
      </w:pPr>
      <w:rPr>
        <w:rFonts w:hint="default"/>
        <w:lang w:val="zh-CN" w:eastAsia="zh-CN" w:bidi="zh-CN"/>
      </w:rPr>
    </w:lvl>
    <w:lvl w:ilvl="6" w:tentative="0">
      <w:start w:val="0"/>
      <w:numFmt w:val="bullet"/>
      <w:lvlText w:val="•"/>
      <w:lvlJc w:val="left"/>
      <w:pPr>
        <w:ind w:left="6043" w:hanging="366"/>
      </w:pPr>
      <w:rPr>
        <w:rFonts w:hint="default"/>
        <w:lang w:val="zh-CN" w:eastAsia="zh-CN" w:bidi="zh-CN"/>
      </w:rPr>
    </w:lvl>
    <w:lvl w:ilvl="7" w:tentative="0">
      <w:start w:val="0"/>
      <w:numFmt w:val="bullet"/>
      <w:lvlText w:val="•"/>
      <w:lvlJc w:val="left"/>
      <w:pPr>
        <w:ind w:left="7014" w:hanging="366"/>
      </w:pPr>
      <w:rPr>
        <w:rFonts w:hint="default"/>
        <w:lang w:val="zh-CN" w:eastAsia="zh-CN" w:bidi="zh-CN"/>
      </w:rPr>
    </w:lvl>
    <w:lvl w:ilvl="8" w:tentative="0">
      <w:start w:val="0"/>
      <w:numFmt w:val="bullet"/>
      <w:lvlText w:val="•"/>
      <w:lvlJc w:val="left"/>
      <w:pPr>
        <w:ind w:left="7985" w:hanging="366"/>
      </w:pPr>
      <w:rPr>
        <w:rFonts w:hint="default"/>
        <w:lang w:val="zh-CN" w:eastAsia="zh-CN" w:bidi="zh-CN"/>
      </w:rPr>
    </w:lvl>
  </w:abstractNum>
  <w:abstractNum w:abstractNumId="18">
    <w:nsid w:val="C4E0D24A"/>
    <w:multiLevelType w:val="multilevel"/>
    <w:tmpl w:val="C4E0D24A"/>
    <w:lvl w:ilvl="0" w:tentative="0">
      <w:start w:val="2"/>
      <w:numFmt w:val="decimal"/>
      <w:lvlText w:val="%1"/>
      <w:lvlJc w:val="left"/>
      <w:pPr>
        <w:ind w:left="1130" w:hanging="425"/>
      </w:pPr>
      <w:rPr>
        <w:rFonts w:hint="default"/>
        <w:lang w:val="zh-CN" w:eastAsia="zh-CN" w:bidi="zh-CN"/>
      </w:rPr>
    </w:lvl>
    <w:lvl w:ilvl="1" w:tentative="0">
      <w:start w:val="8"/>
      <w:numFmt w:val="decimal"/>
      <w:lvlText w:val="%1.%2"/>
      <w:lvlJc w:val="left"/>
      <w:pPr>
        <w:ind w:left="1130" w:hanging="425"/>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2897" w:hanging="425"/>
      </w:pPr>
      <w:rPr>
        <w:rFonts w:hint="default"/>
        <w:lang w:val="zh-CN" w:eastAsia="zh-CN" w:bidi="zh-CN"/>
      </w:rPr>
    </w:lvl>
    <w:lvl w:ilvl="3" w:tentative="0">
      <w:start w:val="0"/>
      <w:numFmt w:val="bullet"/>
      <w:lvlText w:val="•"/>
      <w:lvlJc w:val="left"/>
      <w:pPr>
        <w:ind w:left="3775" w:hanging="425"/>
      </w:pPr>
      <w:rPr>
        <w:rFonts w:hint="default"/>
        <w:lang w:val="zh-CN" w:eastAsia="zh-CN" w:bidi="zh-CN"/>
      </w:rPr>
    </w:lvl>
    <w:lvl w:ilvl="4" w:tentative="0">
      <w:start w:val="0"/>
      <w:numFmt w:val="bullet"/>
      <w:lvlText w:val="•"/>
      <w:lvlJc w:val="left"/>
      <w:pPr>
        <w:ind w:left="4654" w:hanging="425"/>
      </w:pPr>
      <w:rPr>
        <w:rFonts w:hint="default"/>
        <w:lang w:val="zh-CN" w:eastAsia="zh-CN" w:bidi="zh-CN"/>
      </w:rPr>
    </w:lvl>
    <w:lvl w:ilvl="5" w:tentative="0">
      <w:start w:val="0"/>
      <w:numFmt w:val="bullet"/>
      <w:lvlText w:val="•"/>
      <w:lvlJc w:val="left"/>
      <w:pPr>
        <w:ind w:left="5533" w:hanging="425"/>
      </w:pPr>
      <w:rPr>
        <w:rFonts w:hint="default"/>
        <w:lang w:val="zh-CN" w:eastAsia="zh-CN" w:bidi="zh-CN"/>
      </w:rPr>
    </w:lvl>
    <w:lvl w:ilvl="6" w:tentative="0">
      <w:start w:val="0"/>
      <w:numFmt w:val="bullet"/>
      <w:lvlText w:val="•"/>
      <w:lvlJc w:val="left"/>
      <w:pPr>
        <w:ind w:left="6411" w:hanging="425"/>
      </w:pPr>
      <w:rPr>
        <w:rFonts w:hint="default"/>
        <w:lang w:val="zh-CN" w:eastAsia="zh-CN" w:bidi="zh-CN"/>
      </w:rPr>
    </w:lvl>
    <w:lvl w:ilvl="7" w:tentative="0">
      <w:start w:val="0"/>
      <w:numFmt w:val="bullet"/>
      <w:lvlText w:val="•"/>
      <w:lvlJc w:val="left"/>
      <w:pPr>
        <w:ind w:left="7290" w:hanging="425"/>
      </w:pPr>
      <w:rPr>
        <w:rFonts w:hint="default"/>
        <w:lang w:val="zh-CN" w:eastAsia="zh-CN" w:bidi="zh-CN"/>
      </w:rPr>
    </w:lvl>
    <w:lvl w:ilvl="8" w:tentative="0">
      <w:start w:val="0"/>
      <w:numFmt w:val="bullet"/>
      <w:lvlText w:val="•"/>
      <w:lvlJc w:val="left"/>
      <w:pPr>
        <w:ind w:left="8169" w:hanging="425"/>
      </w:pPr>
      <w:rPr>
        <w:rFonts w:hint="default"/>
        <w:lang w:val="zh-CN" w:eastAsia="zh-CN" w:bidi="zh-CN"/>
      </w:rPr>
    </w:lvl>
  </w:abstractNum>
  <w:abstractNum w:abstractNumId="19">
    <w:nsid w:val="C8879AEF"/>
    <w:multiLevelType w:val="multilevel"/>
    <w:tmpl w:val="C8879AEF"/>
    <w:lvl w:ilvl="0" w:tentative="0">
      <w:start w:val="1"/>
      <w:numFmt w:val="decimal"/>
      <w:lvlText w:val="（%1）"/>
      <w:lvlJc w:val="left"/>
      <w:pPr>
        <w:ind w:left="1304"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1" w:hanging="601"/>
      </w:pPr>
      <w:rPr>
        <w:rFonts w:hint="default"/>
        <w:lang w:val="zh-CN" w:eastAsia="zh-CN" w:bidi="zh-CN"/>
      </w:rPr>
    </w:lvl>
  </w:abstractNum>
  <w:abstractNum w:abstractNumId="20">
    <w:nsid w:val="CF092B84"/>
    <w:multiLevelType w:val="multilevel"/>
    <w:tmpl w:val="CF092B84"/>
    <w:lvl w:ilvl="0" w:tentative="0">
      <w:start w:val="2"/>
      <w:numFmt w:val="decimal"/>
      <w:lvlText w:val="%1"/>
      <w:lvlJc w:val="left"/>
      <w:pPr>
        <w:ind w:left="1130" w:hanging="425"/>
      </w:pPr>
      <w:rPr>
        <w:rFonts w:hint="default"/>
        <w:lang w:val="zh-CN" w:eastAsia="zh-CN" w:bidi="zh-CN"/>
      </w:rPr>
    </w:lvl>
    <w:lvl w:ilvl="1" w:tentative="0">
      <w:start w:val="1"/>
      <w:numFmt w:val="decimal"/>
      <w:lvlText w:val="%1.%2"/>
      <w:lvlJc w:val="left"/>
      <w:pPr>
        <w:ind w:left="1130" w:hanging="425"/>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2897" w:hanging="425"/>
      </w:pPr>
      <w:rPr>
        <w:rFonts w:hint="default"/>
        <w:lang w:val="zh-CN" w:eastAsia="zh-CN" w:bidi="zh-CN"/>
      </w:rPr>
    </w:lvl>
    <w:lvl w:ilvl="3" w:tentative="0">
      <w:start w:val="0"/>
      <w:numFmt w:val="bullet"/>
      <w:lvlText w:val="•"/>
      <w:lvlJc w:val="left"/>
      <w:pPr>
        <w:ind w:left="3775" w:hanging="425"/>
      </w:pPr>
      <w:rPr>
        <w:rFonts w:hint="default"/>
        <w:lang w:val="zh-CN" w:eastAsia="zh-CN" w:bidi="zh-CN"/>
      </w:rPr>
    </w:lvl>
    <w:lvl w:ilvl="4" w:tentative="0">
      <w:start w:val="0"/>
      <w:numFmt w:val="bullet"/>
      <w:lvlText w:val="•"/>
      <w:lvlJc w:val="left"/>
      <w:pPr>
        <w:ind w:left="4654" w:hanging="425"/>
      </w:pPr>
      <w:rPr>
        <w:rFonts w:hint="default"/>
        <w:lang w:val="zh-CN" w:eastAsia="zh-CN" w:bidi="zh-CN"/>
      </w:rPr>
    </w:lvl>
    <w:lvl w:ilvl="5" w:tentative="0">
      <w:start w:val="0"/>
      <w:numFmt w:val="bullet"/>
      <w:lvlText w:val="•"/>
      <w:lvlJc w:val="left"/>
      <w:pPr>
        <w:ind w:left="5533" w:hanging="425"/>
      </w:pPr>
      <w:rPr>
        <w:rFonts w:hint="default"/>
        <w:lang w:val="zh-CN" w:eastAsia="zh-CN" w:bidi="zh-CN"/>
      </w:rPr>
    </w:lvl>
    <w:lvl w:ilvl="6" w:tentative="0">
      <w:start w:val="0"/>
      <w:numFmt w:val="bullet"/>
      <w:lvlText w:val="•"/>
      <w:lvlJc w:val="left"/>
      <w:pPr>
        <w:ind w:left="6411" w:hanging="425"/>
      </w:pPr>
      <w:rPr>
        <w:rFonts w:hint="default"/>
        <w:lang w:val="zh-CN" w:eastAsia="zh-CN" w:bidi="zh-CN"/>
      </w:rPr>
    </w:lvl>
    <w:lvl w:ilvl="7" w:tentative="0">
      <w:start w:val="0"/>
      <w:numFmt w:val="bullet"/>
      <w:lvlText w:val="•"/>
      <w:lvlJc w:val="left"/>
      <w:pPr>
        <w:ind w:left="7290" w:hanging="425"/>
      </w:pPr>
      <w:rPr>
        <w:rFonts w:hint="default"/>
        <w:lang w:val="zh-CN" w:eastAsia="zh-CN" w:bidi="zh-CN"/>
      </w:rPr>
    </w:lvl>
    <w:lvl w:ilvl="8" w:tentative="0">
      <w:start w:val="0"/>
      <w:numFmt w:val="bullet"/>
      <w:lvlText w:val="•"/>
      <w:lvlJc w:val="left"/>
      <w:pPr>
        <w:ind w:left="8169" w:hanging="425"/>
      </w:pPr>
      <w:rPr>
        <w:rFonts w:hint="default"/>
        <w:lang w:val="zh-CN" w:eastAsia="zh-CN" w:bidi="zh-CN"/>
      </w:rPr>
    </w:lvl>
  </w:abstractNum>
  <w:abstractNum w:abstractNumId="21">
    <w:nsid w:val="D7F9FE59"/>
    <w:multiLevelType w:val="multilevel"/>
    <w:tmpl w:val="D7F9FE59"/>
    <w:lvl w:ilvl="0" w:tentative="0">
      <w:start w:val="1"/>
      <w:numFmt w:val="decimal"/>
      <w:lvlText w:val="%1"/>
      <w:lvlJc w:val="left"/>
      <w:pPr>
        <w:ind w:left="223" w:hanging="850"/>
      </w:pPr>
      <w:rPr>
        <w:rFonts w:hint="default"/>
        <w:lang w:val="zh-CN" w:eastAsia="zh-CN" w:bidi="zh-CN"/>
      </w:rPr>
    </w:lvl>
    <w:lvl w:ilvl="1" w:tentative="0">
      <w:start w:val="1"/>
      <w:numFmt w:val="decimal"/>
      <w:lvlText w:val="%1.%2"/>
      <w:lvlJc w:val="left"/>
      <w:pPr>
        <w:ind w:left="223" w:hanging="850"/>
      </w:pPr>
      <w:rPr>
        <w:rFonts w:hint="default"/>
        <w:lang w:val="zh-CN" w:eastAsia="zh-CN" w:bidi="zh-CN"/>
      </w:rPr>
    </w:lvl>
    <w:lvl w:ilvl="2" w:tentative="0">
      <w:start w:val="38"/>
      <w:numFmt w:val="decimal"/>
      <w:lvlText w:val="%1.%2.%3"/>
      <w:lvlJc w:val="left"/>
      <w:pPr>
        <w:ind w:left="223" w:hanging="850"/>
      </w:pPr>
      <w:rPr>
        <w:rFonts w:hint="default" w:ascii="宋体" w:hAnsi="宋体" w:eastAsia="宋体" w:cs="宋体"/>
        <w:w w:val="100"/>
        <w:sz w:val="24"/>
        <w:szCs w:val="24"/>
        <w:lang w:val="zh-CN" w:eastAsia="zh-CN" w:bidi="zh-CN"/>
      </w:rPr>
    </w:lvl>
    <w:lvl w:ilvl="3" w:tentative="0">
      <w:start w:val="1"/>
      <w:numFmt w:val="decimal"/>
      <w:lvlText w:val="%1.%2.%3.%4"/>
      <w:lvlJc w:val="left"/>
      <w:pPr>
        <w:ind w:left="223" w:hanging="1121"/>
      </w:pPr>
      <w:rPr>
        <w:rFonts w:hint="default" w:ascii="宋体" w:hAnsi="宋体" w:eastAsia="宋体" w:cs="宋体"/>
        <w:spacing w:val="0"/>
        <w:w w:val="100"/>
        <w:sz w:val="24"/>
        <w:szCs w:val="24"/>
        <w:lang w:val="zh-CN" w:eastAsia="zh-CN" w:bidi="zh-CN"/>
      </w:rPr>
    </w:lvl>
    <w:lvl w:ilvl="4" w:tentative="0">
      <w:start w:val="0"/>
      <w:numFmt w:val="bullet"/>
      <w:lvlText w:val="•"/>
      <w:lvlJc w:val="left"/>
      <w:pPr>
        <w:ind w:left="4102" w:hanging="1121"/>
      </w:pPr>
      <w:rPr>
        <w:rFonts w:hint="default"/>
        <w:lang w:val="zh-CN" w:eastAsia="zh-CN" w:bidi="zh-CN"/>
      </w:rPr>
    </w:lvl>
    <w:lvl w:ilvl="5" w:tentative="0">
      <w:start w:val="0"/>
      <w:numFmt w:val="bullet"/>
      <w:lvlText w:val="•"/>
      <w:lvlJc w:val="left"/>
      <w:pPr>
        <w:ind w:left="5073" w:hanging="1121"/>
      </w:pPr>
      <w:rPr>
        <w:rFonts w:hint="default"/>
        <w:lang w:val="zh-CN" w:eastAsia="zh-CN" w:bidi="zh-CN"/>
      </w:rPr>
    </w:lvl>
    <w:lvl w:ilvl="6" w:tentative="0">
      <w:start w:val="0"/>
      <w:numFmt w:val="bullet"/>
      <w:lvlText w:val="•"/>
      <w:lvlJc w:val="left"/>
      <w:pPr>
        <w:ind w:left="6043" w:hanging="1121"/>
      </w:pPr>
      <w:rPr>
        <w:rFonts w:hint="default"/>
        <w:lang w:val="zh-CN" w:eastAsia="zh-CN" w:bidi="zh-CN"/>
      </w:rPr>
    </w:lvl>
    <w:lvl w:ilvl="7" w:tentative="0">
      <w:start w:val="0"/>
      <w:numFmt w:val="bullet"/>
      <w:lvlText w:val="•"/>
      <w:lvlJc w:val="left"/>
      <w:pPr>
        <w:ind w:left="7014" w:hanging="1121"/>
      </w:pPr>
      <w:rPr>
        <w:rFonts w:hint="default"/>
        <w:lang w:val="zh-CN" w:eastAsia="zh-CN" w:bidi="zh-CN"/>
      </w:rPr>
    </w:lvl>
    <w:lvl w:ilvl="8" w:tentative="0">
      <w:start w:val="0"/>
      <w:numFmt w:val="bullet"/>
      <w:lvlText w:val="•"/>
      <w:lvlJc w:val="left"/>
      <w:pPr>
        <w:ind w:left="7985" w:hanging="1121"/>
      </w:pPr>
      <w:rPr>
        <w:rFonts w:hint="default"/>
        <w:lang w:val="zh-CN" w:eastAsia="zh-CN" w:bidi="zh-CN"/>
      </w:rPr>
    </w:lvl>
  </w:abstractNum>
  <w:abstractNum w:abstractNumId="22">
    <w:nsid w:val="DAD3A854"/>
    <w:multiLevelType w:val="multilevel"/>
    <w:tmpl w:val="DAD3A854"/>
    <w:lvl w:ilvl="0" w:tentative="0">
      <w:start w:val="1"/>
      <w:numFmt w:val="decimal"/>
      <w:lvlText w:val="（%1）"/>
      <w:lvlJc w:val="left"/>
      <w:pPr>
        <w:ind w:left="223" w:hanging="608"/>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190" w:hanging="608"/>
      </w:pPr>
      <w:rPr>
        <w:rFonts w:hint="default"/>
        <w:lang w:val="zh-CN" w:eastAsia="zh-CN" w:bidi="zh-CN"/>
      </w:rPr>
    </w:lvl>
    <w:lvl w:ilvl="2" w:tentative="0">
      <w:start w:val="0"/>
      <w:numFmt w:val="bullet"/>
      <w:lvlText w:val="•"/>
      <w:lvlJc w:val="left"/>
      <w:pPr>
        <w:ind w:left="2161" w:hanging="608"/>
      </w:pPr>
      <w:rPr>
        <w:rFonts w:hint="default"/>
        <w:lang w:val="zh-CN" w:eastAsia="zh-CN" w:bidi="zh-CN"/>
      </w:rPr>
    </w:lvl>
    <w:lvl w:ilvl="3" w:tentative="0">
      <w:start w:val="0"/>
      <w:numFmt w:val="bullet"/>
      <w:lvlText w:val="•"/>
      <w:lvlJc w:val="left"/>
      <w:pPr>
        <w:ind w:left="3131" w:hanging="608"/>
      </w:pPr>
      <w:rPr>
        <w:rFonts w:hint="default"/>
        <w:lang w:val="zh-CN" w:eastAsia="zh-CN" w:bidi="zh-CN"/>
      </w:rPr>
    </w:lvl>
    <w:lvl w:ilvl="4" w:tentative="0">
      <w:start w:val="0"/>
      <w:numFmt w:val="bullet"/>
      <w:lvlText w:val="•"/>
      <w:lvlJc w:val="left"/>
      <w:pPr>
        <w:ind w:left="4102" w:hanging="608"/>
      </w:pPr>
      <w:rPr>
        <w:rFonts w:hint="default"/>
        <w:lang w:val="zh-CN" w:eastAsia="zh-CN" w:bidi="zh-CN"/>
      </w:rPr>
    </w:lvl>
    <w:lvl w:ilvl="5" w:tentative="0">
      <w:start w:val="0"/>
      <w:numFmt w:val="bullet"/>
      <w:lvlText w:val="•"/>
      <w:lvlJc w:val="left"/>
      <w:pPr>
        <w:ind w:left="5073" w:hanging="608"/>
      </w:pPr>
      <w:rPr>
        <w:rFonts w:hint="default"/>
        <w:lang w:val="zh-CN" w:eastAsia="zh-CN" w:bidi="zh-CN"/>
      </w:rPr>
    </w:lvl>
    <w:lvl w:ilvl="6" w:tentative="0">
      <w:start w:val="0"/>
      <w:numFmt w:val="bullet"/>
      <w:lvlText w:val="•"/>
      <w:lvlJc w:val="left"/>
      <w:pPr>
        <w:ind w:left="6043" w:hanging="608"/>
      </w:pPr>
      <w:rPr>
        <w:rFonts w:hint="default"/>
        <w:lang w:val="zh-CN" w:eastAsia="zh-CN" w:bidi="zh-CN"/>
      </w:rPr>
    </w:lvl>
    <w:lvl w:ilvl="7" w:tentative="0">
      <w:start w:val="0"/>
      <w:numFmt w:val="bullet"/>
      <w:lvlText w:val="•"/>
      <w:lvlJc w:val="left"/>
      <w:pPr>
        <w:ind w:left="7014" w:hanging="608"/>
      </w:pPr>
      <w:rPr>
        <w:rFonts w:hint="default"/>
        <w:lang w:val="zh-CN" w:eastAsia="zh-CN" w:bidi="zh-CN"/>
      </w:rPr>
    </w:lvl>
    <w:lvl w:ilvl="8" w:tentative="0">
      <w:start w:val="0"/>
      <w:numFmt w:val="bullet"/>
      <w:lvlText w:val="•"/>
      <w:lvlJc w:val="left"/>
      <w:pPr>
        <w:ind w:left="7985" w:hanging="608"/>
      </w:pPr>
      <w:rPr>
        <w:rFonts w:hint="default"/>
        <w:lang w:val="zh-CN" w:eastAsia="zh-CN" w:bidi="zh-CN"/>
      </w:rPr>
    </w:lvl>
  </w:abstractNum>
  <w:abstractNum w:abstractNumId="23">
    <w:nsid w:val="DCBA6B53"/>
    <w:multiLevelType w:val="multilevel"/>
    <w:tmpl w:val="DCBA6B53"/>
    <w:lvl w:ilvl="0" w:tentative="0">
      <w:start w:val="1"/>
      <w:numFmt w:val="decimal"/>
      <w:lvlText w:val="%1"/>
      <w:lvlJc w:val="left"/>
      <w:pPr>
        <w:ind w:left="223" w:hanging="828"/>
      </w:pPr>
      <w:rPr>
        <w:rFonts w:hint="default"/>
        <w:lang w:val="zh-CN" w:eastAsia="zh-CN" w:bidi="zh-CN"/>
      </w:rPr>
    </w:lvl>
    <w:lvl w:ilvl="1" w:tentative="0">
      <w:start w:val="1"/>
      <w:numFmt w:val="decimal"/>
      <w:lvlText w:val="%1.%2"/>
      <w:lvlJc w:val="left"/>
      <w:pPr>
        <w:ind w:left="223" w:hanging="828"/>
      </w:pPr>
      <w:rPr>
        <w:rFonts w:hint="default"/>
        <w:lang w:val="zh-CN" w:eastAsia="zh-CN" w:bidi="zh-CN"/>
      </w:rPr>
    </w:lvl>
    <w:lvl w:ilvl="2" w:tentative="0">
      <w:start w:val="13"/>
      <w:numFmt w:val="decimal"/>
      <w:lvlText w:val="%1.%2.%3"/>
      <w:lvlJc w:val="left"/>
      <w:pPr>
        <w:ind w:left="223" w:hanging="828"/>
      </w:pPr>
      <w:rPr>
        <w:rFonts w:hint="default" w:ascii="宋体" w:hAnsi="宋体" w:eastAsia="宋体" w:cs="宋体"/>
        <w:w w:val="100"/>
        <w:sz w:val="24"/>
        <w:szCs w:val="24"/>
        <w:lang w:val="zh-CN" w:eastAsia="zh-CN" w:bidi="zh-CN"/>
      </w:rPr>
    </w:lvl>
    <w:lvl w:ilvl="3" w:tentative="0">
      <w:start w:val="0"/>
      <w:numFmt w:val="bullet"/>
      <w:lvlText w:val="•"/>
      <w:lvlJc w:val="left"/>
      <w:pPr>
        <w:ind w:left="3131" w:hanging="828"/>
      </w:pPr>
      <w:rPr>
        <w:rFonts w:hint="default"/>
        <w:lang w:val="zh-CN" w:eastAsia="zh-CN" w:bidi="zh-CN"/>
      </w:rPr>
    </w:lvl>
    <w:lvl w:ilvl="4" w:tentative="0">
      <w:start w:val="0"/>
      <w:numFmt w:val="bullet"/>
      <w:lvlText w:val="•"/>
      <w:lvlJc w:val="left"/>
      <w:pPr>
        <w:ind w:left="4102" w:hanging="828"/>
      </w:pPr>
      <w:rPr>
        <w:rFonts w:hint="default"/>
        <w:lang w:val="zh-CN" w:eastAsia="zh-CN" w:bidi="zh-CN"/>
      </w:rPr>
    </w:lvl>
    <w:lvl w:ilvl="5" w:tentative="0">
      <w:start w:val="0"/>
      <w:numFmt w:val="bullet"/>
      <w:lvlText w:val="•"/>
      <w:lvlJc w:val="left"/>
      <w:pPr>
        <w:ind w:left="5073" w:hanging="828"/>
      </w:pPr>
      <w:rPr>
        <w:rFonts w:hint="default"/>
        <w:lang w:val="zh-CN" w:eastAsia="zh-CN" w:bidi="zh-CN"/>
      </w:rPr>
    </w:lvl>
    <w:lvl w:ilvl="6" w:tentative="0">
      <w:start w:val="0"/>
      <w:numFmt w:val="bullet"/>
      <w:lvlText w:val="•"/>
      <w:lvlJc w:val="left"/>
      <w:pPr>
        <w:ind w:left="6043" w:hanging="828"/>
      </w:pPr>
      <w:rPr>
        <w:rFonts w:hint="default"/>
        <w:lang w:val="zh-CN" w:eastAsia="zh-CN" w:bidi="zh-CN"/>
      </w:rPr>
    </w:lvl>
    <w:lvl w:ilvl="7" w:tentative="0">
      <w:start w:val="0"/>
      <w:numFmt w:val="bullet"/>
      <w:lvlText w:val="•"/>
      <w:lvlJc w:val="left"/>
      <w:pPr>
        <w:ind w:left="7014" w:hanging="828"/>
      </w:pPr>
      <w:rPr>
        <w:rFonts w:hint="default"/>
        <w:lang w:val="zh-CN" w:eastAsia="zh-CN" w:bidi="zh-CN"/>
      </w:rPr>
    </w:lvl>
    <w:lvl w:ilvl="8" w:tentative="0">
      <w:start w:val="0"/>
      <w:numFmt w:val="bullet"/>
      <w:lvlText w:val="•"/>
      <w:lvlJc w:val="left"/>
      <w:pPr>
        <w:ind w:left="7985" w:hanging="828"/>
      </w:pPr>
      <w:rPr>
        <w:rFonts w:hint="default"/>
        <w:lang w:val="zh-CN" w:eastAsia="zh-CN" w:bidi="zh-CN"/>
      </w:rPr>
    </w:lvl>
  </w:abstractNum>
  <w:abstractNum w:abstractNumId="24">
    <w:nsid w:val="E504947C"/>
    <w:multiLevelType w:val="multilevel"/>
    <w:tmpl w:val="E504947C"/>
    <w:lvl w:ilvl="0" w:tentative="0">
      <w:start w:val="1"/>
      <w:numFmt w:val="decimal"/>
      <w:lvlText w:val="（%1）"/>
      <w:lvlJc w:val="left"/>
      <w:pPr>
        <w:ind w:left="223" w:hanging="608"/>
      </w:pPr>
      <w:rPr>
        <w:rFonts w:hint="default" w:ascii="宋体" w:hAnsi="宋体" w:eastAsia="宋体" w:cs="宋体"/>
        <w:spacing w:val="-18"/>
        <w:w w:val="100"/>
        <w:sz w:val="22"/>
        <w:szCs w:val="22"/>
        <w:lang w:val="zh-CN" w:eastAsia="zh-CN" w:bidi="zh-CN"/>
      </w:rPr>
    </w:lvl>
    <w:lvl w:ilvl="1" w:tentative="0">
      <w:start w:val="0"/>
      <w:numFmt w:val="bullet"/>
      <w:lvlText w:val="•"/>
      <w:lvlJc w:val="left"/>
      <w:pPr>
        <w:ind w:left="1190" w:hanging="608"/>
      </w:pPr>
      <w:rPr>
        <w:rFonts w:hint="default"/>
        <w:lang w:val="zh-CN" w:eastAsia="zh-CN" w:bidi="zh-CN"/>
      </w:rPr>
    </w:lvl>
    <w:lvl w:ilvl="2" w:tentative="0">
      <w:start w:val="0"/>
      <w:numFmt w:val="bullet"/>
      <w:lvlText w:val="•"/>
      <w:lvlJc w:val="left"/>
      <w:pPr>
        <w:ind w:left="2161" w:hanging="608"/>
      </w:pPr>
      <w:rPr>
        <w:rFonts w:hint="default"/>
        <w:lang w:val="zh-CN" w:eastAsia="zh-CN" w:bidi="zh-CN"/>
      </w:rPr>
    </w:lvl>
    <w:lvl w:ilvl="3" w:tentative="0">
      <w:start w:val="0"/>
      <w:numFmt w:val="bullet"/>
      <w:lvlText w:val="•"/>
      <w:lvlJc w:val="left"/>
      <w:pPr>
        <w:ind w:left="3131" w:hanging="608"/>
      </w:pPr>
      <w:rPr>
        <w:rFonts w:hint="default"/>
        <w:lang w:val="zh-CN" w:eastAsia="zh-CN" w:bidi="zh-CN"/>
      </w:rPr>
    </w:lvl>
    <w:lvl w:ilvl="4" w:tentative="0">
      <w:start w:val="0"/>
      <w:numFmt w:val="bullet"/>
      <w:lvlText w:val="•"/>
      <w:lvlJc w:val="left"/>
      <w:pPr>
        <w:ind w:left="4102" w:hanging="608"/>
      </w:pPr>
      <w:rPr>
        <w:rFonts w:hint="default"/>
        <w:lang w:val="zh-CN" w:eastAsia="zh-CN" w:bidi="zh-CN"/>
      </w:rPr>
    </w:lvl>
    <w:lvl w:ilvl="5" w:tentative="0">
      <w:start w:val="0"/>
      <w:numFmt w:val="bullet"/>
      <w:lvlText w:val="•"/>
      <w:lvlJc w:val="left"/>
      <w:pPr>
        <w:ind w:left="5073" w:hanging="608"/>
      </w:pPr>
      <w:rPr>
        <w:rFonts w:hint="default"/>
        <w:lang w:val="zh-CN" w:eastAsia="zh-CN" w:bidi="zh-CN"/>
      </w:rPr>
    </w:lvl>
    <w:lvl w:ilvl="6" w:tentative="0">
      <w:start w:val="0"/>
      <w:numFmt w:val="bullet"/>
      <w:lvlText w:val="•"/>
      <w:lvlJc w:val="left"/>
      <w:pPr>
        <w:ind w:left="6043" w:hanging="608"/>
      </w:pPr>
      <w:rPr>
        <w:rFonts w:hint="default"/>
        <w:lang w:val="zh-CN" w:eastAsia="zh-CN" w:bidi="zh-CN"/>
      </w:rPr>
    </w:lvl>
    <w:lvl w:ilvl="7" w:tentative="0">
      <w:start w:val="0"/>
      <w:numFmt w:val="bullet"/>
      <w:lvlText w:val="•"/>
      <w:lvlJc w:val="left"/>
      <w:pPr>
        <w:ind w:left="7014" w:hanging="608"/>
      </w:pPr>
      <w:rPr>
        <w:rFonts w:hint="default"/>
        <w:lang w:val="zh-CN" w:eastAsia="zh-CN" w:bidi="zh-CN"/>
      </w:rPr>
    </w:lvl>
    <w:lvl w:ilvl="8" w:tentative="0">
      <w:start w:val="0"/>
      <w:numFmt w:val="bullet"/>
      <w:lvlText w:val="•"/>
      <w:lvlJc w:val="left"/>
      <w:pPr>
        <w:ind w:left="7985" w:hanging="608"/>
      </w:pPr>
      <w:rPr>
        <w:rFonts w:hint="default"/>
        <w:lang w:val="zh-CN" w:eastAsia="zh-CN" w:bidi="zh-CN"/>
      </w:rPr>
    </w:lvl>
  </w:abstractNum>
  <w:abstractNum w:abstractNumId="25">
    <w:nsid w:val="E7B27C5B"/>
    <w:multiLevelType w:val="multilevel"/>
    <w:tmpl w:val="E7B27C5B"/>
    <w:lvl w:ilvl="0" w:tentative="0">
      <w:start w:val="1"/>
      <w:numFmt w:val="decimal"/>
      <w:lvlText w:val="（%1）"/>
      <w:lvlJc w:val="left"/>
      <w:pPr>
        <w:ind w:left="223" w:hanging="608"/>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190" w:hanging="608"/>
      </w:pPr>
      <w:rPr>
        <w:rFonts w:hint="default"/>
        <w:lang w:val="zh-CN" w:eastAsia="zh-CN" w:bidi="zh-CN"/>
      </w:rPr>
    </w:lvl>
    <w:lvl w:ilvl="2" w:tentative="0">
      <w:start w:val="0"/>
      <w:numFmt w:val="bullet"/>
      <w:lvlText w:val="•"/>
      <w:lvlJc w:val="left"/>
      <w:pPr>
        <w:ind w:left="2161" w:hanging="608"/>
      </w:pPr>
      <w:rPr>
        <w:rFonts w:hint="default"/>
        <w:lang w:val="zh-CN" w:eastAsia="zh-CN" w:bidi="zh-CN"/>
      </w:rPr>
    </w:lvl>
    <w:lvl w:ilvl="3" w:tentative="0">
      <w:start w:val="0"/>
      <w:numFmt w:val="bullet"/>
      <w:lvlText w:val="•"/>
      <w:lvlJc w:val="left"/>
      <w:pPr>
        <w:ind w:left="3131" w:hanging="608"/>
      </w:pPr>
      <w:rPr>
        <w:rFonts w:hint="default"/>
        <w:lang w:val="zh-CN" w:eastAsia="zh-CN" w:bidi="zh-CN"/>
      </w:rPr>
    </w:lvl>
    <w:lvl w:ilvl="4" w:tentative="0">
      <w:start w:val="0"/>
      <w:numFmt w:val="bullet"/>
      <w:lvlText w:val="•"/>
      <w:lvlJc w:val="left"/>
      <w:pPr>
        <w:ind w:left="4102" w:hanging="608"/>
      </w:pPr>
      <w:rPr>
        <w:rFonts w:hint="default"/>
        <w:lang w:val="zh-CN" w:eastAsia="zh-CN" w:bidi="zh-CN"/>
      </w:rPr>
    </w:lvl>
    <w:lvl w:ilvl="5" w:tentative="0">
      <w:start w:val="0"/>
      <w:numFmt w:val="bullet"/>
      <w:lvlText w:val="•"/>
      <w:lvlJc w:val="left"/>
      <w:pPr>
        <w:ind w:left="5073" w:hanging="608"/>
      </w:pPr>
      <w:rPr>
        <w:rFonts w:hint="default"/>
        <w:lang w:val="zh-CN" w:eastAsia="zh-CN" w:bidi="zh-CN"/>
      </w:rPr>
    </w:lvl>
    <w:lvl w:ilvl="6" w:tentative="0">
      <w:start w:val="0"/>
      <w:numFmt w:val="bullet"/>
      <w:lvlText w:val="•"/>
      <w:lvlJc w:val="left"/>
      <w:pPr>
        <w:ind w:left="6043" w:hanging="608"/>
      </w:pPr>
      <w:rPr>
        <w:rFonts w:hint="default"/>
        <w:lang w:val="zh-CN" w:eastAsia="zh-CN" w:bidi="zh-CN"/>
      </w:rPr>
    </w:lvl>
    <w:lvl w:ilvl="7" w:tentative="0">
      <w:start w:val="0"/>
      <w:numFmt w:val="bullet"/>
      <w:lvlText w:val="•"/>
      <w:lvlJc w:val="left"/>
      <w:pPr>
        <w:ind w:left="7014" w:hanging="608"/>
      </w:pPr>
      <w:rPr>
        <w:rFonts w:hint="default"/>
        <w:lang w:val="zh-CN" w:eastAsia="zh-CN" w:bidi="zh-CN"/>
      </w:rPr>
    </w:lvl>
    <w:lvl w:ilvl="8" w:tentative="0">
      <w:start w:val="0"/>
      <w:numFmt w:val="bullet"/>
      <w:lvlText w:val="•"/>
      <w:lvlJc w:val="left"/>
      <w:pPr>
        <w:ind w:left="7985" w:hanging="608"/>
      </w:pPr>
      <w:rPr>
        <w:rFonts w:hint="default"/>
        <w:lang w:val="zh-CN" w:eastAsia="zh-CN" w:bidi="zh-CN"/>
      </w:rPr>
    </w:lvl>
  </w:abstractNum>
  <w:abstractNum w:abstractNumId="26">
    <w:nsid w:val="F4B5D9F5"/>
    <w:multiLevelType w:val="multilevel"/>
    <w:tmpl w:val="F4B5D9F5"/>
    <w:lvl w:ilvl="0" w:tentative="0">
      <w:start w:val="1"/>
      <w:numFmt w:val="decimal"/>
      <w:lvlText w:val="（%1）"/>
      <w:lvlJc w:val="left"/>
      <w:pPr>
        <w:ind w:left="1304"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1" w:hanging="601"/>
      </w:pPr>
      <w:rPr>
        <w:rFonts w:hint="default"/>
        <w:lang w:val="zh-CN" w:eastAsia="zh-CN" w:bidi="zh-CN"/>
      </w:rPr>
    </w:lvl>
  </w:abstractNum>
  <w:abstractNum w:abstractNumId="27">
    <w:nsid w:val="F689643B"/>
    <w:multiLevelType w:val="multilevel"/>
    <w:tmpl w:val="F689643B"/>
    <w:lvl w:ilvl="0" w:tentative="0">
      <w:start w:val="1"/>
      <w:numFmt w:val="decimal"/>
      <w:lvlText w:val="%1）"/>
      <w:lvlJc w:val="left"/>
      <w:pPr>
        <w:ind w:left="223" w:hanging="366"/>
      </w:pPr>
      <w:rPr>
        <w:rFonts w:hint="default" w:ascii="Times New Roman" w:hAnsi="Times New Roman" w:eastAsia="Times New Roman" w:cs="Times New Roman"/>
        <w:spacing w:val="-32"/>
        <w:w w:val="100"/>
        <w:sz w:val="22"/>
        <w:szCs w:val="22"/>
        <w:lang w:val="zh-CN" w:eastAsia="zh-CN" w:bidi="zh-CN"/>
      </w:rPr>
    </w:lvl>
    <w:lvl w:ilvl="1" w:tentative="0">
      <w:start w:val="0"/>
      <w:numFmt w:val="bullet"/>
      <w:lvlText w:val="•"/>
      <w:lvlJc w:val="left"/>
      <w:pPr>
        <w:ind w:left="1190" w:hanging="366"/>
      </w:pPr>
      <w:rPr>
        <w:rFonts w:hint="default"/>
        <w:lang w:val="zh-CN" w:eastAsia="zh-CN" w:bidi="zh-CN"/>
      </w:rPr>
    </w:lvl>
    <w:lvl w:ilvl="2" w:tentative="0">
      <w:start w:val="0"/>
      <w:numFmt w:val="bullet"/>
      <w:lvlText w:val="•"/>
      <w:lvlJc w:val="left"/>
      <w:pPr>
        <w:ind w:left="2161" w:hanging="366"/>
      </w:pPr>
      <w:rPr>
        <w:rFonts w:hint="default"/>
        <w:lang w:val="zh-CN" w:eastAsia="zh-CN" w:bidi="zh-CN"/>
      </w:rPr>
    </w:lvl>
    <w:lvl w:ilvl="3" w:tentative="0">
      <w:start w:val="0"/>
      <w:numFmt w:val="bullet"/>
      <w:lvlText w:val="•"/>
      <w:lvlJc w:val="left"/>
      <w:pPr>
        <w:ind w:left="3131" w:hanging="366"/>
      </w:pPr>
      <w:rPr>
        <w:rFonts w:hint="default"/>
        <w:lang w:val="zh-CN" w:eastAsia="zh-CN" w:bidi="zh-CN"/>
      </w:rPr>
    </w:lvl>
    <w:lvl w:ilvl="4" w:tentative="0">
      <w:start w:val="0"/>
      <w:numFmt w:val="bullet"/>
      <w:lvlText w:val="•"/>
      <w:lvlJc w:val="left"/>
      <w:pPr>
        <w:ind w:left="4102" w:hanging="366"/>
      </w:pPr>
      <w:rPr>
        <w:rFonts w:hint="default"/>
        <w:lang w:val="zh-CN" w:eastAsia="zh-CN" w:bidi="zh-CN"/>
      </w:rPr>
    </w:lvl>
    <w:lvl w:ilvl="5" w:tentative="0">
      <w:start w:val="0"/>
      <w:numFmt w:val="bullet"/>
      <w:lvlText w:val="•"/>
      <w:lvlJc w:val="left"/>
      <w:pPr>
        <w:ind w:left="5073" w:hanging="366"/>
      </w:pPr>
      <w:rPr>
        <w:rFonts w:hint="default"/>
        <w:lang w:val="zh-CN" w:eastAsia="zh-CN" w:bidi="zh-CN"/>
      </w:rPr>
    </w:lvl>
    <w:lvl w:ilvl="6" w:tentative="0">
      <w:start w:val="0"/>
      <w:numFmt w:val="bullet"/>
      <w:lvlText w:val="•"/>
      <w:lvlJc w:val="left"/>
      <w:pPr>
        <w:ind w:left="6043" w:hanging="366"/>
      </w:pPr>
      <w:rPr>
        <w:rFonts w:hint="default"/>
        <w:lang w:val="zh-CN" w:eastAsia="zh-CN" w:bidi="zh-CN"/>
      </w:rPr>
    </w:lvl>
    <w:lvl w:ilvl="7" w:tentative="0">
      <w:start w:val="0"/>
      <w:numFmt w:val="bullet"/>
      <w:lvlText w:val="•"/>
      <w:lvlJc w:val="left"/>
      <w:pPr>
        <w:ind w:left="7014" w:hanging="366"/>
      </w:pPr>
      <w:rPr>
        <w:rFonts w:hint="default"/>
        <w:lang w:val="zh-CN" w:eastAsia="zh-CN" w:bidi="zh-CN"/>
      </w:rPr>
    </w:lvl>
    <w:lvl w:ilvl="8" w:tentative="0">
      <w:start w:val="0"/>
      <w:numFmt w:val="bullet"/>
      <w:lvlText w:val="•"/>
      <w:lvlJc w:val="left"/>
      <w:pPr>
        <w:ind w:left="7985" w:hanging="366"/>
      </w:pPr>
      <w:rPr>
        <w:rFonts w:hint="default"/>
        <w:lang w:val="zh-CN" w:eastAsia="zh-CN" w:bidi="zh-CN"/>
      </w:rPr>
    </w:lvl>
  </w:abstractNum>
  <w:abstractNum w:abstractNumId="28">
    <w:nsid w:val="F7735DC9"/>
    <w:multiLevelType w:val="multilevel"/>
    <w:tmpl w:val="F7735DC9"/>
    <w:lvl w:ilvl="0" w:tentative="0">
      <w:start w:val="1"/>
      <w:numFmt w:val="decimal"/>
      <w:lvlText w:val="（%1）"/>
      <w:lvlJc w:val="left"/>
      <w:pPr>
        <w:ind w:left="1216" w:hanging="622"/>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1092" w:hanging="372"/>
      </w:pPr>
      <w:rPr>
        <w:rFonts w:hint="default" w:ascii="Times New Roman" w:hAnsi="Times New Roman" w:eastAsia="Times New Roman" w:cs="Times New Roman"/>
        <w:spacing w:val="4"/>
        <w:w w:val="100"/>
        <w:sz w:val="22"/>
        <w:szCs w:val="22"/>
        <w:lang w:val="zh-CN" w:eastAsia="zh-CN" w:bidi="zh-CN"/>
      </w:rPr>
    </w:lvl>
    <w:lvl w:ilvl="2" w:tentative="0">
      <w:start w:val="0"/>
      <w:numFmt w:val="bullet"/>
      <w:lvlText w:val="•"/>
      <w:lvlJc w:val="left"/>
      <w:pPr>
        <w:ind w:left="2187" w:hanging="372"/>
      </w:pPr>
      <w:rPr>
        <w:rFonts w:hint="default"/>
        <w:lang w:val="zh-CN" w:eastAsia="zh-CN" w:bidi="zh-CN"/>
      </w:rPr>
    </w:lvl>
    <w:lvl w:ilvl="3" w:tentative="0">
      <w:start w:val="0"/>
      <w:numFmt w:val="bullet"/>
      <w:lvlText w:val="•"/>
      <w:lvlJc w:val="left"/>
      <w:pPr>
        <w:ind w:left="3154" w:hanging="372"/>
      </w:pPr>
      <w:rPr>
        <w:rFonts w:hint="default"/>
        <w:lang w:val="zh-CN" w:eastAsia="zh-CN" w:bidi="zh-CN"/>
      </w:rPr>
    </w:lvl>
    <w:lvl w:ilvl="4" w:tentative="0">
      <w:start w:val="0"/>
      <w:numFmt w:val="bullet"/>
      <w:lvlText w:val="•"/>
      <w:lvlJc w:val="left"/>
      <w:pPr>
        <w:ind w:left="4122" w:hanging="372"/>
      </w:pPr>
      <w:rPr>
        <w:rFonts w:hint="default"/>
        <w:lang w:val="zh-CN" w:eastAsia="zh-CN" w:bidi="zh-CN"/>
      </w:rPr>
    </w:lvl>
    <w:lvl w:ilvl="5" w:tentative="0">
      <w:start w:val="0"/>
      <w:numFmt w:val="bullet"/>
      <w:lvlText w:val="•"/>
      <w:lvlJc w:val="left"/>
      <w:pPr>
        <w:ind w:left="5089" w:hanging="372"/>
      </w:pPr>
      <w:rPr>
        <w:rFonts w:hint="default"/>
        <w:lang w:val="zh-CN" w:eastAsia="zh-CN" w:bidi="zh-CN"/>
      </w:rPr>
    </w:lvl>
    <w:lvl w:ilvl="6" w:tentative="0">
      <w:start w:val="0"/>
      <w:numFmt w:val="bullet"/>
      <w:lvlText w:val="•"/>
      <w:lvlJc w:val="left"/>
      <w:pPr>
        <w:ind w:left="6056" w:hanging="372"/>
      </w:pPr>
      <w:rPr>
        <w:rFonts w:hint="default"/>
        <w:lang w:val="zh-CN" w:eastAsia="zh-CN" w:bidi="zh-CN"/>
      </w:rPr>
    </w:lvl>
    <w:lvl w:ilvl="7" w:tentative="0">
      <w:start w:val="0"/>
      <w:numFmt w:val="bullet"/>
      <w:lvlText w:val="•"/>
      <w:lvlJc w:val="left"/>
      <w:pPr>
        <w:ind w:left="7024" w:hanging="372"/>
      </w:pPr>
      <w:rPr>
        <w:rFonts w:hint="default"/>
        <w:lang w:val="zh-CN" w:eastAsia="zh-CN" w:bidi="zh-CN"/>
      </w:rPr>
    </w:lvl>
    <w:lvl w:ilvl="8" w:tentative="0">
      <w:start w:val="0"/>
      <w:numFmt w:val="bullet"/>
      <w:lvlText w:val="•"/>
      <w:lvlJc w:val="left"/>
      <w:pPr>
        <w:ind w:left="7991" w:hanging="372"/>
      </w:pPr>
      <w:rPr>
        <w:rFonts w:hint="default"/>
        <w:lang w:val="zh-CN" w:eastAsia="zh-CN" w:bidi="zh-CN"/>
      </w:rPr>
    </w:lvl>
  </w:abstractNum>
  <w:abstractNum w:abstractNumId="29">
    <w:nsid w:val="FEC2EA36"/>
    <w:multiLevelType w:val="multilevel"/>
    <w:tmpl w:val="FEC2EA36"/>
    <w:lvl w:ilvl="0" w:tentative="0">
      <w:start w:val="1"/>
      <w:numFmt w:val="decimal"/>
      <w:lvlText w:val="（%1）"/>
      <w:lvlJc w:val="left"/>
      <w:pPr>
        <w:ind w:left="223" w:hanging="601"/>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190" w:hanging="601"/>
      </w:pPr>
      <w:rPr>
        <w:rFonts w:hint="default"/>
        <w:lang w:val="zh-CN" w:eastAsia="zh-CN" w:bidi="zh-CN"/>
      </w:rPr>
    </w:lvl>
    <w:lvl w:ilvl="2" w:tentative="0">
      <w:start w:val="0"/>
      <w:numFmt w:val="bullet"/>
      <w:lvlText w:val="•"/>
      <w:lvlJc w:val="left"/>
      <w:pPr>
        <w:ind w:left="2161" w:hanging="601"/>
      </w:pPr>
      <w:rPr>
        <w:rFonts w:hint="default"/>
        <w:lang w:val="zh-CN" w:eastAsia="zh-CN" w:bidi="zh-CN"/>
      </w:rPr>
    </w:lvl>
    <w:lvl w:ilvl="3" w:tentative="0">
      <w:start w:val="0"/>
      <w:numFmt w:val="bullet"/>
      <w:lvlText w:val="•"/>
      <w:lvlJc w:val="left"/>
      <w:pPr>
        <w:ind w:left="3131" w:hanging="601"/>
      </w:pPr>
      <w:rPr>
        <w:rFonts w:hint="default"/>
        <w:lang w:val="zh-CN" w:eastAsia="zh-CN" w:bidi="zh-CN"/>
      </w:rPr>
    </w:lvl>
    <w:lvl w:ilvl="4" w:tentative="0">
      <w:start w:val="0"/>
      <w:numFmt w:val="bullet"/>
      <w:lvlText w:val="•"/>
      <w:lvlJc w:val="left"/>
      <w:pPr>
        <w:ind w:left="4102"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6043" w:hanging="601"/>
      </w:pPr>
      <w:rPr>
        <w:rFonts w:hint="default"/>
        <w:lang w:val="zh-CN" w:eastAsia="zh-CN" w:bidi="zh-CN"/>
      </w:rPr>
    </w:lvl>
    <w:lvl w:ilvl="7" w:tentative="0">
      <w:start w:val="0"/>
      <w:numFmt w:val="bullet"/>
      <w:lvlText w:val="•"/>
      <w:lvlJc w:val="left"/>
      <w:pPr>
        <w:ind w:left="7014" w:hanging="601"/>
      </w:pPr>
      <w:rPr>
        <w:rFonts w:hint="default"/>
        <w:lang w:val="zh-CN" w:eastAsia="zh-CN" w:bidi="zh-CN"/>
      </w:rPr>
    </w:lvl>
    <w:lvl w:ilvl="8" w:tentative="0">
      <w:start w:val="0"/>
      <w:numFmt w:val="bullet"/>
      <w:lvlText w:val="•"/>
      <w:lvlJc w:val="left"/>
      <w:pPr>
        <w:ind w:left="7985" w:hanging="601"/>
      </w:pPr>
      <w:rPr>
        <w:rFonts w:hint="default"/>
        <w:lang w:val="zh-CN" w:eastAsia="zh-CN" w:bidi="zh-CN"/>
      </w:rPr>
    </w:lvl>
  </w:abstractNum>
  <w:abstractNum w:abstractNumId="30">
    <w:nsid w:val="00000006"/>
    <w:multiLevelType w:val="singleLevel"/>
    <w:tmpl w:val="00000006"/>
    <w:lvl w:ilvl="0" w:tentative="0">
      <w:start w:val="1"/>
      <w:numFmt w:val="decimal"/>
      <w:suff w:val="nothing"/>
      <w:lvlText w:val="%1、"/>
      <w:lvlJc w:val="left"/>
    </w:lvl>
  </w:abstractNum>
  <w:abstractNum w:abstractNumId="31">
    <w:nsid w:val="00000009"/>
    <w:multiLevelType w:val="singleLevel"/>
    <w:tmpl w:val="00000009"/>
    <w:lvl w:ilvl="0" w:tentative="0">
      <w:start w:val="1"/>
      <w:numFmt w:val="decimal"/>
      <w:lvlText w:val="(%1)"/>
      <w:lvlJc w:val="left"/>
      <w:pPr>
        <w:ind w:left="425" w:hanging="425"/>
      </w:pPr>
      <w:rPr>
        <w:rFonts w:hint="default"/>
      </w:rPr>
    </w:lvl>
  </w:abstractNum>
  <w:abstractNum w:abstractNumId="32">
    <w:nsid w:val="0053208E"/>
    <w:multiLevelType w:val="multilevel"/>
    <w:tmpl w:val="0053208E"/>
    <w:lvl w:ilvl="0" w:tentative="0">
      <w:start w:val="1"/>
      <w:numFmt w:val="decimal"/>
      <w:lvlText w:val="（%1）"/>
      <w:lvlJc w:val="left"/>
      <w:pPr>
        <w:ind w:left="1142" w:hanging="601"/>
      </w:pPr>
      <w:rPr>
        <w:rFonts w:hint="default" w:ascii="宋体" w:hAnsi="宋体" w:eastAsia="宋体" w:cs="宋体"/>
        <w:spacing w:val="-3"/>
        <w:w w:val="99"/>
        <w:sz w:val="22"/>
        <w:szCs w:val="22"/>
        <w:lang w:val="zh-CN" w:eastAsia="zh-CN" w:bidi="zh-CN"/>
      </w:rPr>
    </w:lvl>
    <w:lvl w:ilvl="1" w:tentative="0">
      <w:start w:val="0"/>
      <w:numFmt w:val="bullet"/>
      <w:lvlText w:val="•"/>
      <w:lvlJc w:val="left"/>
      <w:pPr>
        <w:ind w:left="2054" w:hanging="601"/>
      </w:pPr>
      <w:rPr>
        <w:rFonts w:hint="default"/>
        <w:lang w:val="zh-CN" w:eastAsia="zh-CN" w:bidi="zh-CN"/>
      </w:rPr>
    </w:lvl>
    <w:lvl w:ilvl="2" w:tentative="0">
      <w:start w:val="0"/>
      <w:numFmt w:val="bullet"/>
      <w:lvlText w:val="•"/>
      <w:lvlJc w:val="left"/>
      <w:pPr>
        <w:ind w:left="2929" w:hanging="601"/>
      </w:pPr>
      <w:rPr>
        <w:rFonts w:hint="default"/>
        <w:lang w:val="zh-CN" w:eastAsia="zh-CN" w:bidi="zh-CN"/>
      </w:rPr>
    </w:lvl>
    <w:lvl w:ilvl="3" w:tentative="0">
      <w:start w:val="0"/>
      <w:numFmt w:val="bullet"/>
      <w:lvlText w:val="•"/>
      <w:lvlJc w:val="left"/>
      <w:pPr>
        <w:ind w:left="380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53" w:hanging="601"/>
      </w:pPr>
      <w:rPr>
        <w:rFonts w:hint="default"/>
        <w:lang w:val="zh-CN" w:eastAsia="zh-CN" w:bidi="zh-CN"/>
      </w:rPr>
    </w:lvl>
    <w:lvl w:ilvl="6" w:tentative="0">
      <w:start w:val="0"/>
      <w:numFmt w:val="bullet"/>
      <w:lvlText w:val="•"/>
      <w:lvlJc w:val="left"/>
      <w:pPr>
        <w:ind w:left="6427" w:hanging="601"/>
      </w:pPr>
      <w:rPr>
        <w:rFonts w:hint="default"/>
        <w:lang w:val="zh-CN" w:eastAsia="zh-CN" w:bidi="zh-CN"/>
      </w:rPr>
    </w:lvl>
    <w:lvl w:ilvl="7" w:tentative="0">
      <w:start w:val="0"/>
      <w:numFmt w:val="bullet"/>
      <w:lvlText w:val="•"/>
      <w:lvlJc w:val="left"/>
      <w:pPr>
        <w:ind w:left="7302" w:hanging="601"/>
      </w:pPr>
      <w:rPr>
        <w:rFonts w:hint="default"/>
        <w:lang w:val="zh-CN" w:eastAsia="zh-CN" w:bidi="zh-CN"/>
      </w:rPr>
    </w:lvl>
    <w:lvl w:ilvl="8" w:tentative="0">
      <w:start w:val="0"/>
      <w:numFmt w:val="bullet"/>
      <w:lvlText w:val="•"/>
      <w:lvlJc w:val="left"/>
      <w:pPr>
        <w:ind w:left="8177" w:hanging="601"/>
      </w:pPr>
      <w:rPr>
        <w:rFonts w:hint="default"/>
        <w:lang w:val="zh-CN" w:eastAsia="zh-CN" w:bidi="zh-CN"/>
      </w:rPr>
    </w:lvl>
  </w:abstractNum>
  <w:abstractNum w:abstractNumId="33">
    <w:nsid w:val="0248C179"/>
    <w:multiLevelType w:val="multilevel"/>
    <w:tmpl w:val="0248C179"/>
    <w:lvl w:ilvl="0" w:tentative="0">
      <w:start w:val="1"/>
      <w:numFmt w:val="decimal"/>
      <w:lvlText w:val="%1."/>
      <w:lvlJc w:val="left"/>
      <w:pPr>
        <w:ind w:left="506" w:hanging="284"/>
      </w:pPr>
      <w:rPr>
        <w:rFonts w:hint="default" w:ascii="宋体" w:hAnsi="宋体" w:eastAsia="宋体" w:cs="宋体"/>
        <w:b/>
        <w:bCs/>
        <w:spacing w:val="1"/>
        <w:w w:val="99"/>
        <w:sz w:val="26"/>
        <w:szCs w:val="26"/>
        <w:lang w:val="zh-CN" w:eastAsia="zh-CN" w:bidi="zh-CN"/>
      </w:rPr>
    </w:lvl>
    <w:lvl w:ilvl="1" w:tentative="0">
      <w:start w:val="1"/>
      <w:numFmt w:val="decimal"/>
      <w:lvlText w:val="%1.%2"/>
      <w:lvlJc w:val="left"/>
      <w:pPr>
        <w:ind w:left="984" w:hanging="420"/>
      </w:pPr>
      <w:rPr>
        <w:rFonts w:hint="default" w:ascii="宋体" w:hAnsi="宋体" w:eastAsia="宋体" w:cs="宋体"/>
        <w:w w:val="100"/>
        <w:sz w:val="24"/>
        <w:szCs w:val="24"/>
        <w:lang w:val="zh-CN" w:eastAsia="zh-CN" w:bidi="zh-CN"/>
      </w:rPr>
    </w:lvl>
    <w:lvl w:ilvl="2" w:tentative="0">
      <w:start w:val="1"/>
      <w:numFmt w:val="decimal"/>
      <w:lvlText w:val="%1.%2.%3"/>
      <w:lvlJc w:val="left"/>
      <w:pPr>
        <w:ind w:left="1304" w:hanging="601"/>
      </w:pPr>
      <w:rPr>
        <w:rFonts w:hint="default" w:ascii="宋体" w:hAnsi="宋体" w:eastAsia="宋体" w:cs="宋体"/>
        <w:w w:val="100"/>
        <w:sz w:val="22"/>
        <w:szCs w:val="22"/>
        <w:lang w:val="zh-CN" w:eastAsia="zh-CN" w:bidi="zh-CN"/>
      </w:rPr>
    </w:lvl>
    <w:lvl w:ilvl="3" w:tentative="0">
      <w:start w:val="1"/>
      <w:numFmt w:val="decimal"/>
      <w:lvlText w:val="（%4）"/>
      <w:lvlJc w:val="left"/>
      <w:pPr>
        <w:ind w:left="1424" w:hanging="601"/>
      </w:pPr>
      <w:rPr>
        <w:rFonts w:hint="default" w:ascii="宋体" w:hAnsi="宋体" w:eastAsia="宋体" w:cs="宋体"/>
        <w:w w:val="100"/>
        <w:sz w:val="22"/>
        <w:szCs w:val="22"/>
        <w:lang w:val="zh-CN" w:eastAsia="zh-CN" w:bidi="zh-CN"/>
      </w:rPr>
    </w:lvl>
    <w:lvl w:ilvl="4" w:tentative="0">
      <w:start w:val="0"/>
      <w:numFmt w:val="bullet"/>
      <w:lvlText w:val="•"/>
      <w:lvlJc w:val="left"/>
      <w:pPr>
        <w:ind w:left="1360" w:hanging="601"/>
      </w:pPr>
      <w:rPr>
        <w:rFonts w:hint="default"/>
        <w:lang w:val="zh-CN" w:eastAsia="zh-CN" w:bidi="zh-CN"/>
      </w:rPr>
    </w:lvl>
    <w:lvl w:ilvl="5" w:tentative="0">
      <w:start w:val="0"/>
      <w:numFmt w:val="bullet"/>
      <w:lvlText w:val="•"/>
      <w:lvlJc w:val="left"/>
      <w:pPr>
        <w:ind w:left="1420" w:hanging="601"/>
      </w:pPr>
      <w:rPr>
        <w:rFonts w:hint="default"/>
        <w:lang w:val="zh-CN" w:eastAsia="zh-CN" w:bidi="zh-CN"/>
      </w:rPr>
    </w:lvl>
    <w:lvl w:ilvl="6" w:tentative="0">
      <w:start w:val="0"/>
      <w:numFmt w:val="bullet"/>
      <w:lvlText w:val="•"/>
      <w:lvlJc w:val="left"/>
      <w:pPr>
        <w:ind w:left="1560" w:hanging="601"/>
      </w:pPr>
      <w:rPr>
        <w:rFonts w:hint="default"/>
        <w:lang w:val="zh-CN" w:eastAsia="zh-CN" w:bidi="zh-CN"/>
      </w:rPr>
    </w:lvl>
    <w:lvl w:ilvl="7" w:tentative="0">
      <w:start w:val="0"/>
      <w:numFmt w:val="bullet"/>
      <w:lvlText w:val="•"/>
      <w:lvlJc w:val="left"/>
      <w:pPr>
        <w:ind w:left="3651" w:hanging="601"/>
      </w:pPr>
      <w:rPr>
        <w:rFonts w:hint="default"/>
        <w:lang w:val="zh-CN" w:eastAsia="zh-CN" w:bidi="zh-CN"/>
      </w:rPr>
    </w:lvl>
    <w:lvl w:ilvl="8" w:tentative="0">
      <w:start w:val="0"/>
      <w:numFmt w:val="bullet"/>
      <w:lvlText w:val="•"/>
      <w:lvlJc w:val="left"/>
      <w:pPr>
        <w:ind w:left="5743" w:hanging="601"/>
      </w:pPr>
      <w:rPr>
        <w:rFonts w:hint="default"/>
        <w:lang w:val="zh-CN" w:eastAsia="zh-CN" w:bidi="zh-CN"/>
      </w:rPr>
    </w:lvl>
  </w:abstractNum>
  <w:abstractNum w:abstractNumId="34">
    <w:nsid w:val="03A63A41"/>
    <w:multiLevelType w:val="multilevel"/>
    <w:tmpl w:val="03A63A41"/>
    <w:lvl w:ilvl="0" w:tentative="0">
      <w:start w:val="1"/>
      <w:numFmt w:val="decimal"/>
      <w:lvlText w:val="（%1）"/>
      <w:lvlJc w:val="left"/>
      <w:pPr>
        <w:ind w:left="1216" w:hanging="622"/>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223" w:hanging="366"/>
      </w:pPr>
      <w:rPr>
        <w:rFonts w:hint="default" w:ascii="Times New Roman" w:hAnsi="Times New Roman" w:eastAsia="Times New Roman" w:cs="Times New Roman"/>
        <w:spacing w:val="-20"/>
        <w:w w:val="100"/>
        <w:sz w:val="22"/>
        <w:szCs w:val="22"/>
        <w:lang w:val="zh-CN" w:eastAsia="zh-CN" w:bidi="zh-CN"/>
      </w:rPr>
    </w:lvl>
    <w:lvl w:ilvl="2" w:tentative="0">
      <w:start w:val="0"/>
      <w:numFmt w:val="bullet"/>
      <w:lvlText w:val="•"/>
      <w:lvlJc w:val="left"/>
      <w:pPr>
        <w:ind w:left="2187" w:hanging="366"/>
      </w:pPr>
      <w:rPr>
        <w:rFonts w:hint="default"/>
        <w:lang w:val="zh-CN" w:eastAsia="zh-CN" w:bidi="zh-CN"/>
      </w:rPr>
    </w:lvl>
    <w:lvl w:ilvl="3" w:tentative="0">
      <w:start w:val="0"/>
      <w:numFmt w:val="bullet"/>
      <w:lvlText w:val="•"/>
      <w:lvlJc w:val="left"/>
      <w:pPr>
        <w:ind w:left="3154" w:hanging="366"/>
      </w:pPr>
      <w:rPr>
        <w:rFonts w:hint="default"/>
        <w:lang w:val="zh-CN" w:eastAsia="zh-CN" w:bidi="zh-CN"/>
      </w:rPr>
    </w:lvl>
    <w:lvl w:ilvl="4" w:tentative="0">
      <w:start w:val="0"/>
      <w:numFmt w:val="bullet"/>
      <w:lvlText w:val="•"/>
      <w:lvlJc w:val="left"/>
      <w:pPr>
        <w:ind w:left="4122" w:hanging="366"/>
      </w:pPr>
      <w:rPr>
        <w:rFonts w:hint="default"/>
        <w:lang w:val="zh-CN" w:eastAsia="zh-CN" w:bidi="zh-CN"/>
      </w:rPr>
    </w:lvl>
    <w:lvl w:ilvl="5" w:tentative="0">
      <w:start w:val="0"/>
      <w:numFmt w:val="bullet"/>
      <w:lvlText w:val="•"/>
      <w:lvlJc w:val="left"/>
      <w:pPr>
        <w:ind w:left="5089" w:hanging="366"/>
      </w:pPr>
      <w:rPr>
        <w:rFonts w:hint="default"/>
        <w:lang w:val="zh-CN" w:eastAsia="zh-CN" w:bidi="zh-CN"/>
      </w:rPr>
    </w:lvl>
    <w:lvl w:ilvl="6" w:tentative="0">
      <w:start w:val="0"/>
      <w:numFmt w:val="bullet"/>
      <w:lvlText w:val="•"/>
      <w:lvlJc w:val="left"/>
      <w:pPr>
        <w:ind w:left="6056" w:hanging="366"/>
      </w:pPr>
      <w:rPr>
        <w:rFonts w:hint="default"/>
        <w:lang w:val="zh-CN" w:eastAsia="zh-CN" w:bidi="zh-CN"/>
      </w:rPr>
    </w:lvl>
    <w:lvl w:ilvl="7" w:tentative="0">
      <w:start w:val="0"/>
      <w:numFmt w:val="bullet"/>
      <w:lvlText w:val="•"/>
      <w:lvlJc w:val="left"/>
      <w:pPr>
        <w:ind w:left="7024" w:hanging="366"/>
      </w:pPr>
      <w:rPr>
        <w:rFonts w:hint="default"/>
        <w:lang w:val="zh-CN" w:eastAsia="zh-CN" w:bidi="zh-CN"/>
      </w:rPr>
    </w:lvl>
    <w:lvl w:ilvl="8" w:tentative="0">
      <w:start w:val="0"/>
      <w:numFmt w:val="bullet"/>
      <w:lvlText w:val="•"/>
      <w:lvlJc w:val="left"/>
      <w:pPr>
        <w:ind w:left="7991" w:hanging="366"/>
      </w:pPr>
      <w:rPr>
        <w:rFonts w:hint="default"/>
        <w:lang w:val="zh-CN" w:eastAsia="zh-CN" w:bidi="zh-CN"/>
      </w:rPr>
    </w:lvl>
  </w:abstractNum>
  <w:abstractNum w:abstractNumId="35">
    <w:nsid w:val="0709FD3E"/>
    <w:multiLevelType w:val="multilevel"/>
    <w:tmpl w:val="0709FD3E"/>
    <w:lvl w:ilvl="0" w:tentative="0">
      <w:start w:val="1"/>
      <w:numFmt w:val="lowerLetter"/>
      <w:lvlText w:val="%1."/>
      <w:lvlJc w:val="left"/>
      <w:pPr>
        <w:ind w:left="223" w:hanging="308"/>
      </w:pPr>
      <w:rPr>
        <w:rFonts w:hint="default" w:ascii="Times New Roman" w:hAnsi="Times New Roman" w:eastAsia="Times New Roman" w:cs="Times New Roman"/>
        <w:spacing w:val="-11"/>
        <w:w w:val="100"/>
        <w:sz w:val="24"/>
        <w:szCs w:val="24"/>
        <w:lang w:val="zh-CN" w:eastAsia="zh-CN" w:bidi="zh-CN"/>
      </w:rPr>
    </w:lvl>
    <w:lvl w:ilvl="1" w:tentative="0">
      <w:start w:val="0"/>
      <w:numFmt w:val="bullet"/>
      <w:lvlText w:val="•"/>
      <w:lvlJc w:val="left"/>
      <w:pPr>
        <w:ind w:left="1190" w:hanging="308"/>
      </w:pPr>
      <w:rPr>
        <w:rFonts w:hint="default"/>
        <w:lang w:val="zh-CN" w:eastAsia="zh-CN" w:bidi="zh-CN"/>
      </w:rPr>
    </w:lvl>
    <w:lvl w:ilvl="2" w:tentative="0">
      <w:start w:val="0"/>
      <w:numFmt w:val="bullet"/>
      <w:lvlText w:val="•"/>
      <w:lvlJc w:val="left"/>
      <w:pPr>
        <w:ind w:left="2161" w:hanging="308"/>
      </w:pPr>
      <w:rPr>
        <w:rFonts w:hint="default"/>
        <w:lang w:val="zh-CN" w:eastAsia="zh-CN" w:bidi="zh-CN"/>
      </w:rPr>
    </w:lvl>
    <w:lvl w:ilvl="3" w:tentative="0">
      <w:start w:val="0"/>
      <w:numFmt w:val="bullet"/>
      <w:lvlText w:val="•"/>
      <w:lvlJc w:val="left"/>
      <w:pPr>
        <w:ind w:left="3131" w:hanging="308"/>
      </w:pPr>
      <w:rPr>
        <w:rFonts w:hint="default"/>
        <w:lang w:val="zh-CN" w:eastAsia="zh-CN" w:bidi="zh-CN"/>
      </w:rPr>
    </w:lvl>
    <w:lvl w:ilvl="4" w:tentative="0">
      <w:start w:val="0"/>
      <w:numFmt w:val="bullet"/>
      <w:lvlText w:val="•"/>
      <w:lvlJc w:val="left"/>
      <w:pPr>
        <w:ind w:left="4102" w:hanging="308"/>
      </w:pPr>
      <w:rPr>
        <w:rFonts w:hint="default"/>
        <w:lang w:val="zh-CN" w:eastAsia="zh-CN" w:bidi="zh-CN"/>
      </w:rPr>
    </w:lvl>
    <w:lvl w:ilvl="5" w:tentative="0">
      <w:start w:val="0"/>
      <w:numFmt w:val="bullet"/>
      <w:lvlText w:val="•"/>
      <w:lvlJc w:val="left"/>
      <w:pPr>
        <w:ind w:left="5073" w:hanging="308"/>
      </w:pPr>
      <w:rPr>
        <w:rFonts w:hint="default"/>
        <w:lang w:val="zh-CN" w:eastAsia="zh-CN" w:bidi="zh-CN"/>
      </w:rPr>
    </w:lvl>
    <w:lvl w:ilvl="6" w:tentative="0">
      <w:start w:val="0"/>
      <w:numFmt w:val="bullet"/>
      <w:lvlText w:val="•"/>
      <w:lvlJc w:val="left"/>
      <w:pPr>
        <w:ind w:left="6043" w:hanging="308"/>
      </w:pPr>
      <w:rPr>
        <w:rFonts w:hint="default"/>
        <w:lang w:val="zh-CN" w:eastAsia="zh-CN" w:bidi="zh-CN"/>
      </w:rPr>
    </w:lvl>
    <w:lvl w:ilvl="7" w:tentative="0">
      <w:start w:val="0"/>
      <w:numFmt w:val="bullet"/>
      <w:lvlText w:val="•"/>
      <w:lvlJc w:val="left"/>
      <w:pPr>
        <w:ind w:left="7014" w:hanging="308"/>
      </w:pPr>
      <w:rPr>
        <w:rFonts w:hint="default"/>
        <w:lang w:val="zh-CN" w:eastAsia="zh-CN" w:bidi="zh-CN"/>
      </w:rPr>
    </w:lvl>
    <w:lvl w:ilvl="8" w:tentative="0">
      <w:start w:val="0"/>
      <w:numFmt w:val="bullet"/>
      <w:lvlText w:val="•"/>
      <w:lvlJc w:val="left"/>
      <w:pPr>
        <w:ind w:left="7985" w:hanging="308"/>
      </w:pPr>
      <w:rPr>
        <w:rFonts w:hint="default"/>
        <w:lang w:val="zh-CN" w:eastAsia="zh-CN" w:bidi="zh-CN"/>
      </w:rPr>
    </w:lvl>
  </w:abstractNum>
  <w:abstractNum w:abstractNumId="36">
    <w:nsid w:val="0CEF100B"/>
    <w:multiLevelType w:val="multilevel"/>
    <w:tmpl w:val="0CEF100B"/>
    <w:lvl w:ilvl="0" w:tentative="0">
      <w:start w:val="1"/>
      <w:numFmt w:val="decimal"/>
      <w:lvlText w:val="（%1）"/>
      <w:lvlJc w:val="left"/>
      <w:pPr>
        <w:ind w:left="223" w:hanging="624"/>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1092" w:hanging="372"/>
      </w:pPr>
      <w:rPr>
        <w:rFonts w:hint="default" w:ascii="Times New Roman" w:hAnsi="Times New Roman" w:eastAsia="Times New Roman" w:cs="Times New Roman"/>
        <w:spacing w:val="4"/>
        <w:w w:val="100"/>
        <w:sz w:val="22"/>
        <w:szCs w:val="22"/>
        <w:lang w:val="zh-CN" w:eastAsia="zh-CN" w:bidi="zh-CN"/>
      </w:rPr>
    </w:lvl>
    <w:lvl w:ilvl="2" w:tentative="0">
      <w:start w:val="0"/>
      <w:numFmt w:val="bullet"/>
      <w:lvlText w:val="•"/>
      <w:lvlJc w:val="left"/>
      <w:pPr>
        <w:ind w:left="2080" w:hanging="372"/>
      </w:pPr>
      <w:rPr>
        <w:rFonts w:hint="default"/>
        <w:lang w:val="zh-CN" w:eastAsia="zh-CN" w:bidi="zh-CN"/>
      </w:rPr>
    </w:lvl>
    <w:lvl w:ilvl="3" w:tentative="0">
      <w:start w:val="0"/>
      <w:numFmt w:val="bullet"/>
      <w:lvlText w:val="•"/>
      <w:lvlJc w:val="left"/>
      <w:pPr>
        <w:ind w:left="3061" w:hanging="372"/>
      </w:pPr>
      <w:rPr>
        <w:rFonts w:hint="default"/>
        <w:lang w:val="zh-CN" w:eastAsia="zh-CN" w:bidi="zh-CN"/>
      </w:rPr>
    </w:lvl>
    <w:lvl w:ilvl="4" w:tentative="0">
      <w:start w:val="0"/>
      <w:numFmt w:val="bullet"/>
      <w:lvlText w:val="•"/>
      <w:lvlJc w:val="left"/>
      <w:pPr>
        <w:ind w:left="4042" w:hanging="372"/>
      </w:pPr>
      <w:rPr>
        <w:rFonts w:hint="default"/>
        <w:lang w:val="zh-CN" w:eastAsia="zh-CN" w:bidi="zh-CN"/>
      </w:rPr>
    </w:lvl>
    <w:lvl w:ilvl="5" w:tentative="0">
      <w:start w:val="0"/>
      <w:numFmt w:val="bullet"/>
      <w:lvlText w:val="•"/>
      <w:lvlJc w:val="left"/>
      <w:pPr>
        <w:ind w:left="5022" w:hanging="372"/>
      </w:pPr>
      <w:rPr>
        <w:rFonts w:hint="default"/>
        <w:lang w:val="zh-CN" w:eastAsia="zh-CN" w:bidi="zh-CN"/>
      </w:rPr>
    </w:lvl>
    <w:lvl w:ilvl="6" w:tentative="0">
      <w:start w:val="0"/>
      <w:numFmt w:val="bullet"/>
      <w:lvlText w:val="•"/>
      <w:lvlJc w:val="left"/>
      <w:pPr>
        <w:ind w:left="6003" w:hanging="372"/>
      </w:pPr>
      <w:rPr>
        <w:rFonts w:hint="default"/>
        <w:lang w:val="zh-CN" w:eastAsia="zh-CN" w:bidi="zh-CN"/>
      </w:rPr>
    </w:lvl>
    <w:lvl w:ilvl="7" w:tentative="0">
      <w:start w:val="0"/>
      <w:numFmt w:val="bullet"/>
      <w:lvlText w:val="•"/>
      <w:lvlJc w:val="left"/>
      <w:pPr>
        <w:ind w:left="6984" w:hanging="372"/>
      </w:pPr>
      <w:rPr>
        <w:rFonts w:hint="default"/>
        <w:lang w:val="zh-CN" w:eastAsia="zh-CN" w:bidi="zh-CN"/>
      </w:rPr>
    </w:lvl>
    <w:lvl w:ilvl="8" w:tentative="0">
      <w:start w:val="0"/>
      <w:numFmt w:val="bullet"/>
      <w:lvlText w:val="•"/>
      <w:lvlJc w:val="left"/>
      <w:pPr>
        <w:ind w:left="7964" w:hanging="372"/>
      </w:pPr>
      <w:rPr>
        <w:rFonts w:hint="default"/>
        <w:lang w:val="zh-CN" w:eastAsia="zh-CN" w:bidi="zh-CN"/>
      </w:rPr>
    </w:lvl>
  </w:abstractNum>
  <w:abstractNum w:abstractNumId="37">
    <w:nsid w:val="12EADF99"/>
    <w:multiLevelType w:val="multilevel"/>
    <w:tmpl w:val="12EADF99"/>
    <w:lvl w:ilvl="0" w:tentative="0">
      <w:start w:val="1"/>
      <w:numFmt w:val="decimal"/>
      <w:lvlText w:val="%1）"/>
      <w:lvlJc w:val="left"/>
      <w:pPr>
        <w:ind w:left="223" w:hanging="366"/>
      </w:pPr>
      <w:rPr>
        <w:rFonts w:hint="default"/>
        <w:spacing w:val="-32"/>
        <w:w w:val="100"/>
        <w:lang w:val="zh-CN" w:eastAsia="zh-CN" w:bidi="zh-CN"/>
      </w:rPr>
    </w:lvl>
    <w:lvl w:ilvl="1" w:tentative="0">
      <w:start w:val="0"/>
      <w:numFmt w:val="bullet"/>
      <w:lvlText w:val="•"/>
      <w:lvlJc w:val="left"/>
      <w:pPr>
        <w:ind w:left="1190" w:hanging="366"/>
      </w:pPr>
      <w:rPr>
        <w:rFonts w:hint="default"/>
        <w:lang w:val="zh-CN" w:eastAsia="zh-CN" w:bidi="zh-CN"/>
      </w:rPr>
    </w:lvl>
    <w:lvl w:ilvl="2" w:tentative="0">
      <w:start w:val="0"/>
      <w:numFmt w:val="bullet"/>
      <w:lvlText w:val="•"/>
      <w:lvlJc w:val="left"/>
      <w:pPr>
        <w:ind w:left="2161" w:hanging="366"/>
      </w:pPr>
      <w:rPr>
        <w:rFonts w:hint="default"/>
        <w:lang w:val="zh-CN" w:eastAsia="zh-CN" w:bidi="zh-CN"/>
      </w:rPr>
    </w:lvl>
    <w:lvl w:ilvl="3" w:tentative="0">
      <w:start w:val="0"/>
      <w:numFmt w:val="bullet"/>
      <w:lvlText w:val="•"/>
      <w:lvlJc w:val="left"/>
      <w:pPr>
        <w:ind w:left="3131" w:hanging="366"/>
      </w:pPr>
      <w:rPr>
        <w:rFonts w:hint="default"/>
        <w:lang w:val="zh-CN" w:eastAsia="zh-CN" w:bidi="zh-CN"/>
      </w:rPr>
    </w:lvl>
    <w:lvl w:ilvl="4" w:tentative="0">
      <w:start w:val="0"/>
      <w:numFmt w:val="bullet"/>
      <w:lvlText w:val="•"/>
      <w:lvlJc w:val="left"/>
      <w:pPr>
        <w:ind w:left="4102" w:hanging="366"/>
      </w:pPr>
      <w:rPr>
        <w:rFonts w:hint="default"/>
        <w:lang w:val="zh-CN" w:eastAsia="zh-CN" w:bidi="zh-CN"/>
      </w:rPr>
    </w:lvl>
    <w:lvl w:ilvl="5" w:tentative="0">
      <w:start w:val="0"/>
      <w:numFmt w:val="bullet"/>
      <w:lvlText w:val="•"/>
      <w:lvlJc w:val="left"/>
      <w:pPr>
        <w:ind w:left="5073" w:hanging="366"/>
      </w:pPr>
      <w:rPr>
        <w:rFonts w:hint="default"/>
        <w:lang w:val="zh-CN" w:eastAsia="zh-CN" w:bidi="zh-CN"/>
      </w:rPr>
    </w:lvl>
    <w:lvl w:ilvl="6" w:tentative="0">
      <w:start w:val="0"/>
      <w:numFmt w:val="bullet"/>
      <w:lvlText w:val="•"/>
      <w:lvlJc w:val="left"/>
      <w:pPr>
        <w:ind w:left="6043" w:hanging="366"/>
      </w:pPr>
      <w:rPr>
        <w:rFonts w:hint="default"/>
        <w:lang w:val="zh-CN" w:eastAsia="zh-CN" w:bidi="zh-CN"/>
      </w:rPr>
    </w:lvl>
    <w:lvl w:ilvl="7" w:tentative="0">
      <w:start w:val="0"/>
      <w:numFmt w:val="bullet"/>
      <w:lvlText w:val="•"/>
      <w:lvlJc w:val="left"/>
      <w:pPr>
        <w:ind w:left="7014" w:hanging="366"/>
      </w:pPr>
      <w:rPr>
        <w:rFonts w:hint="default"/>
        <w:lang w:val="zh-CN" w:eastAsia="zh-CN" w:bidi="zh-CN"/>
      </w:rPr>
    </w:lvl>
    <w:lvl w:ilvl="8" w:tentative="0">
      <w:start w:val="0"/>
      <w:numFmt w:val="bullet"/>
      <w:lvlText w:val="•"/>
      <w:lvlJc w:val="left"/>
      <w:pPr>
        <w:ind w:left="7985" w:hanging="366"/>
      </w:pPr>
      <w:rPr>
        <w:rFonts w:hint="default"/>
        <w:lang w:val="zh-CN" w:eastAsia="zh-CN" w:bidi="zh-CN"/>
      </w:rPr>
    </w:lvl>
  </w:abstractNum>
  <w:abstractNum w:abstractNumId="38">
    <w:nsid w:val="18F74015"/>
    <w:multiLevelType w:val="multilevel"/>
    <w:tmpl w:val="18F74015"/>
    <w:lvl w:ilvl="0" w:tentative="0">
      <w:start w:val="3"/>
      <w:numFmt w:val="decimal"/>
      <w:lvlText w:val="（%1）"/>
      <w:lvlJc w:val="left"/>
      <w:pPr>
        <w:ind w:left="1184"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054" w:hanging="601"/>
      </w:pPr>
      <w:rPr>
        <w:rFonts w:hint="default"/>
        <w:lang w:val="zh-CN" w:eastAsia="zh-CN" w:bidi="zh-CN"/>
      </w:rPr>
    </w:lvl>
    <w:lvl w:ilvl="2" w:tentative="0">
      <w:start w:val="0"/>
      <w:numFmt w:val="bullet"/>
      <w:lvlText w:val="•"/>
      <w:lvlJc w:val="left"/>
      <w:pPr>
        <w:ind w:left="2929" w:hanging="601"/>
      </w:pPr>
      <w:rPr>
        <w:rFonts w:hint="default"/>
        <w:lang w:val="zh-CN" w:eastAsia="zh-CN" w:bidi="zh-CN"/>
      </w:rPr>
    </w:lvl>
    <w:lvl w:ilvl="3" w:tentative="0">
      <w:start w:val="0"/>
      <w:numFmt w:val="bullet"/>
      <w:lvlText w:val="•"/>
      <w:lvlJc w:val="left"/>
      <w:pPr>
        <w:ind w:left="380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53" w:hanging="601"/>
      </w:pPr>
      <w:rPr>
        <w:rFonts w:hint="default"/>
        <w:lang w:val="zh-CN" w:eastAsia="zh-CN" w:bidi="zh-CN"/>
      </w:rPr>
    </w:lvl>
    <w:lvl w:ilvl="6" w:tentative="0">
      <w:start w:val="0"/>
      <w:numFmt w:val="bullet"/>
      <w:lvlText w:val="•"/>
      <w:lvlJc w:val="left"/>
      <w:pPr>
        <w:ind w:left="6427" w:hanging="601"/>
      </w:pPr>
      <w:rPr>
        <w:rFonts w:hint="default"/>
        <w:lang w:val="zh-CN" w:eastAsia="zh-CN" w:bidi="zh-CN"/>
      </w:rPr>
    </w:lvl>
    <w:lvl w:ilvl="7" w:tentative="0">
      <w:start w:val="0"/>
      <w:numFmt w:val="bullet"/>
      <w:lvlText w:val="•"/>
      <w:lvlJc w:val="left"/>
      <w:pPr>
        <w:ind w:left="7302" w:hanging="601"/>
      </w:pPr>
      <w:rPr>
        <w:rFonts w:hint="default"/>
        <w:lang w:val="zh-CN" w:eastAsia="zh-CN" w:bidi="zh-CN"/>
      </w:rPr>
    </w:lvl>
    <w:lvl w:ilvl="8" w:tentative="0">
      <w:start w:val="0"/>
      <w:numFmt w:val="bullet"/>
      <w:lvlText w:val="•"/>
      <w:lvlJc w:val="left"/>
      <w:pPr>
        <w:ind w:left="8177" w:hanging="601"/>
      </w:pPr>
      <w:rPr>
        <w:rFonts w:hint="default"/>
        <w:lang w:val="zh-CN" w:eastAsia="zh-CN" w:bidi="zh-CN"/>
      </w:rPr>
    </w:lvl>
  </w:abstractNum>
  <w:abstractNum w:abstractNumId="39">
    <w:nsid w:val="1C257C7B"/>
    <w:multiLevelType w:val="multilevel"/>
    <w:tmpl w:val="1C257C7B"/>
    <w:lvl w:ilvl="0" w:tentative="0">
      <w:start w:val="1"/>
      <w:numFmt w:val="decimal"/>
      <w:lvlText w:val="（%1）"/>
      <w:lvlJc w:val="left"/>
      <w:pPr>
        <w:ind w:left="223" w:hanging="616"/>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190" w:hanging="616"/>
      </w:pPr>
      <w:rPr>
        <w:rFonts w:hint="default"/>
        <w:lang w:val="zh-CN" w:eastAsia="zh-CN" w:bidi="zh-CN"/>
      </w:rPr>
    </w:lvl>
    <w:lvl w:ilvl="2" w:tentative="0">
      <w:start w:val="0"/>
      <w:numFmt w:val="bullet"/>
      <w:lvlText w:val="•"/>
      <w:lvlJc w:val="left"/>
      <w:pPr>
        <w:ind w:left="2161" w:hanging="616"/>
      </w:pPr>
      <w:rPr>
        <w:rFonts w:hint="default"/>
        <w:lang w:val="zh-CN" w:eastAsia="zh-CN" w:bidi="zh-CN"/>
      </w:rPr>
    </w:lvl>
    <w:lvl w:ilvl="3" w:tentative="0">
      <w:start w:val="0"/>
      <w:numFmt w:val="bullet"/>
      <w:lvlText w:val="•"/>
      <w:lvlJc w:val="left"/>
      <w:pPr>
        <w:ind w:left="3131" w:hanging="616"/>
      </w:pPr>
      <w:rPr>
        <w:rFonts w:hint="default"/>
        <w:lang w:val="zh-CN" w:eastAsia="zh-CN" w:bidi="zh-CN"/>
      </w:rPr>
    </w:lvl>
    <w:lvl w:ilvl="4" w:tentative="0">
      <w:start w:val="0"/>
      <w:numFmt w:val="bullet"/>
      <w:lvlText w:val="•"/>
      <w:lvlJc w:val="left"/>
      <w:pPr>
        <w:ind w:left="4102" w:hanging="616"/>
      </w:pPr>
      <w:rPr>
        <w:rFonts w:hint="default"/>
        <w:lang w:val="zh-CN" w:eastAsia="zh-CN" w:bidi="zh-CN"/>
      </w:rPr>
    </w:lvl>
    <w:lvl w:ilvl="5" w:tentative="0">
      <w:start w:val="0"/>
      <w:numFmt w:val="bullet"/>
      <w:lvlText w:val="•"/>
      <w:lvlJc w:val="left"/>
      <w:pPr>
        <w:ind w:left="5073" w:hanging="616"/>
      </w:pPr>
      <w:rPr>
        <w:rFonts w:hint="default"/>
        <w:lang w:val="zh-CN" w:eastAsia="zh-CN" w:bidi="zh-CN"/>
      </w:rPr>
    </w:lvl>
    <w:lvl w:ilvl="6" w:tentative="0">
      <w:start w:val="0"/>
      <w:numFmt w:val="bullet"/>
      <w:lvlText w:val="•"/>
      <w:lvlJc w:val="left"/>
      <w:pPr>
        <w:ind w:left="6043" w:hanging="616"/>
      </w:pPr>
      <w:rPr>
        <w:rFonts w:hint="default"/>
        <w:lang w:val="zh-CN" w:eastAsia="zh-CN" w:bidi="zh-CN"/>
      </w:rPr>
    </w:lvl>
    <w:lvl w:ilvl="7" w:tentative="0">
      <w:start w:val="0"/>
      <w:numFmt w:val="bullet"/>
      <w:lvlText w:val="•"/>
      <w:lvlJc w:val="left"/>
      <w:pPr>
        <w:ind w:left="7014" w:hanging="616"/>
      </w:pPr>
      <w:rPr>
        <w:rFonts w:hint="default"/>
        <w:lang w:val="zh-CN" w:eastAsia="zh-CN" w:bidi="zh-CN"/>
      </w:rPr>
    </w:lvl>
    <w:lvl w:ilvl="8" w:tentative="0">
      <w:start w:val="0"/>
      <w:numFmt w:val="bullet"/>
      <w:lvlText w:val="•"/>
      <w:lvlJc w:val="left"/>
      <w:pPr>
        <w:ind w:left="7985" w:hanging="616"/>
      </w:pPr>
      <w:rPr>
        <w:rFonts w:hint="default"/>
        <w:lang w:val="zh-CN" w:eastAsia="zh-CN" w:bidi="zh-CN"/>
      </w:rPr>
    </w:lvl>
  </w:abstractNum>
  <w:abstractNum w:abstractNumId="40">
    <w:nsid w:val="23E97754"/>
    <w:multiLevelType w:val="multilevel"/>
    <w:tmpl w:val="23E97754"/>
    <w:lvl w:ilvl="0" w:tentative="0">
      <w:start w:val="1"/>
      <w:numFmt w:val="decimal"/>
      <w:lvlText w:val="（%1）"/>
      <w:lvlJc w:val="left"/>
      <w:pPr>
        <w:ind w:left="1216" w:hanging="622"/>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1092" w:hanging="372"/>
      </w:pPr>
      <w:rPr>
        <w:rFonts w:hint="default" w:ascii="Times New Roman" w:hAnsi="Times New Roman" w:eastAsia="Times New Roman" w:cs="Times New Roman"/>
        <w:spacing w:val="4"/>
        <w:w w:val="100"/>
        <w:sz w:val="22"/>
        <w:szCs w:val="22"/>
        <w:lang w:val="zh-CN" w:eastAsia="zh-CN" w:bidi="zh-CN"/>
      </w:rPr>
    </w:lvl>
    <w:lvl w:ilvl="2" w:tentative="0">
      <w:start w:val="0"/>
      <w:numFmt w:val="bullet"/>
      <w:lvlText w:val="•"/>
      <w:lvlJc w:val="left"/>
      <w:pPr>
        <w:ind w:left="2187" w:hanging="372"/>
      </w:pPr>
      <w:rPr>
        <w:rFonts w:hint="default"/>
        <w:lang w:val="zh-CN" w:eastAsia="zh-CN" w:bidi="zh-CN"/>
      </w:rPr>
    </w:lvl>
    <w:lvl w:ilvl="3" w:tentative="0">
      <w:start w:val="0"/>
      <w:numFmt w:val="bullet"/>
      <w:lvlText w:val="•"/>
      <w:lvlJc w:val="left"/>
      <w:pPr>
        <w:ind w:left="3154" w:hanging="372"/>
      </w:pPr>
      <w:rPr>
        <w:rFonts w:hint="default"/>
        <w:lang w:val="zh-CN" w:eastAsia="zh-CN" w:bidi="zh-CN"/>
      </w:rPr>
    </w:lvl>
    <w:lvl w:ilvl="4" w:tentative="0">
      <w:start w:val="0"/>
      <w:numFmt w:val="bullet"/>
      <w:lvlText w:val="•"/>
      <w:lvlJc w:val="left"/>
      <w:pPr>
        <w:ind w:left="4122" w:hanging="372"/>
      </w:pPr>
      <w:rPr>
        <w:rFonts w:hint="default"/>
        <w:lang w:val="zh-CN" w:eastAsia="zh-CN" w:bidi="zh-CN"/>
      </w:rPr>
    </w:lvl>
    <w:lvl w:ilvl="5" w:tentative="0">
      <w:start w:val="0"/>
      <w:numFmt w:val="bullet"/>
      <w:lvlText w:val="•"/>
      <w:lvlJc w:val="left"/>
      <w:pPr>
        <w:ind w:left="5089" w:hanging="372"/>
      </w:pPr>
      <w:rPr>
        <w:rFonts w:hint="default"/>
        <w:lang w:val="zh-CN" w:eastAsia="zh-CN" w:bidi="zh-CN"/>
      </w:rPr>
    </w:lvl>
    <w:lvl w:ilvl="6" w:tentative="0">
      <w:start w:val="0"/>
      <w:numFmt w:val="bullet"/>
      <w:lvlText w:val="•"/>
      <w:lvlJc w:val="left"/>
      <w:pPr>
        <w:ind w:left="6056" w:hanging="372"/>
      </w:pPr>
      <w:rPr>
        <w:rFonts w:hint="default"/>
        <w:lang w:val="zh-CN" w:eastAsia="zh-CN" w:bidi="zh-CN"/>
      </w:rPr>
    </w:lvl>
    <w:lvl w:ilvl="7" w:tentative="0">
      <w:start w:val="0"/>
      <w:numFmt w:val="bullet"/>
      <w:lvlText w:val="•"/>
      <w:lvlJc w:val="left"/>
      <w:pPr>
        <w:ind w:left="7024" w:hanging="372"/>
      </w:pPr>
      <w:rPr>
        <w:rFonts w:hint="default"/>
        <w:lang w:val="zh-CN" w:eastAsia="zh-CN" w:bidi="zh-CN"/>
      </w:rPr>
    </w:lvl>
    <w:lvl w:ilvl="8" w:tentative="0">
      <w:start w:val="0"/>
      <w:numFmt w:val="bullet"/>
      <w:lvlText w:val="•"/>
      <w:lvlJc w:val="left"/>
      <w:pPr>
        <w:ind w:left="7991" w:hanging="372"/>
      </w:pPr>
      <w:rPr>
        <w:rFonts w:hint="default"/>
        <w:lang w:val="zh-CN" w:eastAsia="zh-CN" w:bidi="zh-CN"/>
      </w:rPr>
    </w:lvl>
  </w:abstractNum>
  <w:abstractNum w:abstractNumId="41">
    <w:nsid w:val="243FCF68"/>
    <w:multiLevelType w:val="multilevel"/>
    <w:tmpl w:val="243FCF68"/>
    <w:lvl w:ilvl="0" w:tentative="0">
      <w:start w:val="1"/>
      <w:numFmt w:val="decimal"/>
      <w:lvlText w:val="%1）"/>
      <w:lvlJc w:val="left"/>
      <w:pPr>
        <w:ind w:left="223" w:hanging="366"/>
      </w:pPr>
      <w:rPr>
        <w:rFonts w:hint="default" w:ascii="Times New Roman" w:hAnsi="Times New Roman" w:eastAsia="Times New Roman" w:cs="Times New Roman"/>
        <w:spacing w:val="-32"/>
        <w:w w:val="100"/>
        <w:sz w:val="22"/>
        <w:szCs w:val="22"/>
        <w:lang w:val="zh-CN" w:eastAsia="zh-CN" w:bidi="zh-CN"/>
      </w:rPr>
    </w:lvl>
    <w:lvl w:ilvl="1" w:tentative="0">
      <w:start w:val="0"/>
      <w:numFmt w:val="bullet"/>
      <w:lvlText w:val="•"/>
      <w:lvlJc w:val="left"/>
      <w:pPr>
        <w:ind w:left="1190" w:hanging="366"/>
      </w:pPr>
      <w:rPr>
        <w:rFonts w:hint="default"/>
        <w:lang w:val="zh-CN" w:eastAsia="zh-CN" w:bidi="zh-CN"/>
      </w:rPr>
    </w:lvl>
    <w:lvl w:ilvl="2" w:tentative="0">
      <w:start w:val="0"/>
      <w:numFmt w:val="bullet"/>
      <w:lvlText w:val="•"/>
      <w:lvlJc w:val="left"/>
      <w:pPr>
        <w:ind w:left="2161" w:hanging="366"/>
      </w:pPr>
      <w:rPr>
        <w:rFonts w:hint="default"/>
        <w:lang w:val="zh-CN" w:eastAsia="zh-CN" w:bidi="zh-CN"/>
      </w:rPr>
    </w:lvl>
    <w:lvl w:ilvl="3" w:tentative="0">
      <w:start w:val="0"/>
      <w:numFmt w:val="bullet"/>
      <w:lvlText w:val="•"/>
      <w:lvlJc w:val="left"/>
      <w:pPr>
        <w:ind w:left="3131" w:hanging="366"/>
      </w:pPr>
      <w:rPr>
        <w:rFonts w:hint="default"/>
        <w:lang w:val="zh-CN" w:eastAsia="zh-CN" w:bidi="zh-CN"/>
      </w:rPr>
    </w:lvl>
    <w:lvl w:ilvl="4" w:tentative="0">
      <w:start w:val="0"/>
      <w:numFmt w:val="bullet"/>
      <w:lvlText w:val="•"/>
      <w:lvlJc w:val="left"/>
      <w:pPr>
        <w:ind w:left="4102" w:hanging="366"/>
      </w:pPr>
      <w:rPr>
        <w:rFonts w:hint="default"/>
        <w:lang w:val="zh-CN" w:eastAsia="zh-CN" w:bidi="zh-CN"/>
      </w:rPr>
    </w:lvl>
    <w:lvl w:ilvl="5" w:tentative="0">
      <w:start w:val="0"/>
      <w:numFmt w:val="bullet"/>
      <w:lvlText w:val="•"/>
      <w:lvlJc w:val="left"/>
      <w:pPr>
        <w:ind w:left="5073" w:hanging="366"/>
      </w:pPr>
      <w:rPr>
        <w:rFonts w:hint="default"/>
        <w:lang w:val="zh-CN" w:eastAsia="zh-CN" w:bidi="zh-CN"/>
      </w:rPr>
    </w:lvl>
    <w:lvl w:ilvl="6" w:tentative="0">
      <w:start w:val="0"/>
      <w:numFmt w:val="bullet"/>
      <w:lvlText w:val="•"/>
      <w:lvlJc w:val="left"/>
      <w:pPr>
        <w:ind w:left="6043" w:hanging="366"/>
      </w:pPr>
      <w:rPr>
        <w:rFonts w:hint="default"/>
        <w:lang w:val="zh-CN" w:eastAsia="zh-CN" w:bidi="zh-CN"/>
      </w:rPr>
    </w:lvl>
    <w:lvl w:ilvl="7" w:tentative="0">
      <w:start w:val="0"/>
      <w:numFmt w:val="bullet"/>
      <w:lvlText w:val="•"/>
      <w:lvlJc w:val="left"/>
      <w:pPr>
        <w:ind w:left="7014" w:hanging="366"/>
      </w:pPr>
      <w:rPr>
        <w:rFonts w:hint="default"/>
        <w:lang w:val="zh-CN" w:eastAsia="zh-CN" w:bidi="zh-CN"/>
      </w:rPr>
    </w:lvl>
    <w:lvl w:ilvl="8" w:tentative="0">
      <w:start w:val="0"/>
      <w:numFmt w:val="bullet"/>
      <w:lvlText w:val="•"/>
      <w:lvlJc w:val="left"/>
      <w:pPr>
        <w:ind w:left="7985" w:hanging="366"/>
      </w:pPr>
      <w:rPr>
        <w:rFonts w:hint="default"/>
        <w:lang w:val="zh-CN" w:eastAsia="zh-CN" w:bidi="zh-CN"/>
      </w:rPr>
    </w:lvl>
  </w:abstractNum>
  <w:abstractNum w:abstractNumId="42">
    <w:nsid w:val="2470EC97"/>
    <w:multiLevelType w:val="multilevel"/>
    <w:tmpl w:val="2470EC97"/>
    <w:lvl w:ilvl="0" w:tentative="0">
      <w:start w:val="1"/>
      <w:numFmt w:val="decimal"/>
      <w:lvlText w:val="%1."/>
      <w:lvlJc w:val="left"/>
      <w:pPr>
        <w:ind w:left="1208" w:hanging="424"/>
      </w:pPr>
      <w:rPr>
        <w:rFonts w:hint="default" w:ascii="宋体" w:hAnsi="宋体" w:eastAsia="宋体" w:cs="宋体"/>
        <w:b/>
        <w:bCs/>
        <w:spacing w:val="0"/>
        <w:w w:val="99"/>
        <w:sz w:val="26"/>
        <w:szCs w:val="26"/>
        <w:lang w:val="zh-CN" w:eastAsia="zh-CN" w:bidi="zh-CN"/>
      </w:rPr>
    </w:lvl>
    <w:lvl w:ilvl="1" w:tentative="0">
      <w:start w:val="1"/>
      <w:numFmt w:val="decimal"/>
      <w:lvlText w:val="%1.%2"/>
      <w:lvlJc w:val="left"/>
      <w:pPr>
        <w:ind w:left="1130" w:hanging="425"/>
      </w:pPr>
      <w:rPr>
        <w:rFonts w:hint="default" w:ascii="宋体" w:hAnsi="宋体" w:eastAsia="宋体" w:cs="宋体"/>
        <w:b/>
        <w:bCs/>
        <w:spacing w:val="0"/>
        <w:w w:val="99"/>
        <w:sz w:val="24"/>
        <w:szCs w:val="24"/>
        <w:lang w:val="zh-CN" w:eastAsia="zh-CN" w:bidi="zh-CN"/>
      </w:rPr>
    </w:lvl>
    <w:lvl w:ilvl="2" w:tentative="0">
      <w:start w:val="1"/>
      <w:numFmt w:val="decimal"/>
      <w:lvlText w:val="%1.%2.%3"/>
      <w:lvlJc w:val="left"/>
      <w:pPr>
        <w:ind w:left="1363" w:hanging="660"/>
      </w:pPr>
      <w:rPr>
        <w:rFonts w:hint="default"/>
        <w:w w:val="100"/>
        <w:lang w:val="zh-CN" w:eastAsia="zh-CN" w:bidi="zh-CN"/>
      </w:rPr>
    </w:lvl>
    <w:lvl w:ilvl="3" w:tentative="0">
      <w:start w:val="1"/>
      <w:numFmt w:val="decimal"/>
      <w:lvlText w:val="%1.%2.%3.%4"/>
      <w:lvlJc w:val="left"/>
      <w:pPr>
        <w:ind w:left="1603" w:hanging="900"/>
      </w:pPr>
      <w:rPr>
        <w:rFonts w:hint="default" w:ascii="宋体" w:hAnsi="宋体" w:eastAsia="宋体" w:cs="宋体"/>
        <w:w w:val="100"/>
        <w:sz w:val="24"/>
        <w:szCs w:val="24"/>
        <w:lang w:val="zh-CN" w:eastAsia="zh-CN" w:bidi="zh-CN"/>
      </w:rPr>
    </w:lvl>
    <w:lvl w:ilvl="4" w:tentative="0">
      <w:start w:val="1"/>
      <w:numFmt w:val="decimal"/>
      <w:lvlText w:val="%1.%2.%3.%4.%5"/>
      <w:lvlJc w:val="left"/>
      <w:pPr>
        <w:ind w:left="1843" w:hanging="1140"/>
      </w:pPr>
      <w:rPr>
        <w:rFonts w:hint="default" w:ascii="宋体" w:hAnsi="宋体" w:eastAsia="宋体" w:cs="宋体"/>
        <w:w w:val="100"/>
        <w:sz w:val="24"/>
        <w:szCs w:val="24"/>
        <w:lang w:val="zh-CN" w:eastAsia="zh-CN" w:bidi="zh-CN"/>
      </w:rPr>
    </w:lvl>
    <w:lvl w:ilvl="5" w:tentative="0">
      <w:start w:val="0"/>
      <w:numFmt w:val="bullet"/>
      <w:lvlText w:val="•"/>
      <w:lvlJc w:val="left"/>
      <w:pPr>
        <w:ind w:left="1840" w:hanging="1140"/>
      </w:pPr>
      <w:rPr>
        <w:rFonts w:hint="default"/>
        <w:lang w:val="zh-CN" w:eastAsia="zh-CN" w:bidi="zh-CN"/>
      </w:rPr>
    </w:lvl>
    <w:lvl w:ilvl="6" w:tentative="0">
      <w:start w:val="0"/>
      <w:numFmt w:val="bullet"/>
      <w:lvlText w:val="•"/>
      <w:lvlJc w:val="left"/>
      <w:pPr>
        <w:ind w:left="3457" w:hanging="1140"/>
      </w:pPr>
      <w:rPr>
        <w:rFonts w:hint="default"/>
        <w:lang w:val="zh-CN" w:eastAsia="zh-CN" w:bidi="zh-CN"/>
      </w:rPr>
    </w:lvl>
    <w:lvl w:ilvl="7" w:tentative="0">
      <w:start w:val="0"/>
      <w:numFmt w:val="bullet"/>
      <w:lvlText w:val="•"/>
      <w:lvlJc w:val="left"/>
      <w:pPr>
        <w:ind w:left="5074" w:hanging="1140"/>
      </w:pPr>
      <w:rPr>
        <w:rFonts w:hint="default"/>
        <w:lang w:val="zh-CN" w:eastAsia="zh-CN" w:bidi="zh-CN"/>
      </w:rPr>
    </w:lvl>
    <w:lvl w:ilvl="8" w:tentative="0">
      <w:start w:val="0"/>
      <w:numFmt w:val="bullet"/>
      <w:lvlText w:val="•"/>
      <w:lvlJc w:val="left"/>
      <w:pPr>
        <w:ind w:left="6691" w:hanging="1140"/>
      </w:pPr>
      <w:rPr>
        <w:rFonts w:hint="default"/>
        <w:lang w:val="zh-CN" w:eastAsia="zh-CN" w:bidi="zh-CN"/>
      </w:rPr>
    </w:lvl>
  </w:abstractNum>
  <w:abstractNum w:abstractNumId="43">
    <w:nsid w:val="2A8F537B"/>
    <w:multiLevelType w:val="multilevel"/>
    <w:tmpl w:val="2A8F537B"/>
    <w:lvl w:ilvl="0" w:tentative="0">
      <w:start w:val="1"/>
      <w:numFmt w:val="decimal"/>
      <w:lvlText w:val="（%1）"/>
      <w:lvlJc w:val="left"/>
      <w:pPr>
        <w:ind w:left="1216" w:hanging="622"/>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090" w:hanging="622"/>
      </w:pPr>
      <w:rPr>
        <w:rFonts w:hint="default"/>
        <w:lang w:val="zh-CN" w:eastAsia="zh-CN" w:bidi="zh-CN"/>
      </w:rPr>
    </w:lvl>
    <w:lvl w:ilvl="2" w:tentative="0">
      <w:start w:val="0"/>
      <w:numFmt w:val="bullet"/>
      <w:lvlText w:val="•"/>
      <w:lvlJc w:val="left"/>
      <w:pPr>
        <w:ind w:left="2961" w:hanging="622"/>
      </w:pPr>
      <w:rPr>
        <w:rFonts w:hint="default"/>
        <w:lang w:val="zh-CN" w:eastAsia="zh-CN" w:bidi="zh-CN"/>
      </w:rPr>
    </w:lvl>
    <w:lvl w:ilvl="3" w:tentative="0">
      <w:start w:val="0"/>
      <w:numFmt w:val="bullet"/>
      <w:lvlText w:val="•"/>
      <w:lvlJc w:val="left"/>
      <w:pPr>
        <w:ind w:left="3831" w:hanging="622"/>
      </w:pPr>
      <w:rPr>
        <w:rFonts w:hint="default"/>
        <w:lang w:val="zh-CN" w:eastAsia="zh-CN" w:bidi="zh-CN"/>
      </w:rPr>
    </w:lvl>
    <w:lvl w:ilvl="4" w:tentative="0">
      <w:start w:val="0"/>
      <w:numFmt w:val="bullet"/>
      <w:lvlText w:val="•"/>
      <w:lvlJc w:val="left"/>
      <w:pPr>
        <w:ind w:left="4702" w:hanging="622"/>
      </w:pPr>
      <w:rPr>
        <w:rFonts w:hint="default"/>
        <w:lang w:val="zh-CN" w:eastAsia="zh-CN" w:bidi="zh-CN"/>
      </w:rPr>
    </w:lvl>
    <w:lvl w:ilvl="5" w:tentative="0">
      <w:start w:val="0"/>
      <w:numFmt w:val="bullet"/>
      <w:lvlText w:val="•"/>
      <w:lvlJc w:val="left"/>
      <w:pPr>
        <w:ind w:left="5573" w:hanging="622"/>
      </w:pPr>
      <w:rPr>
        <w:rFonts w:hint="default"/>
        <w:lang w:val="zh-CN" w:eastAsia="zh-CN" w:bidi="zh-CN"/>
      </w:rPr>
    </w:lvl>
    <w:lvl w:ilvl="6" w:tentative="0">
      <w:start w:val="0"/>
      <w:numFmt w:val="bullet"/>
      <w:lvlText w:val="•"/>
      <w:lvlJc w:val="left"/>
      <w:pPr>
        <w:ind w:left="6443" w:hanging="622"/>
      </w:pPr>
      <w:rPr>
        <w:rFonts w:hint="default"/>
        <w:lang w:val="zh-CN" w:eastAsia="zh-CN" w:bidi="zh-CN"/>
      </w:rPr>
    </w:lvl>
    <w:lvl w:ilvl="7" w:tentative="0">
      <w:start w:val="0"/>
      <w:numFmt w:val="bullet"/>
      <w:lvlText w:val="•"/>
      <w:lvlJc w:val="left"/>
      <w:pPr>
        <w:ind w:left="7314" w:hanging="622"/>
      </w:pPr>
      <w:rPr>
        <w:rFonts w:hint="default"/>
        <w:lang w:val="zh-CN" w:eastAsia="zh-CN" w:bidi="zh-CN"/>
      </w:rPr>
    </w:lvl>
    <w:lvl w:ilvl="8" w:tentative="0">
      <w:start w:val="0"/>
      <w:numFmt w:val="bullet"/>
      <w:lvlText w:val="•"/>
      <w:lvlJc w:val="left"/>
      <w:pPr>
        <w:ind w:left="8185" w:hanging="622"/>
      </w:pPr>
      <w:rPr>
        <w:rFonts w:hint="default"/>
        <w:lang w:val="zh-CN" w:eastAsia="zh-CN" w:bidi="zh-CN"/>
      </w:rPr>
    </w:lvl>
  </w:abstractNum>
  <w:abstractNum w:abstractNumId="44">
    <w:nsid w:val="2F2D79CE"/>
    <w:multiLevelType w:val="multilevel"/>
    <w:tmpl w:val="2F2D79CE"/>
    <w:lvl w:ilvl="0" w:tentative="0">
      <w:start w:val="12"/>
      <w:numFmt w:val="decimal"/>
      <w:lvlText w:val="（%1）"/>
      <w:lvlJc w:val="left"/>
      <w:pPr>
        <w:ind w:left="223" w:hanging="721"/>
      </w:pPr>
      <w:rPr>
        <w:rFonts w:hint="default" w:ascii="宋体" w:hAnsi="宋体" w:eastAsia="宋体" w:cs="宋体"/>
        <w:spacing w:val="-3"/>
        <w:w w:val="100"/>
        <w:sz w:val="22"/>
        <w:szCs w:val="22"/>
        <w:lang w:val="zh-CN" w:eastAsia="zh-CN" w:bidi="zh-CN"/>
      </w:rPr>
    </w:lvl>
    <w:lvl w:ilvl="1" w:tentative="0">
      <w:start w:val="5"/>
      <w:numFmt w:val="decimal"/>
      <w:lvlText w:val="（%2）"/>
      <w:lvlJc w:val="left"/>
      <w:pPr>
        <w:ind w:left="223" w:hanging="608"/>
      </w:pPr>
      <w:rPr>
        <w:rFonts w:hint="default" w:ascii="宋体" w:hAnsi="宋体" w:eastAsia="宋体" w:cs="宋体"/>
        <w:spacing w:val="-17"/>
        <w:w w:val="100"/>
        <w:sz w:val="22"/>
        <w:szCs w:val="22"/>
        <w:lang w:val="zh-CN" w:eastAsia="zh-CN" w:bidi="zh-CN"/>
      </w:rPr>
    </w:lvl>
    <w:lvl w:ilvl="2" w:tentative="0">
      <w:start w:val="0"/>
      <w:numFmt w:val="bullet"/>
      <w:lvlText w:val="•"/>
      <w:lvlJc w:val="left"/>
      <w:pPr>
        <w:ind w:left="2161" w:hanging="608"/>
      </w:pPr>
      <w:rPr>
        <w:rFonts w:hint="default"/>
        <w:lang w:val="zh-CN" w:eastAsia="zh-CN" w:bidi="zh-CN"/>
      </w:rPr>
    </w:lvl>
    <w:lvl w:ilvl="3" w:tentative="0">
      <w:start w:val="0"/>
      <w:numFmt w:val="bullet"/>
      <w:lvlText w:val="•"/>
      <w:lvlJc w:val="left"/>
      <w:pPr>
        <w:ind w:left="3131" w:hanging="608"/>
      </w:pPr>
      <w:rPr>
        <w:rFonts w:hint="default"/>
        <w:lang w:val="zh-CN" w:eastAsia="zh-CN" w:bidi="zh-CN"/>
      </w:rPr>
    </w:lvl>
    <w:lvl w:ilvl="4" w:tentative="0">
      <w:start w:val="0"/>
      <w:numFmt w:val="bullet"/>
      <w:lvlText w:val="•"/>
      <w:lvlJc w:val="left"/>
      <w:pPr>
        <w:ind w:left="4102" w:hanging="608"/>
      </w:pPr>
      <w:rPr>
        <w:rFonts w:hint="default"/>
        <w:lang w:val="zh-CN" w:eastAsia="zh-CN" w:bidi="zh-CN"/>
      </w:rPr>
    </w:lvl>
    <w:lvl w:ilvl="5" w:tentative="0">
      <w:start w:val="0"/>
      <w:numFmt w:val="bullet"/>
      <w:lvlText w:val="•"/>
      <w:lvlJc w:val="left"/>
      <w:pPr>
        <w:ind w:left="5073" w:hanging="608"/>
      </w:pPr>
      <w:rPr>
        <w:rFonts w:hint="default"/>
        <w:lang w:val="zh-CN" w:eastAsia="zh-CN" w:bidi="zh-CN"/>
      </w:rPr>
    </w:lvl>
    <w:lvl w:ilvl="6" w:tentative="0">
      <w:start w:val="0"/>
      <w:numFmt w:val="bullet"/>
      <w:lvlText w:val="•"/>
      <w:lvlJc w:val="left"/>
      <w:pPr>
        <w:ind w:left="6043" w:hanging="608"/>
      </w:pPr>
      <w:rPr>
        <w:rFonts w:hint="default"/>
        <w:lang w:val="zh-CN" w:eastAsia="zh-CN" w:bidi="zh-CN"/>
      </w:rPr>
    </w:lvl>
    <w:lvl w:ilvl="7" w:tentative="0">
      <w:start w:val="0"/>
      <w:numFmt w:val="bullet"/>
      <w:lvlText w:val="•"/>
      <w:lvlJc w:val="left"/>
      <w:pPr>
        <w:ind w:left="7014" w:hanging="608"/>
      </w:pPr>
      <w:rPr>
        <w:rFonts w:hint="default"/>
        <w:lang w:val="zh-CN" w:eastAsia="zh-CN" w:bidi="zh-CN"/>
      </w:rPr>
    </w:lvl>
    <w:lvl w:ilvl="8" w:tentative="0">
      <w:start w:val="0"/>
      <w:numFmt w:val="bullet"/>
      <w:lvlText w:val="•"/>
      <w:lvlJc w:val="left"/>
      <w:pPr>
        <w:ind w:left="7985" w:hanging="608"/>
      </w:pPr>
      <w:rPr>
        <w:rFonts w:hint="default"/>
        <w:lang w:val="zh-CN" w:eastAsia="zh-CN" w:bidi="zh-CN"/>
      </w:rPr>
    </w:lvl>
  </w:abstractNum>
  <w:abstractNum w:abstractNumId="45">
    <w:nsid w:val="30A0AC00"/>
    <w:multiLevelType w:val="multilevel"/>
    <w:tmpl w:val="30A0AC00"/>
    <w:lvl w:ilvl="0" w:tentative="0">
      <w:start w:val="1"/>
      <w:numFmt w:val="decimal"/>
      <w:lvlText w:val="（%1）"/>
      <w:lvlJc w:val="left"/>
      <w:pPr>
        <w:ind w:left="1216" w:hanging="622"/>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090" w:hanging="622"/>
      </w:pPr>
      <w:rPr>
        <w:rFonts w:hint="default"/>
        <w:lang w:val="zh-CN" w:eastAsia="zh-CN" w:bidi="zh-CN"/>
      </w:rPr>
    </w:lvl>
    <w:lvl w:ilvl="2" w:tentative="0">
      <w:start w:val="0"/>
      <w:numFmt w:val="bullet"/>
      <w:lvlText w:val="•"/>
      <w:lvlJc w:val="left"/>
      <w:pPr>
        <w:ind w:left="2961" w:hanging="622"/>
      </w:pPr>
      <w:rPr>
        <w:rFonts w:hint="default"/>
        <w:lang w:val="zh-CN" w:eastAsia="zh-CN" w:bidi="zh-CN"/>
      </w:rPr>
    </w:lvl>
    <w:lvl w:ilvl="3" w:tentative="0">
      <w:start w:val="0"/>
      <w:numFmt w:val="bullet"/>
      <w:lvlText w:val="•"/>
      <w:lvlJc w:val="left"/>
      <w:pPr>
        <w:ind w:left="3831" w:hanging="622"/>
      </w:pPr>
      <w:rPr>
        <w:rFonts w:hint="default"/>
        <w:lang w:val="zh-CN" w:eastAsia="zh-CN" w:bidi="zh-CN"/>
      </w:rPr>
    </w:lvl>
    <w:lvl w:ilvl="4" w:tentative="0">
      <w:start w:val="0"/>
      <w:numFmt w:val="bullet"/>
      <w:lvlText w:val="•"/>
      <w:lvlJc w:val="left"/>
      <w:pPr>
        <w:ind w:left="4702" w:hanging="622"/>
      </w:pPr>
      <w:rPr>
        <w:rFonts w:hint="default"/>
        <w:lang w:val="zh-CN" w:eastAsia="zh-CN" w:bidi="zh-CN"/>
      </w:rPr>
    </w:lvl>
    <w:lvl w:ilvl="5" w:tentative="0">
      <w:start w:val="0"/>
      <w:numFmt w:val="bullet"/>
      <w:lvlText w:val="•"/>
      <w:lvlJc w:val="left"/>
      <w:pPr>
        <w:ind w:left="5573" w:hanging="622"/>
      </w:pPr>
      <w:rPr>
        <w:rFonts w:hint="default"/>
        <w:lang w:val="zh-CN" w:eastAsia="zh-CN" w:bidi="zh-CN"/>
      </w:rPr>
    </w:lvl>
    <w:lvl w:ilvl="6" w:tentative="0">
      <w:start w:val="0"/>
      <w:numFmt w:val="bullet"/>
      <w:lvlText w:val="•"/>
      <w:lvlJc w:val="left"/>
      <w:pPr>
        <w:ind w:left="6443" w:hanging="622"/>
      </w:pPr>
      <w:rPr>
        <w:rFonts w:hint="default"/>
        <w:lang w:val="zh-CN" w:eastAsia="zh-CN" w:bidi="zh-CN"/>
      </w:rPr>
    </w:lvl>
    <w:lvl w:ilvl="7" w:tentative="0">
      <w:start w:val="0"/>
      <w:numFmt w:val="bullet"/>
      <w:lvlText w:val="•"/>
      <w:lvlJc w:val="left"/>
      <w:pPr>
        <w:ind w:left="7314" w:hanging="622"/>
      </w:pPr>
      <w:rPr>
        <w:rFonts w:hint="default"/>
        <w:lang w:val="zh-CN" w:eastAsia="zh-CN" w:bidi="zh-CN"/>
      </w:rPr>
    </w:lvl>
    <w:lvl w:ilvl="8" w:tentative="0">
      <w:start w:val="0"/>
      <w:numFmt w:val="bullet"/>
      <w:lvlText w:val="•"/>
      <w:lvlJc w:val="left"/>
      <w:pPr>
        <w:ind w:left="8185" w:hanging="622"/>
      </w:pPr>
      <w:rPr>
        <w:rFonts w:hint="default"/>
        <w:lang w:val="zh-CN" w:eastAsia="zh-CN" w:bidi="zh-CN"/>
      </w:rPr>
    </w:lvl>
  </w:abstractNum>
  <w:abstractNum w:abstractNumId="46">
    <w:nsid w:val="30FC5B15"/>
    <w:multiLevelType w:val="multilevel"/>
    <w:tmpl w:val="30FC5B15"/>
    <w:lvl w:ilvl="0" w:tentative="0">
      <w:start w:val="1"/>
      <w:numFmt w:val="decimal"/>
      <w:lvlText w:val="（%1）"/>
      <w:lvlJc w:val="left"/>
      <w:pPr>
        <w:ind w:left="1216" w:hanging="622"/>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1092" w:hanging="372"/>
      </w:pPr>
      <w:rPr>
        <w:rFonts w:hint="default" w:ascii="Times New Roman" w:hAnsi="Times New Roman" w:eastAsia="Times New Roman" w:cs="Times New Roman"/>
        <w:spacing w:val="4"/>
        <w:w w:val="100"/>
        <w:sz w:val="22"/>
        <w:szCs w:val="22"/>
        <w:lang w:val="zh-CN" w:eastAsia="zh-CN" w:bidi="zh-CN"/>
      </w:rPr>
    </w:lvl>
    <w:lvl w:ilvl="2" w:tentative="0">
      <w:start w:val="0"/>
      <w:numFmt w:val="bullet"/>
      <w:lvlText w:val="•"/>
      <w:lvlJc w:val="left"/>
      <w:pPr>
        <w:ind w:left="2187" w:hanging="372"/>
      </w:pPr>
      <w:rPr>
        <w:rFonts w:hint="default"/>
        <w:lang w:val="zh-CN" w:eastAsia="zh-CN" w:bidi="zh-CN"/>
      </w:rPr>
    </w:lvl>
    <w:lvl w:ilvl="3" w:tentative="0">
      <w:start w:val="0"/>
      <w:numFmt w:val="bullet"/>
      <w:lvlText w:val="•"/>
      <w:lvlJc w:val="left"/>
      <w:pPr>
        <w:ind w:left="3154" w:hanging="372"/>
      </w:pPr>
      <w:rPr>
        <w:rFonts w:hint="default"/>
        <w:lang w:val="zh-CN" w:eastAsia="zh-CN" w:bidi="zh-CN"/>
      </w:rPr>
    </w:lvl>
    <w:lvl w:ilvl="4" w:tentative="0">
      <w:start w:val="0"/>
      <w:numFmt w:val="bullet"/>
      <w:lvlText w:val="•"/>
      <w:lvlJc w:val="left"/>
      <w:pPr>
        <w:ind w:left="4122" w:hanging="372"/>
      </w:pPr>
      <w:rPr>
        <w:rFonts w:hint="default"/>
        <w:lang w:val="zh-CN" w:eastAsia="zh-CN" w:bidi="zh-CN"/>
      </w:rPr>
    </w:lvl>
    <w:lvl w:ilvl="5" w:tentative="0">
      <w:start w:val="0"/>
      <w:numFmt w:val="bullet"/>
      <w:lvlText w:val="•"/>
      <w:lvlJc w:val="left"/>
      <w:pPr>
        <w:ind w:left="5089" w:hanging="372"/>
      </w:pPr>
      <w:rPr>
        <w:rFonts w:hint="default"/>
        <w:lang w:val="zh-CN" w:eastAsia="zh-CN" w:bidi="zh-CN"/>
      </w:rPr>
    </w:lvl>
    <w:lvl w:ilvl="6" w:tentative="0">
      <w:start w:val="0"/>
      <w:numFmt w:val="bullet"/>
      <w:lvlText w:val="•"/>
      <w:lvlJc w:val="left"/>
      <w:pPr>
        <w:ind w:left="6056" w:hanging="372"/>
      </w:pPr>
      <w:rPr>
        <w:rFonts w:hint="default"/>
        <w:lang w:val="zh-CN" w:eastAsia="zh-CN" w:bidi="zh-CN"/>
      </w:rPr>
    </w:lvl>
    <w:lvl w:ilvl="7" w:tentative="0">
      <w:start w:val="0"/>
      <w:numFmt w:val="bullet"/>
      <w:lvlText w:val="•"/>
      <w:lvlJc w:val="left"/>
      <w:pPr>
        <w:ind w:left="7024" w:hanging="372"/>
      </w:pPr>
      <w:rPr>
        <w:rFonts w:hint="default"/>
        <w:lang w:val="zh-CN" w:eastAsia="zh-CN" w:bidi="zh-CN"/>
      </w:rPr>
    </w:lvl>
    <w:lvl w:ilvl="8" w:tentative="0">
      <w:start w:val="0"/>
      <w:numFmt w:val="bullet"/>
      <w:lvlText w:val="•"/>
      <w:lvlJc w:val="left"/>
      <w:pPr>
        <w:ind w:left="7991" w:hanging="372"/>
      </w:pPr>
      <w:rPr>
        <w:rFonts w:hint="default"/>
        <w:lang w:val="zh-CN" w:eastAsia="zh-CN" w:bidi="zh-CN"/>
      </w:rPr>
    </w:lvl>
  </w:abstractNum>
  <w:abstractNum w:abstractNumId="47">
    <w:nsid w:val="322D85CA"/>
    <w:multiLevelType w:val="multilevel"/>
    <w:tmpl w:val="322D85CA"/>
    <w:lvl w:ilvl="0" w:tentative="0">
      <w:start w:val="1"/>
      <w:numFmt w:val="lowerLetter"/>
      <w:lvlText w:val="%1."/>
      <w:lvlJc w:val="left"/>
      <w:pPr>
        <w:ind w:left="1144" w:hanging="303"/>
      </w:pPr>
      <w:rPr>
        <w:rFonts w:hint="default" w:ascii="Times New Roman" w:hAnsi="Times New Roman" w:eastAsia="Times New Roman" w:cs="Times New Roman"/>
        <w:spacing w:val="0"/>
        <w:w w:val="100"/>
        <w:sz w:val="24"/>
        <w:szCs w:val="24"/>
        <w:lang w:val="zh-CN" w:eastAsia="zh-CN" w:bidi="zh-CN"/>
      </w:rPr>
    </w:lvl>
    <w:lvl w:ilvl="1" w:tentative="0">
      <w:start w:val="0"/>
      <w:numFmt w:val="bullet"/>
      <w:lvlText w:val="•"/>
      <w:lvlJc w:val="left"/>
      <w:pPr>
        <w:ind w:left="2018" w:hanging="303"/>
      </w:pPr>
      <w:rPr>
        <w:rFonts w:hint="default"/>
        <w:lang w:val="zh-CN" w:eastAsia="zh-CN" w:bidi="zh-CN"/>
      </w:rPr>
    </w:lvl>
    <w:lvl w:ilvl="2" w:tentative="0">
      <w:start w:val="0"/>
      <w:numFmt w:val="bullet"/>
      <w:lvlText w:val="•"/>
      <w:lvlJc w:val="left"/>
      <w:pPr>
        <w:ind w:left="2897" w:hanging="303"/>
      </w:pPr>
      <w:rPr>
        <w:rFonts w:hint="default"/>
        <w:lang w:val="zh-CN" w:eastAsia="zh-CN" w:bidi="zh-CN"/>
      </w:rPr>
    </w:lvl>
    <w:lvl w:ilvl="3" w:tentative="0">
      <w:start w:val="0"/>
      <w:numFmt w:val="bullet"/>
      <w:lvlText w:val="•"/>
      <w:lvlJc w:val="left"/>
      <w:pPr>
        <w:ind w:left="3775" w:hanging="303"/>
      </w:pPr>
      <w:rPr>
        <w:rFonts w:hint="default"/>
        <w:lang w:val="zh-CN" w:eastAsia="zh-CN" w:bidi="zh-CN"/>
      </w:rPr>
    </w:lvl>
    <w:lvl w:ilvl="4" w:tentative="0">
      <w:start w:val="0"/>
      <w:numFmt w:val="bullet"/>
      <w:lvlText w:val="•"/>
      <w:lvlJc w:val="left"/>
      <w:pPr>
        <w:ind w:left="4654" w:hanging="303"/>
      </w:pPr>
      <w:rPr>
        <w:rFonts w:hint="default"/>
        <w:lang w:val="zh-CN" w:eastAsia="zh-CN" w:bidi="zh-CN"/>
      </w:rPr>
    </w:lvl>
    <w:lvl w:ilvl="5" w:tentative="0">
      <w:start w:val="0"/>
      <w:numFmt w:val="bullet"/>
      <w:lvlText w:val="•"/>
      <w:lvlJc w:val="left"/>
      <w:pPr>
        <w:ind w:left="5533" w:hanging="303"/>
      </w:pPr>
      <w:rPr>
        <w:rFonts w:hint="default"/>
        <w:lang w:val="zh-CN" w:eastAsia="zh-CN" w:bidi="zh-CN"/>
      </w:rPr>
    </w:lvl>
    <w:lvl w:ilvl="6" w:tentative="0">
      <w:start w:val="0"/>
      <w:numFmt w:val="bullet"/>
      <w:lvlText w:val="•"/>
      <w:lvlJc w:val="left"/>
      <w:pPr>
        <w:ind w:left="6411" w:hanging="303"/>
      </w:pPr>
      <w:rPr>
        <w:rFonts w:hint="default"/>
        <w:lang w:val="zh-CN" w:eastAsia="zh-CN" w:bidi="zh-CN"/>
      </w:rPr>
    </w:lvl>
    <w:lvl w:ilvl="7" w:tentative="0">
      <w:start w:val="0"/>
      <w:numFmt w:val="bullet"/>
      <w:lvlText w:val="•"/>
      <w:lvlJc w:val="left"/>
      <w:pPr>
        <w:ind w:left="7290" w:hanging="303"/>
      </w:pPr>
      <w:rPr>
        <w:rFonts w:hint="default"/>
        <w:lang w:val="zh-CN" w:eastAsia="zh-CN" w:bidi="zh-CN"/>
      </w:rPr>
    </w:lvl>
    <w:lvl w:ilvl="8" w:tentative="0">
      <w:start w:val="0"/>
      <w:numFmt w:val="bullet"/>
      <w:lvlText w:val="•"/>
      <w:lvlJc w:val="left"/>
      <w:pPr>
        <w:ind w:left="8169" w:hanging="303"/>
      </w:pPr>
      <w:rPr>
        <w:rFonts w:hint="default"/>
        <w:lang w:val="zh-CN" w:eastAsia="zh-CN" w:bidi="zh-CN"/>
      </w:rPr>
    </w:lvl>
  </w:abstractNum>
  <w:abstractNum w:abstractNumId="48">
    <w:nsid w:val="32A7AF2D"/>
    <w:multiLevelType w:val="multilevel"/>
    <w:tmpl w:val="32A7AF2D"/>
    <w:lvl w:ilvl="0" w:tentative="0">
      <w:start w:val="1"/>
      <w:numFmt w:val="decimal"/>
      <w:lvlText w:val="%1）"/>
      <w:lvlJc w:val="left"/>
      <w:pPr>
        <w:ind w:left="1092" w:hanging="372"/>
      </w:pPr>
      <w:rPr>
        <w:rFonts w:hint="default" w:ascii="Times New Roman" w:hAnsi="Times New Roman" w:eastAsia="Times New Roman" w:cs="Times New Roman"/>
        <w:spacing w:val="4"/>
        <w:w w:val="100"/>
        <w:sz w:val="22"/>
        <w:szCs w:val="22"/>
        <w:lang w:val="zh-CN" w:eastAsia="zh-CN" w:bidi="zh-CN"/>
      </w:rPr>
    </w:lvl>
    <w:lvl w:ilvl="1" w:tentative="0">
      <w:start w:val="0"/>
      <w:numFmt w:val="bullet"/>
      <w:lvlText w:val="•"/>
      <w:lvlJc w:val="left"/>
      <w:pPr>
        <w:ind w:left="1982" w:hanging="372"/>
      </w:pPr>
      <w:rPr>
        <w:rFonts w:hint="default"/>
        <w:lang w:val="zh-CN" w:eastAsia="zh-CN" w:bidi="zh-CN"/>
      </w:rPr>
    </w:lvl>
    <w:lvl w:ilvl="2" w:tentative="0">
      <w:start w:val="0"/>
      <w:numFmt w:val="bullet"/>
      <w:lvlText w:val="•"/>
      <w:lvlJc w:val="left"/>
      <w:pPr>
        <w:ind w:left="2865" w:hanging="372"/>
      </w:pPr>
      <w:rPr>
        <w:rFonts w:hint="default"/>
        <w:lang w:val="zh-CN" w:eastAsia="zh-CN" w:bidi="zh-CN"/>
      </w:rPr>
    </w:lvl>
    <w:lvl w:ilvl="3" w:tentative="0">
      <w:start w:val="0"/>
      <w:numFmt w:val="bullet"/>
      <w:lvlText w:val="•"/>
      <w:lvlJc w:val="left"/>
      <w:pPr>
        <w:ind w:left="3747" w:hanging="372"/>
      </w:pPr>
      <w:rPr>
        <w:rFonts w:hint="default"/>
        <w:lang w:val="zh-CN" w:eastAsia="zh-CN" w:bidi="zh-CN"/>
      </w:rPr>
    </w:lvl>
    <w:lvl w:ilvl="4" w:tentative="0">
      <w:start w:val="0"/>
      <w:numFmt w:val="bullet"/>
      <w:lvlText w:val="•"/>
      <w:lvlJc w:val="left"/>
      <w:pPr>
        <w:ind w:left="4630" w:hanging="372"/>
      </w:pPr>
      <w:rPr>
        <w:rFonts w:hint="default"/>
        <w:lang w:val="zh-CN" w:eastAsia="zh-CN" w:bidi="zh-CN"/>
      </w:rPr>
    </w:lvl>
    <w:lvl w:ilvl="5" w:tentative="0">
      <w:start w:val="0"/>
      <w:numFmt w:val="bullet"/>
      <w:lvlText w:val="•"/>
      <w:lvlJc w:val="left"/>
      <w:pPr>
        <w:ind w:left="5513" w:hanging="372"/>
      </w:pPr>
      <w:rPr>
        <w:rFonts w:hint="default"/>
        <w:lang w:val="zh-CN" w:eastAsia="zh-CN" w:bidi="zh-CN"/>
      </w:rPr>
    </w:lvl>
    <w:lvl w:ilvl="6" w:tentative="0">
      <w:start w:val="0"/>
      <w:numFmt w:val="bullet"/>
      <w:lvlText w:val="•"/>
      <w:lvlJc w:val="left"/>
      <w:pPr>
        <w:ind w:left="6395" w:hanging="372"/>
      </w:pPr>
      <w:rPr>
        <w:rFonts w:hint="default"/>
        <w:lang w:val="zh-CN" w:eastAsia="zh-CN" w:bidi="zh-CN"/>
      </w:rPr>
    </w:lvl>
    <w:lvl w:ilvl="7" w:tentative="0">
      <w:start w:val="0"/>
      <w:numFmt w:val="bullet"/>
      <w:lvlText w:val="•"/>
      <w:lvlJc w:val="left"/>
      <w:pPr>
        <w:ind w:left="7278" w:hanging="372"/>
      </w:pPr>
      <w:rPr>
        <w:rFonts w:hint="default"/>
        <w:lang w:val="zh-CN" w:eastAsia="zh-CN" w:bidi="zh-CN"/>
      </w:rPr>
    </w:lvl>
    <w:lvl w:ilvl="8" w:tentative="0">
      <w:start w:val="0"/>
      <w:numFmt w:val="bullet"/>
      <w:lvlText w:val="•"/>
      <w:lvlJc w:val="left"/>
      <w:pPr>
        <w:ind w:left="8161" w:hanging="372"/>
      </w:pPr>
      <w:rPr>
        <w:rFonts w:hint="default"/>
        <w:lang w:val="zh-CN" w:eastAsia="zh-CN" w:bidi="zh-CN"/>
      </w:rPr>
    </w:lvl>
  </w:abstractNum>
  <w:abstractNum w:abstractNumId="49">
    <w:nsid w:val="39A0D9AC"/>
    <w:multiLevelType w:val="multilevel"/>
    <w:tmpl w:val="39A0D9AC"/>
    <w:lvl w:ilvl="0" w:tentative="0">
      <w:start w:val="1"/>
      <w:numFmt w:val="decimal"/>
      <w:lvlText w:val="（%1）"/>
      <w:lvlJc w:val="left"/>
      <w:pPr>
        <w:ind w:left="223" w:hanging="624"/>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223" w:hanging="366"/>
      </w:pPr>
      <w:rPr>
        <w:rFonts w:hint="default" w:ascii="Times New Roman" w:hAnsi="Times New Roman" w:eastAsia="Times New Roman" w:cs="Times New Roman"/>
        <w:spacing w:val="-20"/>
        <w:w w:val="100"/>
        <w:sz w:val="22"/>
        <w:szCs w:val="22"/>
        <w:lang w:val="zh-CN" w:eastAsia="zh-CN" w:bidi="zh-CN"/>
      </w:rPr>
    </w:lvl>
    <w:lvl w:ilvl="2" w:tentative="0">
      <w:start w:val="0"/>
      <w:numFmt w:val="bullet"/>
      <w:lvlText w:val="•"/>
      <w:lvlJc w:val="left"/>
      <w:pPr>
        <w:ind w:left="2161" w:hanging="366"/>
      </w:pPr>
      <w:rPr>
        <w:rFonts w:hint="default"/>
        <w:lang w:val="zh-CN" w:eastAsia="zh-CN" w:bidi="zh-CN"/>
      </w:rPr>
    </w:lvl>
    <w:lvl w:ilvl="3" w:tentative="0">
      <w:start w:val="0"/>
      <w:numFmt w:val="bullet"/>
      <w:lvlText w:val="•"/>
      <w:lvlJc w:val="left"/>
      <w:pPr>
        <w:ind w:left="3131" w:hanging="366"/>
      </w:pPr>
      <w:rPr>
        <w:rFonts w:hint="default"/>
        <w:lang w:val="zh-CN" w:eastAsia="zh-CN" w:bidi="zh-CN"/>
      </w:rPr>
    </w:lvl>
    <w:lvl w:ilvl="4" w:tentative="0">
      <w:start w:val="0"/>
      <w:numFmt w:val="bullet"/>
      <w:lvlText w:val="•"/>
      <w:lvlJc w:val="left"/>
      <w:pPr>
        <w:ind w:left="4102" w:hanging="366"/>
      </w:pPr>
      <w:rPr>
        <w:rFonts w:hint="default"/>
        <w:lang w:val="zh-CN" w:eastAsia="zh-CN" w:bidi="zh-CN"/>
      </w:rPr>
    </w:lvl>
    <w:lvl w:ilvl="5" w:tentative="0">
      <w:start w:val="0"/>
      <w:numFmt w:val="bullet"/>
      <w:lvlText w:val="•"/>
      <w:lvlJc w:val="left"/>
      <w:pPr>
        <w:ind w:left="5073" w:hanging="366"/>
      </w:pPr>
      <w:rPr>
        <w:rFonts w:hint="default"/>
        <w:lang w:val="zh-CN" w:eastAsia="zh-CN" w:bidi="zh-CN"/>
      </w:rPr>
    </w:lvl>
    <w:lvl w:ilvl="6" w:tentative="0">
      <w:start w:val="0"/>
      <w:numFmt w:val="bullet"/>
      <w:lvlText w:val="•"/>
      <w:lvlJc w:val="left"/>
      <w:pPr>
        <w:ind w:left="6043" w:hanging="366"/>
      </w:pPr>
      <w:rPr>
        <w:rFonts w:hint="default"/>
        <w:lang w:val="zh-CN" w:eastAsia="zh-CN" w:bidi="zh-CN"/>
      </w:rPr>
    </w:lvl>
    <w:lvl w:ilvl="7" w:tentative="0">
      <w:start w:val="0"/>
      <w:numFmt w:val="bullet"/>
      <w:lvlText w:val="•"/>
      <w:lvlJc w:val="left"/>
      <w:pPr>
        <w:ind w:left="7014" w:hanging="366"/>
      </w:pPr>
      <w:rPr>
        <w:rFonts w:hint="default"/>
        <w:lang w:val="zh-CN" w:eastAsia="zh-CN" w:bidi="zh-CN"/>
      </w:rPr>
    </w:lvl>
    <w:lvl w:ilvl="8" w:tentative="0">
      <w:start w:val="0"/>
      <w:numFmt w:val="bullet"/>
      <w:lvlText w:val="•"/>
      <w:lvlJc w:val="left"/>
      <w:pPr>
        <w:ind w:left="7985" w:hanging="366"/>
      </w:pPr>
      <w:rPr>
        <w:rFonts w:hint="default"/>
        <w:lang w:val="zh-CN" w:eastAsia="zh-CN" w:bidi="zh-CN"/>
      </w:rPr>
    </w:lvl>
  </w:abstractNum>
  <w:abstractNum w:abstractNumId="50">
    <w:nsid w:val="3B8127DF"/>
    <w:multiLevelType w:val="multilevel"/>
    <w:tmpl w:val="3B8127DF"/>
    <w:lvl w:ilvl="0" w:tentative="0">
      <w:start w:val="1"/>
      <w:numFmt w:val="decimal"/>
      <w:lvlText w:val="（%1）"/>
      <w:lvlJc w:val="left"/>
      <w:pPr>
        <w:ind w:left="223" w:hanging="624"/>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90" w:hanging="624"/>
      </w:pPr>
      <w:rPr>
        <w:rFonts w:hint="default"/>
        <w:lang w:val="zh-CN" w:eastAsia="zh-CN" w:bidi="zh-CN"/>
      </w:rPr>
    </w:lvl>
    <w:lvl w:ilvl="2" w:tentative="0">
      <w:start w:val="0"/>
      <w:numFmt w:val="bullet"/>
      <w:lvlText w:val="•"/>
      <w:lvlJc w:val="left"/>
      <w:pPr>
        <w:ind w:left="2161" w:hanging="624"/>
      </w:pPr>
      <w:rPr>
        <w:rFonts w:hint="default"/>
        <w:lang w:val="zh-CN" w:eastAsia="zh-CN" w:bidi="zh-CN"/>
      </w:rPr>
    </w:lvl>
    <w:lvl w:ilvl="3" w:tentative="0">
      <w:start w:val="0"/>
      <w:numFmt w:val="bullet"/>
      <w:lvlText w:val="•"/>
      <w:lvlJc w:val="left"/>
      <w:pPr>
        <w:ind w:left="3131" w:hanging="624"/>
      </w:pPr>
      <w:rPr>
        <w:rFonts w:hint="default"/>
        <w:lang w:val="zh-CN" w:eastAsia="zh-CN" w:bidi="zh-CN"/>
      </w:rPr>
    </w:lvl>
    <w:lvl w:ilvl="4" w:tentative="0">
      <w:start w:val="0"/>
      <w:numFmt w:val="bullet"/>
      <w:lvlText w:val="•"/>
      <w:lvlJc w:val="left"/>
      <w:pPr>
        <w:ind w:left="4102" w:hanging="624"/>
      </w:pPr>
      <w:rPr>
        <w:rFonts w:hint="default"/>
        <w:lang w:val="zh-CN" w:eastAsia="zh-CN" w:bidi="zh-CN"/>
      </w:rPr>
    </w:lvl>
    <w:lvl w:ilvl="5" w:tentative="0">
      <w:start w:val="0"/>
      <w:numFmt w:val="bullet"/>
      <w:lvlText w:val="•"/>
      <w:lvlJc w:val="left"/>
      <w:pPr>
        <w:ind w:left="5073" w:hanging="624"/>
      </w:pPr>
      <w:rPr>
        <w:rFonts w:hint="default"/>
        <w:lang w:val="zh-CN" w:eastAsia="zh-CN" w:bidi="zh-CN"/>
      </w:rPr>
    </w:lvl>
    <w:lvl w:ilvl="6" w:tentative="0">
      <w:start w:val="0"/>
      <w:numFmt w:val="bullet"/>
      <w:lvlText w:val="•"/>
      <w:lvlJc w:val="left"/>
      <w:pPr>
        <w:ind w:left="6043" w:hanging="624"/>
      </w:pPr>
      <w:rPr>
        <w:rFonts w:hint="default"/>
        <w:lang w:val="zh-CN" w:eastAsia="zh-CN" w:bidi="zh-CN"/>
      </w:rPr>
    </w:lvl>
    <w:lvl w:ilvl="7" w:tentative="0">
      <w:start w:val="0"/>
      <w:numFmt w:val="bullet"/>
      <w:lvlText w:val="•"/>
      <w:lvlJc w:val="left"/>
      <w:pPr>
        <w:ind w:left="7014" w:hanging="624"/>
      </w:pPr>
      <w:rPr>
        <w:rFonts w:hint="default"/>
        <w:lang w:val="zh-CN" w:eastAsia="zh-CN" w:bidi="zh-CN"/>
      </w:rPr>
    </w:lvl>
    <w:lvl w:ilvl="8" w:tentative="0">
      <w:start w:val="0"/>
      <w:numFmt w:val="bullet"/>
      <w:lvlText w:val="•"/>
      <w:lvlJc w:val="left"/>
      <w:pPr>
        <w:ind w:left="7985" w:hanging="624"/>
      </w:pPr>
      <w:rPr>
        <w:rFonts w:hint="default"/>
        <w:lang w:val="zh-CN" w:eastAsia="zh-CN" w:bidi="zh-CN"/>
      </w:rPr>
    </w:lvl>
  </w:abstractNum>
  <w:abstractNum w:abstractNumId="51">
    <w:nsid w:val="481AEBD5"/>
    <w:multiLevelType w:val="singleLevel"/>
    <w:tmpl w:val="481AEBD5"/>
    <w:lvl w:ilvl="0" w:tentative="0">
      <w:start w:val="1"/>
      <w:numFmt w:val="decimal"/>
      <w:suff w:val="nothing"/>
      <w:lvlText w:val="%1、"/>
      <w:lvlJc w:val="left"/>
    </w:lvl>
  </w:abstractNum>
  <w:abstractNum w:abstractNumId="52">
    <w:nsid w:val="4C1BAE26"/>
    <w:multiLevelType w:val="multilevel"/>
    <w:tmpl w:val="4C1BAE26"/>
    <w:lvl w:ilvl="0" w:tentative="0">
      <w:start w:val="2"/>
      <w:numFmt w:val="decimal"/>
      <w:lvlText w:val="%1"/>
      <w:lvlJc w:val="left"/>
      <w:pPr>
        <w:ind w:left="1476" w:hanging="756"/>
      </w:pPr>
      <w:rPr>
        <w:rFonts w:hint="default"/>
        <w:lang w:val="zh-CN" w:eastAsia="zh-CN" w:bidi="zh-CN"/>
      </w:rPr>
    </w:lvl>
    <w:lvl w:ilvl="1" w:tentative="0">
      <w:start w:val="1"/>
      <w:numFmt w:val="decimal"/>
      <w:lvlText w:val="%1.%2"/>
      <w:lvlJc w:val="left"/>
      <w:pPr>
        <w:ind w:left="1476" w:hanging="756"/>
      </w:pPr>
      <w:rPr>
        <w:rFonts w:hint="default"/>
        <w:lang w:val="zh-CN" w:eastAsia="zh-CN" w:bidi="zh-CN"/>
      </w:rPr>
    </w:lvl>
    <w:lvl w:ilvl="2" w:tentative="0">
      <w:start w:val="2"/>
      <w:numFmt w:val="decimal"/>
      <w:lvlText w:val="%1.%2.%3"/>
      <w:lvlJc w:val="left"/>
      <w:pPr>
        <w:ind w:left="1476" w:hanging="756"/>
      </w:pPr>
      <w:rPr>
        <w:rFonts w:hint="default"/>
        <w:b/>
        <w:bCs/>
        <w:spacing w:val="0"/>
        <w:w w:val="99"/>
        <w:lang w:val="zh-CN" w:eastAsia="zh-CN" w:bidi="zh-CN"/>
      </w:rPr>
    </w:lvl>
    <w:lvl w:ilvl="3" w:tentative="0">
      <w:start w:val="1"/>
      <w:numFmt w:val="decimal"/>
      <w:lvlText w:val="%1.%2.%3.%4"/>
      <w:lvlJc w:val="left"/>
      <w:pPr>
        <w:ind w:left="1665" w:hanging="946"/>
      </w:pPr>
      <w:rPr>
        <w:rFonts w:hint="default" w:ascii="Times New Roman" w:hAnsi="Times New Roman" w:eastAsia="Times New Roman" w:cs="Times New Roman"/>
        <w:b/>
        <w:bCs/>
        <w:spacing w:val="0"/>
        <w:w w:val="99"/>
        <w:sz w:val="24"/>
        <w:szCs w:val="24"/>
        <w:lang w:val="zh-CN" w:eastAsia="zh-CN" w:bidi="zh-CN"/>
      </w:rPr>
    </w:lvl>
    <w:lvl w:ilvl="4" w:tentative="0">
      <w:start w:val="0"/>
      <w:numFmt w:val="bullet"/>
      <w:lvlText w:val="•"/>
      <w:lvlJc w:val="left"/>
      <w:pPr>
        <w:ind w:left="3741" w:hanging="946"/>
      </w:pPr>
      <w:rPr>
        <w:rFonts w:hint="default"/>
        <w:lang w:val="zh-CN" w:eastAsia="zh-CN" w:bidi="zh-CN"/>
      </w:rPr>
    </w:lvl>
    <w:lvl w:ilvl="5" w:tentative="0">
      <w:start w:val="0"/>
      <w:numFmt w:val="bullet"/>
      <w:lvlText w:val="•"/>
      <w:lvlJc w:val="left"/>
      <w:pPr>
        <w:ind w:left="4772" w:hanging="946"/>
      </w:pPr>
      <w:rPr>
        <w:rFonts w:hint="default"/>
        <w:lang w:val="zh-CN" w:eastAsia="zh-CN" w:bidi="zh-CN"/>
      </w:rPr>
    </w:lvl>
    <w:lvl w:ilvl="6" w:tentative="0">
      <w:start w:val="0"/>
      <w:numFmt w:val="bullet"/>
      <w:lvlText w:val="•"/>
      <w:lvlJc w:val="left"/>
      <w:pPr>
        <w:ind w:left="5803" w:hanging="946"/>
      </w:pPr>
      <w:rPr>
        <w:rFonts w:hint="default"/>
        <w:lang w:val="zh-CN" w:eastAsia="zh-CN" w:bidi="zh-CN"/>
      </w:rPr>
    </w:lvl>
    <w:lvl w:ilvl="7" w:tentative="0">
      <w:start w:val="0"/>
      <w:numFmt w:val="bullet"/>
      <w:lvlText w:val="•"/>
      <w:lvlJc w:val="left"/>
      <w:pPr>
        <w:ind w:left="6834" w:hanging="946"/>
      </w:pPr>
      <w:rPr>
        <w:rFonts w:hint="default"/>
        <w:lang w:val="zh-CN" w:eastAsia="zh-CN" w:bidi="zh-CN"/>
      </w:rPr>
    </w:lvl>
    <w:lvl w:ilvl="8" w:tentative="0">
      <w:start w:val="0"/>
      <w:numFmt w:val="bullet"/>
      <w:lvlText w:val="•"/>
      <w:lvlJc w:val="left"/>
      <w:pPr>
        <w:ind w:left="7864" w:hanging="946"/>
      </w:pPr>
      <w:rPr>
        <w:rFonts w:hint="default"/>
        <w:lang w:val="zh-CN" w:eastAsia="zh-CN" w:bidi="zh-CN"/>
      </w:rPr>
    </w:lvl>
  </w:abstractNum>
  <w:abstractNum w:abstractNumId="53">
    <w:nsid w:val="4C3D7A74"/>
    <w:multiLevelType w:val="multilevel"/>
    <w:tmpl w:val="4C3D7A74"/>
    <w:lvl w:ilvl="0" w:tentative="0">
      <w:start w:val="1"/>
      <w:numFmt w:val="lowerLetter"/>
      <w:lvlText w:val="%1."/>
      <w:lvlJc w:val="left"/>
      <w:pPr>
        <w:ind w:left="223" w:hanging="308"/>
      </w:pPr>
      <w:rPr>
        <w:rFonts w:hint="default" w:ascii="Times New Roman" w:hAnsi="Times New Roman" w:eastAsia="Times New Roman" w:cs="Times New Roman"/>
        <w:spacing w:val="-11"/>
        <w:w w:val="100"/>
        <w:sz w:val="24"/>
        <w:szCs w:val="24"/>
        <w:lang w:val="zh-CN" w:eastAsia="zh-CN" w:bidi="zh-CN"/>
      </w:rPr>
    </w:lvl>
    <w:lvl w:ilvl="1" w:tentative="0">
      <w:start w:val="0"/>
      <w:numFmt w:val="bullet"/>
      <w:lvlText w:val="•"/>
      <w:lvlJc w:val="left"/>
      <w:pPr>
        <w:ind w:left="1190" w:hanging="308"/>
      </w:pPr>
      <w:rPr>
        <w:rFonts w:hint="default"/>
        <w:lang w:val="zh-CN" w:eastAsia="zh-CN" w:bidi="zh-CN"/>
      </w:rPr>
    </w:lvl>
    <w:lvl w:ilvl="2" w:tentative="0">
      <w:start w:val="0"/>
      <w:numFmt w:val="bullet"/>
      <w:lvlText w:val="•"/>
      <w:lvlJc w:val="left"/>
      <w:pPr>
        <w:ind w:left="2161" w:hanging="308"/>
      </w:pPr>
      <w:rPr>
        <w:rFonts w:hint="default"/>
        <w:lang w:val="zh-CN" w:eastAsia="zh-CN" w:bidi="zh-CN"/>
      </w:rPr>
    </w:lvl>
    <w:lvl w:ilvl="3" w:tentative="0">
      <w:start w:val="0"/>
      <w:numFmt w:val="bullet"/>
      <w:lvlText w:val="•"/>
      <w:lvlJc w:val="left"/>
      <w:pPr>
        <w:ind w:left="3131" w:hanging="308"/>
      </w:pPr>
      <w:rPr>
        <w:rFonts w:hint="default"/>
        <w:lang w:val="zh-CN" w:eastAsia="zh-CN" w:bidi="zh-CN"/>
      </w:rPr>
    </w:lvl>
    <w:lvl w:ilvl="4" w:tentative="0">
      <w:start w:val="0"/>
      <w:numFmt w:val="bullet"/>
      <w:lvlText w:val="•"/>
      <w:lvlJc w:val="left"/>
      <w:pPr>
        <w:ind w:left="4102" w:hanging="308"/>
      </w:pPr>
      <w:rPr>
        <w:rFonts w:hint="default"/>
        <w:lang w:val="zh-CN" w:eastAsia="zh-CN" w:bidi="zh-CN"/>
      </w:rPr>
    </w:lvl>
    <w:lvl w:ilvl="5" w:tentative="0">
      <w:start w:val="0"/>
      <w:numFmt w:val="bullet"/>
      <w:lvlText w:val="•"/>
      <w:lvlJc w:val="left"/>
      <w:pPr>
        <w:ind w:left="5073" w:hanging="308"/>
      </w:pPr>
      <w:rPr>
        <w:rFonts w:hint="default"/>
        <w:lang w:val="zh-CN" w:eastAsia="zh-CN" w:bidi="zh-CN"/>
      </w:rPr>
    </w:lvl>
    <w:lvl w:ilvl="6" w:tentative="0">
      <w:start w:val="0"/>
      <w:numFmt w:val="bullet"/>
      <w:lvlText w:val="•"/>
      <w:lvlJc w:val="left"/>
      <w:pPr>
        <w:ind w:left="6043" w:hanging="308"/>
      </w:pPr>
      <w:rPr>
        <w:rFonts w:hint="default"/>
        <w:lang w:val="zh-CN" w:eastAsia="zh-CN" w:bidi="zh-CN"/>
      </w:rPr>
    </w:lvl>
    <w:lvl w:ilvl="7" w:tentative="0">
      <w:start w:val="0"/>
      <w:numFmt w:val="bullet"/>
      <w:lvlText w:val="•"/>
      <w:lvlJc w:val="left"/>
      <w:pPr>
        <w:ind w:left="7014" w:hanging="308"/>
      </w:pPr>
      <w:rPr>
        <w:rFonts w:hint="default"/>
        <w:lang w:val="zh-CN" w:eastAsia="zh-CN" w:bidi="zh-CN"/>
      </w:rPr>
    </w:lvl>
    <w:lvl w:ilvl="8" w:tentative="0">
      <w:start w:val="0"/>
      <w:numFmt w:val="bullet"/>
      <w:lvlText w:val="•"/>
      <w:lvlJc w:val="left"/>
      <w:pPr>
        <w:ind w:left="7985" w:hanging="308"/>
      </w:pPr>
      <w:rPr>
        <w:rFonts w:hint="default"/>
        <w:lang w:val="zh-CN" w:eastAsia="zh-CN" w:bidi="zh-CN"/>
      </w:rPr>
    </w:lvl>
  </w:abstractNum>
  <w:abstractNum w:abstractNumId="54">
    <w:nsid w:val="4D4DC07F"/>
    <w:multiLevelType w:val="multilevel"/>
    <w:tmpl w:val="4D4DC07F"/>
    <w:lvl w:ilvl="0" w:tentative="0">
      <w:start w:val="6"/>
      <w:numFmt w:val="decimal"/>
      <w:lvlText w:val="%1"/>
      <w:lvlJc w:val="left"/>
      <w:pPr>
        <w:ind w:left="223" w:hanging="723"/>
      </w:pPr>
      <w:rPr>
        <w:rFonts w:hint="default"/>
        <w:lang w:val="zh-CN" w:eastAsia="zh-CN" w:bidi="zh-CN"/>
      </w:rPr>
    </w:lvl>
    <w:lvl w:ilvl="1" w:tentative="0">
      <w:start w:val="3"/>
      <w:numFmt w:val="decimal"/>
      <w:lvlText w:val="%1.%2"/>
      <w:lvlJc w:val="left"/>
      <w:pPr>
        <w:ind w:left="223" w:hanging="723"/>
      </w:pPr>
      <w:rPr>
        <w:rFonts w:hint="default"/>
        <w:lang w:val="zh-CN" w:eastAsia="zh-CN" w:bidi="zh-CN"/>
      </w:rPr>
    </w:lvl>
    <w:lvl w:ilvl="2" w:tentative="0">
      <w:start w:val="5"/>
      <w:numFmt w:val="decimal"/>
      <w:lvlText w:val="%1.%2.%3"/>
      <w:lvlJc w:val="left"/>
      <w:pPr>
        <w:ind w:left="223" w:hanging="723"/>
      </w:pPr>
      <w:rPr>
        <w:rFonts w:hint="default" w:ascii="宋体" w:hAnsi="宋体" w:eastAsia="宋体" w:cs="宋体"/>
        <w:w w:val="100"/>
        <w:sz w:val="24"/>
        <w:szCs w:val="24"/>
        <w:lang w:val="zh-CN" w:eastAsia="zh-CN" w:bidi="zh-CN"/>
      </w:rPr>
    </w:lvl>
    <w:lvl w:ilvl="3" w:tentative="0">
      <w:start w:val="0"/>
      <w:numFmt w:val="bullet"/>
      <w:lvlText w:val="•"/>
      <w:lvlJc w:val="left"/>
      <w:pPr>
        <w:ind w:left="3131" w:hanging="723"/>
      </w:pPr>
      <w:rPr>
        <w:rFonts w:hint="default"/>
        <w:lang w:val="zh-CN" w:eastAsia="zh-CN" w:bidi="zh-CN"/>
      </w:rPr>
    </w:lvl>
    <w:lvl w:ilvl="4" w:tentative="0">
      <w:start w:val="0"/>
      <w:numFmt w:val="bullet"/>
      <w:lvlText w:val="•"/>
      <w:lvlJc w:val="left"/>
      <w:pPr>
        <w:ind w:left="4102" w:hanging="723"/>
      </w:pPr>
      <w:rPr>
        <w:rFonts w:hint="default"/>
        <w:lang w:val="zh-CN" w:eastAsia="zh-CN" w:bidi="zh-CN"/>
      </w:rPr>
    </w:lvl>
    <w:lvl w:ilvl="5" w:tentative="0">
      <w:start w:val="0"/>
      <w:numFmt w:val="bullet"/>
      <w:lvlText w:val="•"/>
      <w:lvlJc w:val="left"/>
      <w:pPr>
        <w:ind w:left="5073" w:hanging="723"/>
      </w:pPr>
      <w:rPr>
        <w:rFonts w:hint="default"/>
        <w:lang w:val="zh-CN" w:eastAsia="zh-CN" w:bidi="zh-CN"/>
      </w:rPr>
    </w:lvl>
    <w:lvl w:ilvl="6" w:tentative="0">
      <w:start w:val="0"/>
      <w:numFmt w:val="bullet"/>
      <w:lvlText w:val="•"/>
      <w:lvlJc w:val="left"/>
      <w:pPr>
        <w:ind w:left="6043" w:hanging="723"/>
      </w:pPr>
      <w:rPr>
        <w:rFonts w:hint="default"/>
        <w:lang w:val="zh-CN" w:eastAsia="zh-CN" w:bidi="zh-CN"/>
      </w:rPr>
    </w:lvl>
    <w:lvl w:ilvl="7" w:tentative="0">
      <w:start w:val="0"/>
      <w:numFmt w:val="bullet"/>
      <w:lvlText w:val="•"/>
      <w:lvlJc w:val="left"/>
      <w:pPr>
        <w:ind w:left="7014" w:hanging="723"/>
      </w:pPr>
      <w:rPr>
        <w:rFonts w:hint="default"/>
        <w:lang w:val="zh-CN" w:eastAsia="zh-CN" w:bidi="zh-CN"/>
      </w:rPr>
    </w:lvl>
    <w:lvl w:ilvl="8" w:tentative="0">
      <w:start w:val="0"/>
      <w:numFmt w:val="bullet"/>
      <w:lvlText w:val="•"/>
      <w:lvlJc w:val="left"/>
      <w:pPr>
        <w:ind w:left="7985" w:hanging="723"/>
      </w:pPr>
      <w:rPr>
        <w:rFonts w:hint="default"/>
        <w:lang w:val="zh-CN" w:eastAsia="zh-CN" w:bidi="zh-CN"/>
      </w:rPr>
    </w:lvl>
  </w:abstractNum>
  <w:abstractNum w:abstractNumId="55">
    <w:nsid w:val="4D94DA66"/>
    <w:multiLevelType w:val="multilevel"/>
    <w:tmpl w:val="4D94DA66"/>
    <w:lvl w:ilvl="0" w:tentative="0">
      <w:start w:val="1"/>
      <w:numFmt w:val="decimal"/>
      <w:lvlText w:val="（%1）"/>
      <w:lvlJc w:val="left"/>
      <w:pPr>
        <w:ind w:left="1216" w:hanging="622"/>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1092" w:hanging="372"/>
      </w:pPr>
      <w:rPr>
        <w:rFonts w:hint="default" w:ascii="Times New Roman" w:hAnsi="Times New Roman" w:eastAsia="Times New Roman" w:cs="Times New Roman"/>
        <w:spacing w:val="4"/>
        <w:w w:val="100"/>
        <w:sz w:val="22"/>
        <w:szCs w:val="22"/>
        <w:lang w:val="zh-CN" w:eastAsia="zh-CN" w:bidi="zh-CN"/>
      </w:rPr>
    </w:lvl>
    <w:lvl w:ilvl="2" w:tentative="0">
      <w:start w:val="0"/>
      <w:numFmt w:val="bullet"/>
      <w:lvlText w:val="•"/>
      <w:lvlJc w:val="left"/>
      <w:pPr>
        <w:ind w:left="2187" w:hanging="372"/>
      </w:pPr>
      <w:rPr>
        <w:rFonts w:hint="default"/>
        <w:lang w:val="zh-CN" w:eastAsia="zh-CN" w:bidi="zh-CN"/>
      </w:rPr>
    </w:lvl>
    <w:lvl w:ilvl="3" w:tentative="0">
      <w:start w:val="0"/>
      <w:numFmt w:val="bullet"/>
      <w:lvlText w:val="•"/>
      <w:lvlJc w:val="left"/>
      <w:pPr>
        <w:ind w:left="3154" w:hanging="372"/>
      </w:pPr>
      <w:rPr>
        <w:rFonts w:hint="default"/>
        <w:lang w:val="zh-CN" w:eastAsia="zh-CN" w:bidi="zh-CN"/>
      </w:rPr>
    </w:lvl>
    <w:lvl w:ilvl="4" w:tentative="0">
      <w:start w:val="0"/>
      <w:numFmt w:val="bullet"/>
      <w:lvlText w:val="•"/>
      <w:lvlJc w:val="left"/>
      <w:pPr>
        <w:ind w:left="4122" w:hanging="372"/>
      </w:pPr>
      <w:rPr>
        <w:rFonts w:hint="default"/>
        <w:lang w:val="zh-CN" w:eastAsia="zh-CN" w:bidi="zh-CN"/>
      </w:rPr>
    </w:lvl>
    <w:lvl w:ilvl="5" w:tentative="0">
      <w:start w:val="0"/>
      <w:numFmt w:val="bullet"/>
      <w:lvlText w:val="•"/>
      <w:lvlJc w:val="left"/>
      <w:pPr>
        <w:ind w:left="5089" w:hanging="372"/>
      </w:pPr>
      <w:rPr>
        <w:rFonts w:hint="default"/>
        <w:lang w:val="zh-CN" w:eastAsia="zh-CN" w:bidi="zh-CN"/>
      </w:rPr>
    </w:lvl>
    <w:lvl w:ilvl="6" w:tentative="0">
      <w:start w:val="0"/>
      <w:numFmt w:val="bullet"/>
      <w:lvlText w:val="•"/>
      <w:lvlJc w:val="left"/>
      <w:pPr>
        <w:ind w:left="6056" w:hanging="372"/>
      </w:pPr>
      <w:rPr>
        <w:rFonts w:hint="default"/>
        <w:lang w:val="zh-CN" w:eastAsia="zh-CN" w:bidi="zh-CN"/>
      </w:rPr>
    </w:lvl>
    <w:lvl w:ilvl="7" w:tentative="0">
      <w:start w:val="0"/>
      <w:numFmt w:val="bullet"/>
      <w:lvlText w:val="•"/>
      <w:lvlJc w:val="left"/>
      <w:pPr>
        <w:ind w:left="7024" w:hanging="372"/>
      </w:pPr>
      <w:rPr>
        <w:rFonts w:hint="default"/>
        <w:lang w:val="zh-CN" w:eastAsia="zh-CN" w:bidi="zh-CN"/>
      </w:rPr>
    </w:lvl>
    <w:lvl w:ilvl="8" w:tentative="0">
      <w:start w:val="0"/>
      <w:numFmt w:val="bullet"/>
      <w:lvlText w:val="•"/>
      <w:lvlJc w:val="left"/>
      <w:pPr>
        <w:ind w:left="7991" w:hanging="372"/>
      </w:pPr>
      <w:rPr>
        <w:rFonts w:hint="default"/>
        <w:lang w:val="zh-CN" w:eastAsia="zh-CN" w:bidi="zh-CN"/>
      </w:rPr>
    </w:lvl>
  </w:abstractNum>
  <w:abstractNum w:abstractNumId="56">
    <w:nsid w:val="50AB0E18"/>
    <w:multiLevelType w:val="singleLevel"/>
    <w:tmpl w:val="50AB0E18"/>
    <w:lvl w:ilvl="0" w:tentative="0">
      <w:start w:val="4"/>
      <w:numFmt w:val="chineseCounting"/>
      <w:suff w:val="space"/>
      <w:lvlText w:val="第%1部分"/>
      <w:lvlJc w:val="left"/>
      <w:rPr>
        <w:rFonts w:hint="eastAsia"/>
      </w:rPr>
    </w:lvl>
  </w:abstractNum>
  <w:abstractNum w:abstractNumId="57">
    <w:nsid w:val="58765686"/>
    <w:multiLevelType w:val="multilevel"/>
    <w:tmpl w:val="58765686"/>
    <w:lvl w:ilvl="0" w:tentative="0">
      <w:start w:val="1"/>
      <w:numFmt w:val="decimal"/>
      <w:lvlText w:val="（%1）"/>
      <w:lvlJc w:val="left"/>
      <w:pPr>
        <w:ind w:left="223" w:hanging="624"/>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1092" w:hanging="372"/>
      </w:pPr>
      <w:rPr>
        <w:rFonts w:hint="default" w:ascii="Times New Roman" w:hAnsi="Times New Roman" w:eastAsia="Times New Roman" w:cs="Times New Roman"/>
        <w:spacing w:val="4"/>
        <w:w w:val="100"/>
        <w:sz w:val="22"/>
        <w:szCs w:val="22"/>
        <w:lang w:val="zh-CN" w:eastAsia="zh-CN" w:bidi="zh-CN"/>
      </w:rPr>
    </w:lvl>
    <w:lvl w:ilvl="2" w:tentative="0">
      <w:start w:val="0"/>
      <w:numFmt w:val="bullet"/>
      <w:lvlText w:val="•"/>
      <w:lvlJc w:val="left"/>
      <w:pPr>
        <w:ind w:left="2080" w:hanging="372"/>
      </w:pPr>
      <w:rPr>
        <w:rFonts w:hint="default"/>
        <w:lang w:val="zh-CN" w:eastAsia="zh-CN" w:bidi="zh-CN"/>
      </w:rPr>
    </w:lvl>
    <w:lvl w:ilvl="3" w:tentative="0">
      <w:start w:val="0"/>
      <w:numFmt w:val="bullet"/>
      <w:lvlText w:val="•"/>
      <w:lvlJc w:val="left"/>
      <w:pPr>
        <w:ind w:left="3061" w:hanging="372"/>
      </w:pPr>
      <w:rPr>
        <w:rFonts w:hint="default"/>
        <w:lang w:val="zh-CN" w:eastAsia="zh-CN" w:bidi="zh-CN"/>
      </w:rPr>
    </w:lvl>
    <w:lvl w:ilvl="4" w:tentative="0">
      <w:start w:val="0"/>
      <w:numFmt w:val="bullet"/>
      <w:lvlText w:val="•"/>
      <w:lvlJc w:val="left"/>
      <w:pPr>
        <w:ind w:left="4042" w:hanging="372"/>
      </w:pPr>
      <w:rPr>
        <w:rFonts w:hint="default"/>
        <w:lang w:val="zh-CN" w:eastAsia="zh-CN" w:bidi="zh-CN"/>
      </w:rPr>
    </w:lvl>
    <w:lvl w:ilvl="5" w:tentative="0">
      <w:start w:val="0"/>
      <w:numFmt w:val="bullet"/>
      <w:lvlText w:val="•"/>
      <w:lvlJc w:val="left"/>
      <w:pPr>
        <w:ind w:left="5022" w:hanging="372"/>
      </w:pPr>
      <w:rPr>
        <w:rFonts w:hint="default"/>
        <w:lang w:val="zh-CN" w:eastAsia="zh-CN" w:bidi="zh-CN"/>
      </w:rPr>
    </w:lvl>
    <w:lvl w:ilvl="6" w:tentative="0">
      <w:start w:val="0"/>
      <w:numFmt w:val="bullet"/>
      <w:lvlText w:val="•"/>
      <w:lvlJc w:val="left"/>
      <w:pPr>
        <w:ind w:left="6003" w:hanging="372"/>
      </w:pPr>
      <w:rPr>
        <w:rFonts w:hint="default"/>
        <w:lang w:val="zh-CN" w:eastAsia="zh-CN" w:bidi="zh-CN"/>
      </w:rPr>
    </w:lvl>
    <w:lvl w:ilvl="7" w:tentative="0">
      <w:start w:val="0"/>
      <w:numFmt w:val="bullet"/>
      <w:lvlText w:val="•"/>
      <w:lvlJc w:val="left"/>
      <w:pPr>
        <w:ind w:left="6984" w:hanging="372"/>
      </w:pPr>
      <w:rPr>
        <w:rFonts w:hint="default"/>
        <w:lang w:val="zh-CN" w:eastAsia="zh-CN" w:bidi="zh-CN"/>
      </w:rPr>
    </w:lvl>
    <w:lvl w:ilvl="8" w:tentative="0">
      <w:start w:val="0"/>
      <w:numFmt w:val="bullet"/>
      <w:lvlText w:val="•"/>
      <w:lvlJc w:val="left"/>
      <w:pPr>
        <w:ind w:left="7964" w:hanging="372"/>
      </w:pPr>
      <w:rPr>
        <w:rFonts w:hint="default"/>
        <w:lang w:val="zh-CN" w:eastAsia="zh-CN" w:bidi="zh-CN"/>
      </w:rPr>
    </w:lvl>
  </w:abstractNum>
  <w:abstractNum w:abstractNumId="58">
    <w:nsid w:val="59ADCABA"/>
    <w:multiLevelType w:val="multilevel"/>
    <w:tmpl w:val="59ADCABA"/>
    <w:lvl w:ilvl="0" w:tentative="0">
      <w:start w:val="1"/>
      <w:numFmt w:val="decimal"/>
      <w:lvlText w:val="（%1）"/>
      <w:lvlJc w:val="left"/>
      <w:pPr>
        <w:ind w:left="223" w:hanging="608"/>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90" w:hanging="608"/>
      </w:pPr>
      <w:rPr>
        <w:rFonts w:hint="default"/>
        <w:lang w:val="zh-CN" w:eastAsia="zh-CN" w:bidi="zh-CN"/>
      </w:rPr>
    </w:lvl>
    <w:lvl w:ilvl="2" w:tentative="0">
      <w:start w:val="0"/>
      <w:numFmt w:val="bullet"/>
      <w:lvlText w:val="•"/>
      <w:lvlJc w:val="left"/>
      <w:pPr>
        <w:ind w:left="2161" w:hanging="608"/>
      </w:pPr>
      <w:rPr>
        <w:rFonts w:hint="default"/>
        <w:lang w:val="zh-CN" w:eastAsia="zh-CN" w:bidi="zh-CN"/>
      </w:rPr>
    </w:lvl>
    <w:lvl w:ilvl="3" w:tentative="0">
      <w:start w:val="0"/>
      <w:numFmt w:val="bullet"/>
      <w:lvlText w:val="•"/>
      <w:lvlJc w:val="left"/>
      <w:pPr>
        <w:ind w:left="3131" w:hanging="608"/>
      </w:pPr>
      <w:rPr>
        <w:rFonts w:hint="default"/>
        <w:lang w:val="zh-CN" w:eastAsia="zh-CN" w:bidi="zh-CN"/>
      </w:rPr>
    </w:lvl>
    <w:lvl w:ilvl="4" w:tentative="0">
      <w:start w:val="0"/>
      <w:numFmt w:val="bullet"/>
      <w:lvlText w:val="•"/>
      <w:lvlJc w:val="left"/>
      <w:pPr>
        <w:ind w:left="4102" w:hanging="608"/>
      </w:pPr>
      <w:rPr>
        <w:rFonts w:hint="default"/>
        <w:lang w:val="zh-CN" w:eastAsia="zh-CN" w:bidi="zh-CN"/>
      </w:rPr>
    </w:lvl>
    <w:lvl w:ilvl="5" w:tentative="0">
      <w:start w:val="0"/>
      <w:numFmt w:val="bullet"/>
      <w:lvlText w:val="•"/>
      <w:lvlJc w:val="left"/>
      <w:pPr>
        <w:ind w:left="5073" w:hanging="608"/>
      </w:pPr>
      <w:rPr>
        <w:rFonts w:hint="default"/>
        <w:lang w:val="zh-CN" w:eastAsia="zh-CN" w:bidi="zh-CN"/>
      </w:rPr>
    </w:lvl>
    <w:lvl w:ilvl="6" w:tentative="0">
      <w:start w:val="0"/>
      <w:numFmt w:val="bullet"/>
      <w:lvlText w:val="•"/>
      <w:lvlJc w:val="left"/>
      <w:pPr>
        <w:ind w:left="6043" w:hanging="608"/>
      </w:pPr>
      <w:rPr>
        <w:rFonts w:hint="default"/>
        <w:lang w:val="zh-CN" w:eastAsia="zh-CN" w:bidi="zh-CN"/>
      </w:rPr>
    </w:lvl>
    <w:lvl w:ilvl="7" w:tentative="0">
      <w:start w:val="0"/>
      <w:numFmt w:val="bullet"/>
      <w:lvlText w:val="•"/>
      <w:lvlJc w:val="left"/>
      <w:pPr>
        <w:ind w:left="7014" w:hanging="608"/>
      </w:pPr>
      <w:rPr>
        <w:rFonts w:hint="default"/>
        <w:lang w:val="zh-CN" w:eastAsia="zh-CN" w:bidi="zh-CN"/>
      </w:rPr>
    </w:lvl>
    <w:lvl w:ilvl="8" w:tentative="0">
      <w:start w:val="0"/>
      <w:numFmt w:val="bullet"/>
      <w:lvlText w:val="•"/>
      <w:lvlJc w:val="left"/>
      <w:pPr>
        <w:ind w:left="7985" w:hanging="608"/>
      </w:pPr>
      <w:rPr>
        <w:rFonts w:hint="default"/>
        <w:lang w:val="zh-CN" w:eastAsia="zh-CN" w:bidi="zh-CN"/>
      </w:rPr>
    </w:lvl>
  </w:abstractNum>
  <w:abstractNum w:abstractNumId="59">
    <w:nsid w:val="59EEFD2A"/>
    <w:multiLevelType w:val="multilevel"/>
    <w:tmpl w:val="59EEFD2A"/>
    <w:lvl w:ilvl="0" w:tentative="0">
      <w:start w:val="1"/>
      <w:numFmt w:val="decimal"/>
      <w:lvlText w:val="（%1）"/>
      <w:lvlJc w:val="left"/>
      <w:pPr>
        <w:ind w:left="223" w:hanging="608"/>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1064" w:hanging="361"/>
      </w:pPr>
      <w:rPr>
        <w:rFonts w:hint="default" w:ascii="宋体" w:hAnsi="宋体" w:eastAsia="宋体" w:cs="宋体"/>
        <w:w w:val="100"/>
        <w:sz w:val="22"/>
        <w:szCs w:val="22"/>
        <w:lang w:val="zh-CN" w:eastAsia="zh-CN" w:bidi="zh-CN"/>
      </w:rPr>
    </w:lvl>
    <w:lvl w:ilvl="2" w:tentative="0">
      <w:start w:val="0"/>
      <w:numFmt w:val="bullet"/>
      <w:lvlText w:val="•"/>
      <w:lvlJc w:val="left"/>
      <w:pPr>
        <w:ind w:left="2045" w:hanging="361"/>
      </w:pPr>
      <w:rPr>
        <w:rFonts w:hint="default"/>
        <w:lang w:val="zh-CN" w:eastAsia="zh-CN" w:bidi="zh-CN"/>
      </w:rPr>
    </w:lvl>
    <w:lvl w:ilvl="3" w:tentative="0">
      <w:start w:val="0"/>
      <w:numFmt w:val="bullet"/>
      <w:lvlText w:val="•"/>
      <w:lvlJc w:val="left"/>
      <w:pPr>
        <w:ind w:left="3030" w:hanging="361"/>
      </w:pPr>
      <w:rPr>
        <w:rFonts w:hint="default"/>
        <w:lang w:val="zh-CN" w:eastAsia="zh-CN" w:bidi="zh-CN"/>
      </w:rPr>
    </w:lvl>
    <w:lvl w:ilvl="4" w:tentative="0">
      <w:start w:val="0"/>
      <w:numFmt w:val="bullet"/>
      <w:lvlText w:val="•"/>
      <w:lvlJc w:val="left"/>
      <w:pPr>
        <w:ind w:left="4015" w:hanging="361"/>
      </w:pPr>
      <w:rPr>
        <w:rFonts w:hint="default"/>
        <w:lang w:val="zh-CN" w:eastAsia="zh-CN" w:bidi="zh-CN"/>
      </w:rPr>
    </w:lvl>
    <w:lvl w:ilvl="5" w:tentative="0">
      <w:start w:val="0"/>
      <w:numFmt w:val="bullet"/>
      <w:lvlText w:val="•"/>
      <w:lvlJc w:val="left"/>
      <w:pPr>
        <w:ind w:left="5000" w:hanging="361"/>
      </w:pPr>
      <w:rPr>
        <w:rFonts w:hint="default"/>
        <w:lang w:val="zh-CN" w:eastAsia="zh-CN" w:bidi="zh-CN"/>
      </w:rPr>
    </w:lvl>
    <w:lvl w:ilvl="6" w:tentative="0">
      <w:start w:val="0"/>
      <w:numFmt w:val="bullet"/>
      <w:lvlText w:val="•"/>
      <w:lvlJc w:val="left"/>
      <w:pPr>
        <w:ind w:left="5985" w:hanging="361"/>
      </w:pPr>
      <w:rPr>
        <w:rFonts w:hint="default"/>
        <w:lang w:val="zh-CN" w:eastAsia="zh-CN" w:bidi="zh-CN"/>
      </w:rPr>
    </w:lvl>
    <w:lvl w:ilvl="7" w:tentative="0">
      <w:start w:val="0"/>
      <w:numFmt w:val="bullet"/>
      <w:lvlText w:val="•"/>
      <w:lvlJc w:val="left"/>
      <w:pPr>
        <w:ind w:left="6970" w:hanging="361"/>
      </w:pPr>
      <w:rPr>
        <w:rFonts w:hint="default"/>
        <w:lang w:val="zh-CN" w:eastAsia="zh-CN" w:bidi="zh-CN"/>
      </w:rPr>
    </w:lvl>
    <w:lvl w:ilvl="8" w:tentative="0">
      <w:start w:val="0"/>
      <w:numFmt w:val="bullet"/>
      <w:lvlText w:val="•"/>
      <w:lvlJc w:val="left"/>
      <w:pPr>
        <w:ind w:left="7956" w:hanging="361"/>
      </w:pPr>
      <w:rPr>
        <w:rFonts w:hint="default"/>
        <w:lang w:val="zh-CN" w:eastAsia="zh-CN" w:bidi="zh-CN"/>
      </w:rPr>
    </w:lvl>
  </w:abstractNum>
  <w:abstractNum w:abstractNumId="60">
    <w:nsid w:val="5A241D34"/>
    <w:multiLevelType w:val="multilevel"/>
    <w:tmpl w:val="5A241D34"/>
    <w:lvl w:ilvl="0" w:tentative="0">
      <w:start w:val="1"/>
      <w:numFmt w:val="decimal"/>
      <w:lvlText w:val="（%1）"/>
      <w:lvlJc w:val="left"/>
      <w:pPr>
        <w:ind w:left="223" w:hanging="601"/>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190" w:hanging="601"/>
      </w:pPr>
      <w:rPr>
        <w:rFonts w:hint="default"/>
        <w:lang w:val="zh-CN" w:eastAsia="zh-CN" w:bidi="zh-CN"/>
      </w:rPr>
    </w:lvl>
    <w:lvl w:ilvl="2" w:tentative="0">
      <w:start w:val="0"/>
      <w:numFmt w:val="bullet"/>
      <w:lvlText w:val="•"/>
      <w:lvlJc w:val="left"/>
      <w:pPr>
        <w:ind w:left="2161" w:hanging="601"/>
      </w:pPr>
      <w:rPr>
        <w:rFonts w:hint="default"/>
        <w:lang w:val="zh-CN" w:eastAsia="zh-CN" w:bidi="zh-CN"/>
      </w:rPr>
    </w:lvl>
    <w:lvl w:ilvl="3" w:tentative="0">
      <w:start w:val="0"/>
      <w:numFmt w:val="bullet"/>
      <w:lvlText w:val="•"/>
      <w:lvlJc w:val="left"/>
      <w:pPr>
        <w:ind w:left="3131" w:hanging="601"/>
      </w:pPr>
      <w:rPr>
        <w:rFonts w:hint="default"/>
        <w:lang w:val="zh-CN" w:eastAsia="zh-CN" w:bidi="zh-CN"/>
      </w:rPr>
    </w:lvl>
    <w:lvl w:ilvl="4" w:tentative="0">
      <w:start w:val="0"/>
      <w:numFmt w:val="bullet"/>
      <w:lvlText w:val="•"/>
      <w:lvlJc w:val="left"/>
      <w:pPr>
        <w:ind w:left="4102"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6043" w:hanging="601"/>
      </w:pPr>
      <w:rPr>
        <w:rFonts w:hint="default"/>
        <w:lang w:val="zh-CN" w:eastAsia="zh-CN" w:bidi="zh-CN"/>
      </w:rPr>
    </w:lvl>
    <w:lvl w:ilvl="7" w:tentative="0">
      <w:start w:val="0"/>
      <w:numFmt w:val="bullet"/>
      <w:lvlText w:val="•"/>
      <w:lvlJc w:val="left"/>
      <w:pPr>
        <w:ind w:left="7014" w:hanging="601"/>
      </w:pPr>
      <w:rPr>
        <w:rFonts w:hint="default"/>
        <w:lang w:val="zh-CN" w:eastAsia="zh-CN" w:bidi="zh-CN"/>
      </w:rPr>
    </w:lvl>
    <w:lvl w:ilvl="8" w:tentative="0">
      <w:start w:val="0"/>
      <w:numFmt w:val="bullet"/>
      <w:lvlText w:val="•"/>
      <w:lvlJc w:val="left"/>
      <w:pPr>
        <w:ind w:left="7985" w:hanging="601"/>
      </w:pPr>
      <w:rPr>
        <w:rFonts w:hint="default"/>
        <w:lang w:val="zh-CN" w:eastAsia="zh-CN" w:bidi="zh-CN"/>
      </w:rPr>
    </w:lvl>
  </w:abstractNum>
  <w:abstractNum w:abstractNumId="61">
    <w:nsid w:val="5E29AB5A"/>
    <w:multiLevelType w:val="multilevel"/>
    <w:tmpl w:val="5E29AB5A"/>
    <w:lvl w:ilvl="0" w:tentative="0">
      <w:start w:val="1"/>
      <w:numFmt w:val="decimal"/>
      <w:lvlText w:val="%1）"/>
      <w:lvlJc w:val="left"/>
      <w:pPr>
        <w:ind w:left="223" w:hanging="372"/>
      </w:pPr>
      <w:rPr>
        <w:rFonts w:hint="default" w:ascii="Times New Roman" w:hAnsi="Times New Roman" w:eastAsia="Times New Roman" w:cs="Times New Roman"/>
        <w:spacing w:val="4"/>
        <w:w w:val="100"/>
        <w:sz w:val="22"/>
        <w:szCs w:val="22"/>
        <w:lang w:val="zh-CN" w:eastAsia="zh-CN" w:bidi="zh-CN"/>
      </w:rPr>
    </w:lvl>
    <w:lvl w:ilvl="1" w:tentative="0">
      <w:start w:val="0"/>
      <w:numFmt w:val="bullet"/>
      <w:lvlText w:val="•"/>
      <w:lvlJc w:val="left"/>
      <w:pPr>
        <w:ind w:left="1190" w:hanging="372"/>
      </w:pPr>
      <w:rPr>
        <w:rFonts w:hint="default"/>
        <w:lang w:val="zh-CN" w:eastAsia="zh-CN" w:bidi="zh-CN"/>
      </w:rPr>
    </w:lvl>
    <w:lvl w:ilvl="2" w:tentative="0">
      <w:start w:val="0"/>
      <w:numFmt w:val="bullet"/>
      <w:lvlText w:val="•"/>
      <w:lvlJc w:val="left"/>
      <w:pPr>
        <w:ind w:left="2161" w:hanging="372"/>
      </w:pPr>
      <w:rPr>
        <w:rFonts w:hint="default"/>
        <w:lang w:val="zh-CN" w:eastAsia="zh-CN" w:bidi="zh-CN"/>
      </w:rPr>
    </w:lvl>
    <w:lvl w:ilvl="3" w:tentative="0">
      <w:start w:val="0"/>
      <w:numFmt w:val="bullet"/>
      <w:lvlText w:val="•"/>
      <w:lvlJc w:val="left"/>
      <w:pPr>
        <w:ind w:left="3131" w:hanging="372"/>
      </w:pPr>
      <w:rPr>
        <w:rFonts w:hint="default"/>
        <w:lang w:val="zh-CN" w:eastAsia="zh-CN" w:bidi="zh-CN"/>
      </w:rPr>
    </w:lvl>
    <w:lvl w:ilvl="4" w:tentative="0">
      <w:start w:val="0"/>
      <w:numFmt w:val="bullet"/>
      <w:lvlText w:val="•"/>
      <w:lvlJc w:val="left"/>
      <w:pPr>
        <w:ind w:left="4102" w:hanging="372"/>
      </w:pPr>
      <w:rPr>
        <w:rFonts w:hint="default"/>
        <w:lang w:val="zh-CN" w:eastAsia="zh-CN" w:bidi="zh-CN"/>
      </w:rPr>
    </w:lvl>
    <w:lvl w:ilvl="5" w:tentative="0">
      <w:start w:val="0"/>
      <w:numFmt w:val="bullet"/>
      <w:lvlText w:val="•"/>
      <w:lvlJc w:val="left"/>
      <w:pPr>
        <w:ind w:left="5073" w:hanging="372"/>
      </w:pPr>
      <w:rPr>
        <w:rFonts w:hint="default"/>
        <w:lang w:val="zh-CN" w:eastAsia="zh-CN" w:bidi="zh-CN"/>
      </w:rPr>
    </w:lvl>
    <w:lvl w:ilvl="6" w:tentative="0">
      <w:start w:val="0"/>
      <w:numFmt w:val="bullet"/>
      <w:lvlText w:val="•"/>
      <w:lvlJc w:val="left"/>
      <w:pPr>
        <w:ind w:left="6043" w:hanging="372"/>
      </w:pPr>
      <w:rPr>
        <w:rFonts w:hint="default"/>
        <w:lang w:val="zh-CN" w:eastAsia="zh-CN" w:bidi="zh-CN"/>
      </w:rPr>
    </w:lvl>
    <w:lvl w:ilvl="7" w:tentative="0">
      <w:start w:val="0"/>
      <w:numFmt w:val="bullet"/>
      <w:lvlText w:val="•"/>
      <w:lvlJc w:val="left"/>
      <w:pPr>
        <w:ind w:left="7014" w:hanging="372"/>
      </w:pPr>
      <w:rPr>
        <w:rFonts w:hint="default"/>
        <w:lang w:val="zh-CN" w:eastAsia="zh-CN" w:bidi="zh-CN"/>
      </w:rPr>
    </w:lvl>
    <w:lvl w:ilvl="8" w:tentative="0">
      <w:start w:val="0"/>
      <w:numFmt w:val="bullet"/>
      <w:lvlText w:val="•"/>
      <w:lvlJc w:val="left"/>
      <w:pPr>
        <w:ind w:left="7985" w:hanging="372"/>
      </w:pPr>
      <w:rPr>
        <w:rFonts w:hint="default"/>
        <w:lang w:val="zh-CN" w:eastAsia="zh-CN" w:bidi="zh-CN"/>
      </w:rPr>
    </w:lvl>
  </w:abstractNum>
  <w:abstractNum w:abstractNumId="62">
    <w:nsid w:val="60382F6E"/>
    <w:multiLevelType w:val="multilevel"/>
    <w:tmpl w:val="60382F6E"/>
    <w:lvl w:ilvl="0" w:tentative="0">
      <w:start w:val="1"/>
      <w:numFmt w:val="decimal"/>
      <w:lvlText w:val="（%1）"/>
      <w:lvlJc w:val="left"/>
      <w:pPr>
        <w:ind w:left="223" w:hanging="624"/>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1092" w:hanging="372"/>
      </w:pPr>
      <w:rPr>
        <w:rFonts w:hint="default" w:ascii="Times New Roman" w:hAnsi="Times New Roman" w:eastAsia="Times New Roman" w:cs="Times New Roman"/>
        <w:spacing w:val="4"/>
        <w:w w:val="100"/>
        <w:sz w:val="22"/>
        <w:szCs w:val="22"/>
        <w:lang w:val="zh-CN" w:eastAsia="zh-CN" w:bidi="zh-CN"/>
      </w:rPr>
    </w:lvl>
    <w:lvl w:ilvl="2" w:tentative="0">
      <w:start w:val="0"/>
      <w:numFmt w:val="bullet"/>
      <w:lvlText w:val="•"/>
      <w:lvlJc w:val="left"/>
      <w:pPr>
        <w:ind w:left="2080" w:hanging="372"/>
      </w:pPr>
      <w:rPr>
        <w:rFonts w:hint="default"/>
        <w:lang w:val="zh-CN" w:eastAsia="zh-CN" w:bidi="zh-CN"/>
      </w:rPr>
    </w:lvl>
    <w:lvl w:ilvl="3" w:tentative="0">
      <w:start w:val="0"/>
      <w:numFmt w:val="bullet"/>
      <w:lvlText w:val="•"/>
      <w:lvlJc w:val="left"/>
      <w:pPr>
        <w:ind w:left="3061" w:hanging="372"/>
      </w:pPr>
      <w:rPr>
        <w:rFonts w:hint="default"/>
        <w:lang w:val="zh-CN" w:eastAsia="zh-CN" w:bidi="zh-CN"/>
      </w:rPr>
    </w:lvl>
    <w:lvl w:ilvl="4" w:tentative="0">
      <w:start w:val="0"/>
      <w:numFmt w:val="bullet"/>
      <w:lvlText w:val="•"/>
      <w:lvlJc w:val="left"/>
      <w:pPr>
        <w:ind w:left="4042" w:hanging="372"/>
      </w:pPr>
      <w:rPr>
        <w:rFonts w:hint="default"/>
        <w:lang w:val="zh-CN" w:eastAsia="zh-CN" w:bidi="zh-CN"/>
      </w:rPr>
    </w:lvl>
    <w:lvl w:ilvl="5" w:tentative="0">
      <w:start w:val="0"/>
      <w:numFmt w:val="bullet"/>
      <w:lvlText w:val="•"/>
      <w:lvlJc w:val="left"/>
      <w:pPr>
        <w:ind w:left="5022" w:hanging="372"/>
      </w:pPr>
      <w:rPr>
        <w:rFonts w:hint="default"/>
        <w:lang w:val="zh-CN" w:eastAsia="zh-CN" w:bidi="zh-CN"/>
      </w:rPr>
    </w:lvl>
    <w:lvl w:ilvl="6" w:tentative="0">
      <w:start w:val="0"/>
      <w:numFmt w:val="bullet"/>
      <w:lvlText w:val="•"/>
      <w:lvlJc w:val="left"/>
      <w:pPr>
        <w:ind w:left="6003" w:hanging="372"/>
      </w:pPr>
      <w:rPr>
        <w:rFonts w:hint="default"/>
        <w:lang w:val="zh-CN" w:eastAsia="zh-CN" w:bidi="zh-CN"/>
      </w:rPr>
    </w:lvl>
    <w:lvl w:ilvl="7" w:tentative="0">
      <w:start w:val="0"/>
      <w:numFmt w:val="bullet"/>
      <w:lvlText w:val="•"/>
      <w:lvlJc w:val="left"/>
      <w:pPr>
        <w:ind w:left="6984" w:hanging="372"/>
      </w:pPr>
      <w:rPr>
        <w:rFonts w:hint="default"/>
        <w:lang w:val="zh-CN" w:eastAsia="zh-CN" w:bidi="zh-CN"/>
      </w:rPr>
    </w:lvl>
    <w:lvl w:ilvl="8" w:tentative="0">
      <w:start w:val="0"/>
      <w:numFmt w:val="bullet"/>
      <w:lvlText w:val="•"/>
      <w:lvlJc w:val="left"/>
      <w:pPr>
        <w:ind w:left="7964" w:hanging="372"/>
      </w:pPr>
      <w:rPr>
        <w:rFonts w:hint="default"/>
        <w:lang w:val="zh-CN" w:eastAsia="zh-CN" w:bidi="zh-CN"/>
      </w:rPr>
    </w:lvl>
  </w:abstractNum>
  <w:abstractNum w:abstractNumId="63">
    <w:nsid w:val="629F7852"/>
    <w:multiLevelType w:val="multilevel"/>
    <w:tmpl w:val="629F7852"/>
    <w:lvl w:ilvl="0" w:tentative="0">
      <w:start w:val="1"/>
      <w:numFmt w:val="decimal"/>
      <w:lvlText w:val="%1）"/>
      <w:lvlJc w:val="left"/>
      <w:pPr>
        <w:ind w:left="223" w:hanging="366"/>
      </w:pPr>
      <w:rPr>
        <w:rFonts w:hint="default" w:ascii="Times New Roman" w:hAnsi="Times New Roman" w:eastAsia="Times New Roman" w:cs="Times New Roman"/>
        <w:spacing w:val="-20"/>
        <w:w w:val="100"/>
        <w:sz w:val="22"/>
        <w:szCs w:val="22"/>
        <w:lang w:val="zh-CN" w:eastAsia="zh-CN" w:bidi="zh-CN"/>
      </w:rPr>
    </w:lvl>
    <w:lvl w:ilvl="1" w:tentative="0">
      <w:start w:val="0"/>
      <w:numFmt w:val="bullet"/>
      <w:lvlText w:val="•"/>
      <w:lvlJc w:val="left"/>
      <w:pPr>
        <w:ind w:left="1190" w:hanging="366"/>
      </w:pPr>
      <w:rPr>
        <w:rFonts w:hint="default"/>
        <w:lang w:val="zh-CN" w:eastAsia="zh-CN" w:bidi="zh-CN"/>
      </w:rPr>
    </w:lvl>
    <w:lvl w:ilvl="2" w:tentative="0">
      <w:start w:val="0"/>
      <w:numFmt w:val="bullet"/>
      <w:lvlText w:val="•"/>
      <w:lvlJc w:val="left"/>
      <w:pPr>
        <w:ind w:left="2161" w:hanging="366"/>
      </w:pPr>
      <w:rPr>
        <w:rFonts w:hint="default"/>
        <w:lang w:val="zh-CN" w:eastAsia="zh-CN" w:bidi="zh-CN"/>
      </w:rPr>
    </w:lvl>
    <w:lvl w:ilvl="3" w:tentative="0">
      <w:start w:val="0"/>
      <w:numFmt w:val="bullet"/>
      <w:lvlText w:val="•"/>
      <w:lvlJc w:val="left"/>
      <w:pPr>
        <w:ind w:left="3131" w:hanging="366"/>
      </w:pPr>
      <w:rPr>
        <w:rFonts w:hint="default"/>
        <w:lang w:val="zh-CN" w:eastAsia="zh-CN" w:bidi="zh-CN"/>
      </w:rPr>
    </w:lvl>
    <w:lvl w:ilvl="4" w:tentative="0">
      <w:start w:val="0"/>
      <w:numFmt w:val="bullet"/>
      <w:lvlText w:val="•"/>
      <w:lvlJc w:val="left"/>
      <w:pPr>
        <w:ind w:left="4102" w:hanging="366"/>
      </w:pPr>
      <w:rPr>
        <w:rFonts w:hint="default"/>
        <w:lang w:val="zh-CN" w:eastAsia="zh-CN" w:bidi="zh-CN"/>
      </w:rPr>
    </w:lvl>
    <w:lvl w:ilvl="5" w:tentative="0">
      <w:start w:val="0"/>
      <w:numFmt w:val="bullet"/>
      <w:lvlText w:val="•"/>
      <w:lvlJc w:val="left"/>
      <w:pPr>
        <w:ind w:left="5073" w:hanging="366"/>
      </w:pPr>
      <w:rPr>
        <w:rFonts w:hint="default"/>
        <w:lang w:val="zh-CN" w:eastAsia="zh-CN" w:bidi="zh-CN"/>
      </w:rPr>
    </w:lvl>
    <w:lvl w:ilvl="6" w:tentative="0">
      <w:start w:val="0"/>
      <w:numFmt w:val="bullet"/>
      <w:lvlText w:val="•"/>
      <w:lvlJc w:val="left"/>
      <w:pPr>
        <w:ind w:left="6043" w:hanging="366"/>
      </w:pPr>
      <w:rPr>
        <w:rFonts w:hint="default"/>
        <w:lang w:val="zh-CN" w:eastAsia="zh-CN" w:bidi="zh-CN"/>
      </w:rPr>
    </w:lvl>
    <w:lvl w:ilvl="7" w:tentative="0">
      <w:start w:val="0"/>
      <w:numFmt w:val="bullet"/>
      <w:lvlText w:val="•"/>
      <w:lvlJc w:val="left"/>
      <w:pPr>
        <w:ind w:left="7014" w:hanging="366"/>
      </w:pPr>
      <w:rPr>
        <w:rFonts w:hint="default"/>
        <w:lang w:val="zh-CN" w:eastAsia="zh-CN" w:bidi="zh-CN"/>
      </w:rPr>
    </w:lvl>
    <w:lvl w:ilvl="8" w:tentative="0">
      <w:start w:val="0"/>
      <w:numFmt w:val="bullet"/>
      <w:lvlText w:val="•"/>
      <w:lvlJc w:val="left"/>
      <w:pPr>
        <w:ind w:left="7985" w:hanging="366"/>
      </w:pPr>
      <w:rPr>
        <w:rFonts w:hint="default"/>
        <w:lang w:val="zh-CN" w:eastAsia="zh-CN" w:bidi="zh-CN"/>
      </w:rPr>
    </w:lvl>
  </w:abstractNum>
  <w:abstractNum w:abstractNumId="64">
    <w:nsid w:val="65CD0074"/>
    <w:multiLevelType w:val="multilevel"/>
    <w:tmpl w:val="65CD0074"/>
    <w:lvl w:ilvl="0" w:tentative="0">
      <w:start w:val="1"/>
      <w:numFmt w:val="lowerLetter"/>
      <w:lvlText w:val="%1."/>
      <w:lvlJc w:val="left"/>
      <w:pPr>
        <w:ind w:left="1144" w:hanging="303"/>
      </w:pPr>
      <w:rPr>
        <w:rFonts w:hint="default" w:ascii="Times New Roman" w:hAnsi="Times New Roman" w:eastAsia="Times New Roman" w:cs="Times New Roman"/>
        <w:spacing w:val="0"/>
        <w:w w:val="100"/>
        <w:sz w:val="24"/>
        <w:szCs w:val="24"/>
        <w:lang w:val="zh-CN" w:eastAsia="zh-CN" w:bidi="zh-CN"/>
      </w:rPr>
    </w:lvl>
    <w:lvl w:ilvl="1" w:tentative="0">
      <w:start w:val="0"/>
      <w:numFmt w:val="bullet"/>
      <w:lvlText w:val="•"/>
      <w:lvlJc w:val="left"/>
      <w:pPr>
        <w:ind w:left="2018" w:hanging="303"/>
      </w:pPr>
      <w:rPr>
        <w:rFonts w:hint="default"/>
        <w:lang w:val="zh-CN" w:eastAsia="zh-CN" w:bidi="zh-CN"/>
      </w:rPr>
    </w:lvl>
    <w:lvl w:ilvl="2" w:tentative="0">
      <w:start w:val="0"/>
      <w:numFmt w:val="bullet"/>
      <w:lvlText w:val="•"/>
      <w:lvlJc w:val="left"/>
      <w:pPr>
        <w:ind w:left="2897" w:hanging="303"/>
      </w:pPr>
      <w:rPr>
        <w:rFonts w:hint="default"/>
        <w:lang w:val="zh-CN" w:eastAsia="zh-CN" w:bidi="zh-CN"/>
      </w:rPr>
    </w:lvl>
    <w:lvl w:ilvl="3" w:tentative="0">
      <w:start w:val="0"/>
      <w:numFmt w:val="bullet"/>
      <w:lvlText w:val="•"/>
      <w:lvlJc w:val="left"/>
      <w:pPr>
        <w:ind w:left="3775" w:hanging="303"/>
      </w:pPr>
      <w:rPr>
        <w:rFonts w:hint="default"/>
        <w:lang w:val="zh-CN" w:eastAsia="zh-CN" w:bidi="zh-CN"/>
      </w:rPr>
    </w:lvl>
    <w:lvl w:ilvl="4" w:tentative="0">
      <w:start w:val="0"/>
      <w:numFmt w:val="bullet"/>
      <w:lvlText w:val="•"/>
      <w:lvlJc w:val="left"/>
      <w:pPr>
        <w:ind w:left="4654" w:hanging="303"/>
      </w:pPr>
      <w:rPr>
        <w:rFonts w:hint="default"/>
        <w:lang w:val="zh-CN" w:eastAsia="zh-CN" w:bidi="zh-CN"/>
      </w:rPr>
    </w:lvl>
    <w:lvl w:ilvl="5" w:tentative="0">
      <w:start w:val="0"/>
      <w:numFmt w:val="bullet"/>
      <w:lvlText w:val="•"/>
      <w:lvlJc w:val="left"/>
      <w:pPr>
        <w:ind w:left="5533" w:hanging="303"/>
      </w:pPr>
      <w:rPr>
        <w:rFonts w:hint="default"/>
        <w:lang w:val="zh-CN" w:eastAsia="zh-CN" w:bidi="zh-CN"/>
      </w:rPr>
    </w:lvl>
    <w:lvl w:ilvl="6" w:tentative="0">
      <w:start w:val="0"/>
      <w:numFmt w:val="bullet"/>
      <w:lvlText w:val="•"/>
      <w:lvlJc w:val="left"/>
      <w:pPr>
        <w:ind w:left="6411" w:hanging="303"/>
      </w:pPr>
      <w:rPr>
        <w:rFonts w:hint="default"/>
        <w:lang w:val="zh-CN" w:eastAsia="zh-CN" w:bidi="zh-CN"/>
      </w:rPr>
    </w:lvl>
    <w:lvl w:ilvl="7" w:tentative="0">
      <w:start w:val="0"/>
      <w:numFmt w:val="bullet"/>
      <w:lvlText w:val="•"/>
      <w:lvlJc w:val="left"/>
      <w:pPr>
        <w:ind w:left="7290" w:hanging="303"/>
      </w:pPr>
      <w:rPr>
        <w:rFonts w:hint="default"/>
        <w:lang w:val="zh-CN" w:eastAsia="zh-CN" w:bidi="zh-CN"/>
      </w:rPr>
    </w:lvl>
    <w:lvl w:ilvl="8" w:tentative="0">
      <w:start w:val="0"/>
      <w:numFmt w:val="bullet"/>
      <w:lvlText w:val="•"/>
      <w:lvlJc w:val="left"/>
      <w:pPr>
        <w:ind w:left="8169" w:hanging="303"/>
      </w:pPr>
      <w:rPr>
        <w:rFonts w:hint="default"/>
        <w:lang w:val="zh-CN" w:eastAsia="zh-CN" w:bidi="zh-CN"/>
      </w:rPr>
    </w:lvl>
  </w:abstractNum>
  <w:abstractNum w:abstractNumId="65">
    <w:nsid w:val="65D6AA58"/>
    <w:multiLevelType w:val="singleLevel"/>
    <w:tmpl w:val="65D6AA58"/>
    <w:lvl w:ilvl="0" w:tentative="0">
      <w:start w:val="2"/>
      <w:numFmt w:val="decimal"/>
      <w:suff w:val="nothing"/>
      <w:lvlText w:val="（%1）"/>
      <w:lvlJc w:val="left"/>
    </w:lvl>
  </w:abstractNum>
  <w:abstractNum w:abstractNumId="66">
    <w:nsid w:val="700FDCEF"/>
    <w:multiLevelType w:val="multilevel"/>
    <w:tmpl w:val="700FDCEF"/>
    <w:lvl w:ilvl="0" w:tentative="0">
      <w:start w:val="1"/>
      <w:numFmt w:val="decimal"/>
      <w:lvlText w:val="（%1）"/>
      <w:lvlJc w:val="left"/>
      <w:pPr>
        <w:ind w:left="223" w:hanging="608"/>
      </w:pPr>
      <w:rPr>
        <w:rFonts w:hint="default" w:ascii="宋体" w:hAnsi="宋体" w:eastAsia="宋体" w:cs="宋体"/>
        <w:spacing w:val="0"/>
        <w:w w:val="100"/>
        <w:sz w:val="22"/>
        <w:szCs w:val="22"/>
        <w:lang w:val="zh-CN" w:eastAsia="zh-CN" w:bidi="zh-CN"/>
      </w:rPr>
    </w:lvl>
    <w:lvl w:ilvl="1" w:tentative="0">
      <w:start w:val="1"/>
      <w:numFmt w:val="decimal"/>
      <w:lvlText w:val="%2）"/>
      <w:lvlJc w:val="left"/>
      <w:pPr>
        <w:ind w:left="1064" w:hanging="361"/>
      </w:pPr>
      <w:rPr>
        <w:rFonts w:hint="default" w:ascii="宋体" w:hAnsi="宋体" w:eastAsia="宋体" w:cs="宋体"/>
        <w:w w:val="100"/>
        <w:sz w:val="22"/>
        <w:szCs w:val="22"/>
        <w:lang w:val="zh-CN" w:eastAsia="zh-CN" w:bidi="zh-CN"/>
      </w:rPr>
    </w:lvl>
    <w:lvl w:ilvl="2" w:tentative="0">
      <w:start w:val="0"/>
      <w:numFmt w:val="bullet"/>
      <w:lvlText w:val="•"/>
      <w:lvlJc w:val="left"/>
      <w:pPr>
        <w:ind w:left="2045" w:hanging="361"/>
      </w:pPr>
      <w:rPr>
        <w:rFonts w:hint="default"/>
        <w:lang w:val="zh-CN" w:eastAsia="zh-CN" w:bidi="zh-CN"/>
      </w:rPr>
    </w:lvl>
    <w:lvl w:ilvl="3" w:tentative="0">
      <w:start w:val="0"/>
      <w:numFmt w:val="bullet"/>
      <w:lvlText w:val="•"/>
      <w:lvlJc w:val="left"/>
      <w:pPr>
        <w:ind w:left="3030" w:hanging="361"/>
      </w:pPr>
      <w:rPr>
        <w:rFonts w:hint="default"/>
        <w:lang w:val="zh-CN" w:eastAsia="zh-CN" w:bidi="zh-CN"/>
      </w:rPr>
    </w:lvl>
    <w:lvl w:ilvl="4" w:tentative="0">
      <w:start w:val="0"/>
      <w:numFmt w:val="bullet"/>
      <w:lvlText w:val="•"/>
      <w:lvlJc w:val="left"/>
      <w:pPr>
        <w:ind w:left="4015" w:hanging="361"/>
      </w:pPr>
      <w:rPr>
        <w:rFonts w:hint="default"/>
        <w:lang w:val="zh-CN" w:eastAsia="zh-CN" w:bidi="zh-CN"/>
      </w:rPr>
    </w:lvl>
    <w:lvl w:ilvl="5" w:tentative="0">
      <w:start w:val="0"/>
      <w:numFmt w:val="bullet"/>
      <w:lvlText w:val="•"/>
      <w:lvlJc w:val="left"/>
      <w:pPr>
        <w:ind w:left="5000" w:hanging="361"/>
      </w:pPr>
      <w:rPr>
        <w:rFonts w:hint="default"/>
        <w:lang w:val="zh-CN" w:eastAsia="zh-CN" w:bidi="zh-CN"/>
      </w:rPr>
    </w:lvl>
    <w:lvl w:ilvl="6" w:tentative="0">
      <w:start w:val="0"/>
      <w:numFmt w:val="bullet"/>
      <w:lvlText w:val="•"/>
      <w:lvlJc w:val="left"/>
      <w:pPr>
        <w:ind w:left="5985" w:hanging="361"/>
      </w:pPr>
      <w:rPr>
        <w:rFonts w:hint="default"/>
        <w:lang w:val="zh-CN" w:eastAsia="zh-CN" w:bidi="zh-CN"/>
      </w:rPr>
    </w:lvl>
    <w:lvl w:ilvl="7" w:tentative="0">
      <w:start w:val="0"/>
      <w:numFmt w:val="bullet"/>
      <w:lvlText w:val="•"/>
      <w:lvlJc w:val="left"/>
      <w:pPr>
        <w:ind w:left="6970" w:hanging="361"/>
      </w:pPr>
      <w:rPr>
        <w:rFonts w:hint="default"/>
        <w:lang w:val="zh-CN" w:eastAsia="zh-CN" w:bidi="zh-CN"/>
      </w:rPr>
    </w:lvl>
    <w:lvl w:ilvl="8" w:tentative="0">
      <w:start w:val="0"/>
      <w:numFmt w:val="bullet"/>
      <w:lvlText w:val="•"/>
      <w:lvlJc w:val="left"/>
      <w:pPr>
        <w:ind w:left="7956" w:hanging="361"/>
      </w:pPr>
      <w:rPr>
        <w:rFonts w:hint="default"/>
        <w:lang w:val="zh-CN" w:eastAsia="zh-CN" w:bidi="zh-CN"/>
      </w:rPr>
    </w:lvl>
  </w:abstractNum>
  <w:abstractNum w:abstractNumId="67">
    <w:nsid w:val="77633216"/>
    <w:multiLevelType w:val="multilevel"/>
    <w:tmpl w:val="77633216"/>
    <w:lvl w:ilvl="0" w:tentative="0">
      <w:start w:val="1"/>
      <w:numFmt w:val="decimal"/>
      <w:lvlText w:val="（%1）"/>
      <w:lvlJc w:val="left"/>
      <w:pPr>
        <w:ind w:left="1184" w:hanging="601"/>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054" w:hanging="601"/>
      </w:pPr>
      <w:rPr>
        <w:rFonts w:hint="default"/>
        <w:lang w:val="zh-CN" w:eastAsia="zh-CN" w:bidi="zh-CN"/>
      </w:rPr>
    </w:lvl>
    <w:lvl w:ilvl="2" w:tentative="0">
      <w:start w:val="0"/>
      <w:numFmt w:val="bullet"/>
      <w:lvlText w:val="•"/>
      <w:lvlJc w:val="left"/>
      <w:pPr>
        <w:ind w:left="2929" w:hanging="601"/>
      </w:pPr>
      <w:rPr>
        <w:rFonts w:hint="default"/>
        <w:lang w:val="zh-CN" w:eastAsia="zh-CN" w:bidi="zh-CN"/>
      </w:rPr>
    </w:lvl>
    <w:lvl w:ilvl="3" w:tentative="0">
      <w:start w:val="0"/>
      <w:numFmt w:val="bullet"/>
      <w:lvlText w:val="•"/>
      <w:lvlJc w:val="left"/>
      <w:pPr>
        <w:ind w:left="380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53" w:hanging="601"/>
      </w:pPr>
      <w:rPr>
        <w:rFonts w:hint="default"/>
        <w:lang w:val="zh-CN" w:eastAsia="zh-CN" w:bidi="zh-CN"/>
      </w:rPr>
    </w:lvl>
    <w:lvl w:ilvl="6" w:tentative="0">
      <w:start w:val="0"/>
      <w:numFmt w:val="bullet"/>
      <w:lvlText w:val="•"/>
      <w:lvlJc w:val="left"/>
      <w:pPr>
        <w:ind w:left="6427" w:hanging="601"/>
      </w:pPr>
      <w:rPr>
        <w:rFonts w:hint="default"/>
        <w:lang w:val="zh-CN" w:eastAsia="zh-CN" w:bidi="zh-CN"/>
      </w:rPr>
    </w:lvl>
    <w:lvl w:ilvl="7" w:tentative="0">
      <w:start w:val="0"/>
      <w:numFmt w:val="bullet"/>
      <w:lvlText w:val="•"/>
      <w:lvlJc w:val="left"/>
      <w:pPr>
        <w:ind w:left="7302" w:hanging="601"/>
      </w:pPr>
      <w:rPr>
        <w:rFonts w:hint="default"/>
        <w:lang w:val="zh-CN" w:eastAsia="zh-CN" w:bidi="zh-CN"/>
      </w:rPr>
    </w:lvl>
    <w:lvl w:ilvl="8" w:tentative="0">
      <w:start w:val="0"/>
      <w:numFmt w:val="bullet"/>
      <w:lvlText w:val="•"/>
      <w:lvlJc w:val="left"/>
      <w:pPr>
        <w:ind w:left="8177" w:hanging="601"/>
      </w:pPr>
      <w:rPr>
        <w:rFonts w:hint="default"/>
        <w:lang w:val="zh-CN" w:eastAsia="zh-CN" w:bidi="zh-CN"/>
      </w:rPr>
    </w:lvl>
  </w:abstractNum>
  <w:abstractNum w:abstractNumId="68">
    <w:nsid w:val="77ECEA79"/>
    <w:multiLevelType w:val="multilevel"/>
    <w:tmpl w:val="77ECEA79"/>
    <w:lvl w:ilvl="0" w:tentative="0">
      <w:start w:val="1"/>
      <w:numFmt w:val="decimal"/>
      <w:lvlText w:val="%1）"/>
      <w:lvlJc w:val="left"/>
      <w:pPr>
        <w:ind w:left="223" w:hanging="366"/>
      </w:pPr>
      <w:rPr>
        <w:rFonts w:hint="default" w:ascii="Times New Roman" w:hAnsi="Times New Roman" w:eastAsia="Times New Roman" w:cs="Times New Roman"/>
        <w:spacing w:val="-20"/>
        <w:w w:val="100"/>
        <w:sz w:val="22"/>
        <w:szCs w:val="22"/>
        <w:lang w:val="zh-CN" w:eastAsia="zh-CN" w:bidi="zh-CN"/>
      </w:rPr>
    </w:lvl>
    <w:lvl w:ilvl="1" w:tentative="0">
      <w:start w:val="0"/>
      <w:numFmt w:val="bullet"/>
      <w:lvlText w:val="•"/>
      <w:lvlJc w:val="left"/>
      <w:pPr>
        <w:ind w:left="1190" w:hanging="366"/>
      </w:pPr>
      <w:rPr>
        <w:rFonts w:hint="default"/>
        <w:lang w:val="zh-CN" w:eastAsia="zh-CN" w:bidi="zh-CN"/>
      </w:rPr>
    </w:lvl>
    <w:lvl w:ilvl="2" w:tentative="0">
      <w:start w:val="0"/>
      <w:numFmt w:val="bullet"/>
      <w:lvlText w:val="•"/>
      <w:lvlJc w:val="left"/>
      <w:pPr>
        <w:ind w:left="2161" w:hanging="366"/>
      </w:pPr>
      <w:rPr>
        <w:rFonts w:hint="default"/>
        <w:lang w:val="zh-CN" w:eastAsia="zh-CN" w:bidi="zh-CN"/>
      </w:rPr>
    </w:lvl>
    <w:lvl w:ilvl="3" w:tentative="0">
      <w:start w:val="0"/>
      <w:numFmt w:val="bullet"/>
      <w:lvlText w:val="•"/>
      <w:lvlJc w:val="left"/>
      <w:pPr>
        <w:ind w:left="3131" w:hanging="366"/>
      </w:pPr>
      <w:rPr>
        <w:rFonts w:hint="default"/>
        <w:lang w:val="zh-CN" w:eastAsia="zh-CN" w:bidi="zh-CN"/>
      </w:rPr>
    </w:lvl>
    <w:lvl w:ilvl="4" w:tentative="0">
      <w:start w:val="0"/>
      <w:numFmt w:val="bullet"/>
      <w:lvlText w:val="•"/>
      <w:lvlJc w:val="left"/>
      <w:pPr>
        <w:ind w:left="4102" w:hanging="366"/>
      </w:pPr>
      <w:rPr>
        <w:rFonts w:hint="default"/>
        <w:lang w:val="zh-CN" w:eastAsia="zh-CN" w:bidi="zh-CN"/>
      </w:rPr>
    </w:lvl>
    <w:lvl w:ilvl="5" w:tentative="0">
      <w:start w:val="0"/>
      <w:numFmt w:val="bullet"/>
      <w:lvlText w:val="•"/>
      <w:lvlJc w:val="left"/>
      <w:pPr>
        <w:ind w:left="5073" w:hanging="366"/>
      </w:pPr>
      <w:rPr>
        <w:rFonts w:hint="default"/>
        <w:lang w:val="zh-CN" w:eastAsia="zh-CN" w:bidi="zh-CN"/>
      </w:rPr>
    </w:lvl>
    <w:lvl w:ilvl="6" w:tentative="0">
      <w:start w:val="0"/>
      <w:numFmt w:val="bullet"/>
      <w:lvlText w:val="•"/>
      <w:lvlJc w:val="left"/>
      <w:pPr>
        <w:ind w:left="6043" w:hanging="366"/>
      </w:pPr>
      <w:rPr>
        <w:rFonts w:hint="default"/>
        <w:lang w:val="zh-CN" w:eastAsia="zh-CN" w:bidi="zh-CN"/>
      </w:rPr>
    </w:lvl>
    <w:lvl w:ilvl="7" w:tentative="0">
      <w:start w:val="0"/>
      <w:numFmt w:val="bullet"/>
      <w:lvlText w:val="•"/>
      <w:lvlJc w:val="left"/>
      <w:pPr>
        <w:ind w:left="7014" w:hanging="366"/>
      </w:pPr>
      <w:rPr>
        <w:rFonts w:hint="default"/>
        <w:lang w:val="zh-CN" w:eastAsia="zh-CN" w:bidi="zh-CN"/>
      </w:rPr>
    </w:lvl>
    <w:lvl w:ilvl="8" w:tentative="0">
      <w:start w:val="0"/>
      <w:numFmt w:val="bullet"/>
      <w:lvlText w:val="•"/>
      <w:lvlJc w:val="left"/>
      <w:pPr>
        <w:ind w:left="7985" w:hanging="366"/>
      </w:pPr>
      <w:rPr>
        <w:rFonts w:hint="default"/>
        <w:lang w:val="zh-CN" w:eastAsia="zh-CN" w:bidi="zh-CN"/>
      </w:rPr>
    </w:lvl>
  </w:abstractNum>
  <w:abstractNum w:abstractNumId="69">
    <w:nsid w:val="7DEC2089"/>
    <w:multiLevelType w:val="multilevel"/>
    <w:tmpl w:val="7DEC2089"/>
    <w:lvl w:ilvl="0" w:tentative="0">
      <w:start w:val="1"/>
      <w:numFmt w:val="decimal"/>
      <w:lvlText w:val="%1）"/>
      <w:lvlJc w:val="left"/>
      <w:pPr>
        <w:ind w:left="1092" w:hanging="372"/>
      </w:pPr>
      <w:rPr>
        <w:rFonts w:hint="default" w:ascii="Times New Roman" w:hAnsi="Times New Roman" w:eastAsia="Times New Roman" w:cs="Times New Roman"/>
        <w:spacing w:val="4"/>
        <w:w w:val="100"/>
        <w:sz w:val="22"/>
        <w:szCs w:val="22"/>
        <w:lang w:val="zh-CN" w:eastAsia="zh-CN" w:bidi="zh-CN"/>
      </w:rPr>
    </w:lvl>
    <w:lvl w:ilvl="1" w:tentative="0">
      <w:start w:val="0"/>
      <w:numFmt w:val="bullet"/>
      <w:lvlText w:val="•"/>
      <w:lvlJc w:val="left"/>
      <w:pPr>
        <w:ind w:left="1982" w:hanging="372"/>
      </w:pPr>
      <w:rPr>
        <w:rFonts w:hint="default"/>
        <w:lang w:val="zh-CN" w:eastAsia="zh-CN" w:bidi="zh-CN"/>
      </w:rPr>
    </w:lvl>
    <w:lvl w:ilvl="2" w:tentative="0">
      <w:start w:val="0"/>
      <w:numFmt w:val="bullet"/>
      <w:lvlText w:val="•"/>
      <w:lvlJc w:val="left"/>
      <w:pPr>
        <w:ind w:left="2865" w:hanging="372"/>
      </w:pPr>
      <w:rPr>
        <w:rFonts w:hint="default"/>
        <w:lang w:val="zh-CN" w:eastAsia="zh-CN" w:bidi="zh-CN"/>
      </w:rPr>
    </w:lvl>
    <w:lvl w:ilvl="3" w:tentative="0">
      <w:start w:val="0"/>
      <w:numFmt w:val="bullet"/>
      <w:lvlText w:val="•"/>
      <w:lvlJc w:val="left"/>
      <w:pPr>
        <w:ind w:left="3747" w:hanging="372"/>
      </w:pPr>
      <w:rPr>
        <w:rFonts w:hint="default"/>
        <w:lang w:val="zh-CN" w:eastAsia="zh-CN" w:bidi="zh-CN"/>
      </w:rPr>
    </w:lvl>
    <w:lvl w:ilvl="4" w:tentative="0">
      <w:start w:val="0"/>
      <w:numFmt w:val="bullet"/>
      <w:lvlText w:val="•"/>
      <w:lvlJc w:val="left"/>
      <w:pPr>
        <w:ind w:left="4630" w:hanging="372"/>
      </w:pPr>
      <w:rPr>
        <w:rFonts w:hint="default"/>
        <w:lang w:val="zh-CN" w:eastAsia="zh-CN" w:bidi="zh-CN"/>
      </w:rPr>
    </w:lvl>
    <w:lvl w:ilvl="5" w:tentative="0">
      <w:start w:val="0"/>
      <w:numFmt w:val="bullet"/>
      <w:lvlText w:val="•"/>
      <w:lvlJc w:val="left"/>
      <w:pPr>
        <w:ind w:left="5513" w:hanging="372"/>
      </w:pPr>
      <w:rPr>
        <w:rFonts w:hint="default"/>
        <w:lang w:val="zh-CN" w:eastAsia="zh-CN" w:bidi="zh-CN"/>
      </w:rPr>
    </w:lvl>
    <w:lvl w:ilvl="6" w:tentative="0">
      <w:start w:val="0"/>
      <w:numFmt w:val="bullet"/>
      <w:lvlText w:val="•"/>
      <w:lvlJc w:val="left"/>
      <w:pPr>
        <w:ind w:left="6395" w:hanging="372"/>
      </w:pPr>
      <w:rPr>
        <w:rFonts w:hint="default"/>
        <w:lang w:val="zh-CN" w:eastAsia="zh-CN" w:bidi="zh-CN"/>
      </w:rPr>
    </w:lvl>
    <w:lvl w:ilvl="7" w:tentative="0">
      <w:start w:val="0"/>
      <w:numFmt w:val="bullet"/>
      <w:lvlText w:val="•"/>
      <w:lvlJc w:val="left"/>
      <w:pPr>
        <w:ind w:left="7278" w:hanging="372"/>
      </w:pPr>
      <w:rPr>
        <w:rFonts w:hint="default"/>
        <w:lang w:val="zh-CN" w:eastAsia="zh-CN" w:bidi="zh-CN"/>
      </w:rPr>
    </w:lvl>
    <w:lvl w:ilvl="8" w:tentative="0">
      <w:start w:val="0"/>
      <w:numFmt w:val="bullet"/>
      <w:lvlText w:val="•"/>
      <w:lvlJc w:val="left"/>
      <w:pPr>
        <w:ind w:left="8161" w:hanging="372"/>
      </w:pPr>
      <w:rPr>
        <w:rFonts w:hint="default"/>
        <w:lang w:val="zh-CN" w:eastAsia="zh-CN" w:bidi="zh-CN"/>
      </w:rPr>
    </w:lvl>
  </w:abstractNum>
  <w:abstractNum w:abstractNumId="70">
    <w:nsid w:val="7E2826FF"/>
    <w:multiLevelType w:val="singleLevel"/>
    <w:tmpl w:val="7E2826FF"/>
    <w:lvl w:ilvl="0" w:tentative="0">
      <w:start w:val="7"/>
      <w:numFmt w:val="chineseCounting"/>
      <w:suff w:val="nothing"/>
      <w:lvlText w:val="%1、"/>
      <w:lvlJc w:val="left"/>
      <w:rPr>
        <w:rFonts w:hint="eastAsia"/>
      </w:rPr>
    </w:lvl>
  </w:abstractNum>
  <w:num w:numId="1">
    <w:abstractNumId w:val="51"/>
  </w:num>
  <w:num w:numId="2">
    <w:abstractNumId w:val="65"/>
  </w:num>
  <w:num w:numId="3">
    <w:abstractNumId w:val="31"/>
  </w:num>
  <w:num w:numId="4">
    <w:abstractNumId w:val="70"/>
  </w:num>
  <w:num w:numId="5">
    <w:abstractNumId w:val="32"/>
  </w:num>
  <w:num w:numId="6">
    <w:abstractNumId w:val="20"/>
  </w:num>
  <w:num w:numId="7">
    <w:abstractNumId w:val="58"/>
  </w:num>
  <w:num w:numId="8">
    <w:abstractNumId w:val="13"/>
  </w:num>
  <w:num w:numId="9">
    <w:abstractNumId w:val="33"/>
  </w:num>
  <w:num w:numId="10">
    <w:abstractNumId w:val="3"/>
  </w:num>
  <w:num w:numId="11">
    <w:abstractNumId w:val="43"/>
  </w:num>
  <w:num w:numId="12">
    <w:abstractNumId w:val="60"/>
  </w:num>
  <w:num w:numId="13">
    <w:abstractNumId w:val="19"/>
  </w:num>
  <w:num w:numId="14">
    <w:abstractNumId w:val="54"/>
  </w:num>
  <w:num w:numId="15">
    <w:abstractNumId w:val="26"/>
  </w:num>
  <w:num w:numId="16">
    <w:abstractNumId w:val="42"/>
  </w:num>
  <w:num w:numId="17">
    <w:abstractNumId w:val="23"/>
  </w:num>
  <w:num w:numId="18">
    <w:abstractNumId w:val="21"/>
  </w:num>
  <w:num w:numId="19">
    <w:abstractNumId w:val="7"/>
  </w:num>
  <w:num w:numId="20">
    <w:abstractNumId w:val="52"/>
  </w:num>
  <w:num w:numId="21">
    <w:abstractNumId w:val="62"/>
  </w:num>
  <w:num w:numId="22">
    <w:abstractNumId w:val="68"/>
  </w:num>
  <w:num w:numId="23">
    <w:abstractNumId w:val="16"/>
  </w:num>
  <w:num w:numId="24">
    <w:abstractNumId w:val="63"/>
  </w:num>
  <w:num w:numId="25">
    <w:abstractNumId w:val="4"/>
  </w:num>
  <w:num w:numId="26">
    <w:abstractNumId w:val="49"/>
  </w:num>
  <w:num w:numId="27">
    <w:abstractNumId w:val="2"/>
  </w:num>
  <w:num w:numId="28">
    <w:abstractNumId w:val="57"/>
  </w:num>
  <w:num w:numId="29">
    <w:abstractNumId w:val="69"/>
  </w:num>
  <w:num w:numId="30">
    <w:abstractNumId w:val="0"/>
  </w:num>
  <w:num w:numId="31">
    <w:abstractNumId w:val="41"/>
  </w:num>
  <w:num w:numId="32">
    <w:abstractNumId w:val="55"/>
  </w:num>
  <w:num w:numId="33">
    <w:abstractNumId w:val="28"/>
  </w:num>
  <w:num w:numId="34">
    <w:abstractNumId w:val="46"/>
  </w:num>
  <w:num w:numId="35">
    <w:abstractNumId w:val="61"/>
  </w:num>
  <w:num w:numId="36">
    <w:abstractNumId w:val="1"/>
  </w:num>
  <w:num w:numId="37">
    <w:abstractNumId w:val="53"/>
  </w:num>
  <w:num w:numId="38">
    <w:abstractNumId w:val="47"/>
  </w:num>
  <w:num w:numId="39">
    <w:abstractNumId w:val="64"/>
  </w:num>
  <w:num w:numId="40">
    <w:abstractNumId w:val="35"/>
  </w:num>
  <w:num w:numId="41">
    <w:abstractNumId w:val="36"/>
  </w:num>
  <w:num w:numId="42">
    <w:abstractNumId w:val="48"/>
  </w:num>
  <w:num w:numId="43">
    <w:abstractNumId w:val="39"/>
  </w:num>
  <w:num w:numId="44">
    <w:abstractNumId w:val="40"/>
  </w:num>
  <w:num w:numId="45">
    <w:abstractNumId w:val="34"/>
  </w:num>
  <w:num w:numId="46">
    <w:abstractNumId w:val="17"/>
  </w:num>
  <w:num w:numId="47">
    <w:abstractNumId w:val="37"/>
  </w:num>
  <w:num w:numId="48">
    <w:abstractNumId w:val="12"/>
  </w:num>
  <w:num w:numId="49">
    <w:abstractNumId w:val="50"/>
  </w:num>
  <w:num w:numId="50">
    <w:abstractNumId w:val="10"/>
  </w:num>
  <w:num w:numId="51">
    <w:abstractNumId w:val="27"/>
  </w:num>
  <w:num w:numId="52">
    <w:abstractNumId w:val="45"/>
  </w:num>
  <w:num w:numId="53">
    <w:abstractNumId w:val="29"/>
  </w:num>
  <w:num w:numId="54">
    <w:abstractNumId w:val="38"/>
  </w:num>
  <w:num w:numId="55">
    <w:abstractNumId w:val="66"/>
  </w:num>
  <w:num w:numId="56">
    <w:abstractNumId w:val="24"/>
  </w:num>
  <w:num w:numId="57">
    <w:abstractNumId w:val="18"/>
  </w:num>
  <w:num w:numId="58">
    <w:abstractNumId w:val="9"/>
  </w:num>
  <w:num w:numId="59">
    <w:abstractNumId w:val="67"/>
  </w:num>
  <w:num w:numId="60">
    <w:abstractNumId w:val="22"/>
  </w:num>
  <w:num w:numId="61">
    <w:abstractNumId w:val="14"/>
  </w:num>
  <w:num w:numId="62">
    <w:abstractNumId w:val="44"/>
  </w:num>
  <w:num w:numId="63">
    <w:abstractNumId w:val="25"/>
  </w:num>
  <w:num w:numId="64">
    <w:abstractNumId w:val="6"/>
  </w:num>
  <w:num w:numId="65">
    <w:abstractNumId w:val="59"/>
  </w:num>
  <w:num w:numId="66">
    <w:abstractNumId w:val="15"/>
  </w:num>
  <w:num w:numId="67">
    <w:abstractNumId w:val="11"/>
  </w:num>
  <w:num w:numId="68">
    <w:abstractNumId w:val="5"/>
  </w:num>
  <w:num w:numId="69">
    <w:abstractNumId w:val="8"/>
  </w:num>
  <w:num w:numId="70">
    <w:abstractNumId w:val="56"/>
  </w:num>
  <w:num w:numId="7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5D71"/>
    <w:rsid w:val="000E6C13"/>
    <w:rsid w:val="000E7B1F"/>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5B1"/>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2BAB"/>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6FEC"/>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857"/>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C664D"/>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6805"/>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13769"/>
    <w:rsid w:val="01146F72"/>
    <w:rsid w:val="0123584C"/>
    <w:rsid w:val="012B4701"/>
    <w:rsid w:val="0133146F"/>
    <w:rsid w:val="014063FE"/>
    <w:rsid w:val="01423F24"/>
    <w:rsid w:val="01455237"/>
    <w:rsid w:val="014F2BC0"/>
    <w:rsid w:val="01564BF5"/>
    <w:rsid w:val="0159126E"/>
    <w:rsid w:val="01655E65"/>
    <w:rsid w:val="01742F1F"/>
    <w:rsid w:val="01761E20"/>
    <w:rsid w:val="01807CAC"/>
    <w:rsid w:val="01826A17"/>
    <w:rsid w:val="018502B5"/>
    <w:rsid w:val="018856AF"/>
    <w:rsid w:val="01885C73"/>
    <w:rsid w:val="01944054"/>
    <w:rsid w:val="019C06FA"/>
    <w:rsid w:val="01AA3877"/>
    <w:rsid w:val="01AE15BA"/>
    <w:rsid w:val="01AF5332"/>
    <w:rsid w:val="01BA53D8"/>
    <w:rsid w:val="01BD34BA"/>
    <w:rsid w:val="01C81F50"/>
    <w:rsid w:val="01D573D8"/>
    <w:rsid w:val="01D7535E"/>
    <w:rsid w:val="01E74ACC"/>
    <w:rsid w:val="01E90844"/>
    <w:rsid w:val="01EE49B6"/>
    <w:rsid w:val="01F33470"/>
    <w:rsid w:val="01F6535D"/>
    <w:rsid w:val="01FA65AD"/>
    <w:rsid w:val="02157665"/>
    <w:rsid w:val="0216715F"/>
    <w:rsid w:val="021C368C"/>
    <w:rsid w:val="02274EC8"/>
    <w:rsid w:val="02283B26"/>
    <w:rsid w:val="02313F99"/>
    <w:rsid w:val="02352F6C"/>
    <w:rsid w:val="023575E5"/>
    <w:rsid w:val="023A109F"/>
    <w:rsid w:val="02436A0B"/>
    <w:rsid w:val="024E4B4B"/>
    <w:rsid w:val="02565683"/>
    <w:rsid w:val="025C7268"/>
    <w:rsid w:val="025D4D8E"/>
    <w:rsid w:val="026003DA"/>
    <w:rsid w:val="02671768"/>
    <w:rsid w:val="026C240F"/>
    <w:rsid w:val="02704AC1"/>
    <w:rsid w:val="028247F4"/>
    <w:rsid w:val="028673CC"/>
    <w:rsid w:val="028975AE"/>
    <w:rsid w:val="028F115F"/>
    <w:rsid w:val="02AC29FE"/>
    <w:rsid w:val="02B22A1B"/>
    <w:rsid w:val="02B80F79"/>
    <w:rsid w:val="02B911D3"/>
    <w:rsid w:val="02BC346B"/>
    <w:rsid w:val="02C40969"/>
    <w:rsid w:val="02C60B85"/>
    <w:rsid w:val="02C63A8E"/>
    <w:rsid w:val="02CC49C1"/>
    <w:rsid w:val="02D23086"/>
    <w:rsid w:val="02DE5ECF"/>
    <w:rsid w:val="02EF1E8A"/>
    <w:rsid w:val="02F4124E"/>
    <w:rsid w:val="03136370"/>
    <w:rsid w:val="031A6E39"/>
    <w:rsid w:val="031D165E"/>
    <w:rsid w:val="03202CAB"/>
    <w:rsid w:val="03231B33"/>
    <w:rsid w:val="034026E5"/>
    <w:rsid w:val="03500649"/>
    <w:rsid w:val="035829D1"/>
    <w:rsid w:val="035E4919"/>
    <w:rsid w:val="036237C7"/>
    <w:rsid w:val="03632E30"/>
    <w:rsid w:val="036D498E"/>
    <w:rsid w:val="036F2FCB"/>
    <w:rsid w:val="03771E7F"/>
    <w:rsid w:val="0381560E"/>
    <w:rsid w:val="0382423E"/>
    <w:rsid w:val="038509C9"/>
    <w:rsid w:val="038E01E3"/>
    <w:rsid w:val="038E73ED"/>
    <w:rsid w:val="03920A67"/>
    <w:rsid w:val="03952B52"/>
    <w:rsid w:val="039C5442"/>
    <w:rsid w:val="039E740C"/>
    <w:rsid w:val="03A80942"/>
    <w:rsid w:val="03AF6D28"/>
    <w:rsid w:val="03B427AD"/>
    <w:rsid w:val="03B64756"/>
    <w:rsid w:val="03BC4D98"/>
    <w:rsid w:val="03D07B84"/>
    <w:rsid w:val="03D520E2"/>
    <w:rsid w:val="03D879B7"/>
    <w:rsid w:val="03DB41BC"/>
    <w:rsid w:val="03E07A24"/>
    <w:rsid w:val="03E5503B"/>
    <w:rsid w:val="03E56DE9"/>
    <w:rsid w:val="03EF7C67"/>
    <w:rsid w:val="03F62DA4"/>
    <w:rsid w:val="04041965"/>
    <w:rsid w:val="04051239"/>
    <w:rsid w:val="040B1380"/>
    <w:rsid w:val="040E4592"/>
    <w:rsid w:val="040F3E66"/>
    <w:rsid w:val="0411520B"/>
    <w:rsid w:val="04131BA8"/>
    <w:rsid w:val="04140D57"/>
    <w:rsid w:val="041A0EBA"/>
    <w:rsid w:val="04200D92"/>
    <w:rsid w:val="04205347"/>
    <w:rsid w:val="042A5846"/>
    <w:rsid w:val="042C0EBC"/>
    <w:rsid w:val="043833BC"/>
    <w:rsid w:val="04397AF9"/>
    <w:rsid w:val="04492A85"/>
    <w:rsid w:val="044A2A9D"/>
    <w:rsid w:val="04553F6E"/>
    <w:rsid w:val="04936845"/>
    <w:rsid w:val="049525BD"/>
    <w:rsid w:val="04B360C1"/>
    <w:rsid w:val="04B52C5F"/>
    <w:rsid w:val="04B940D3"/>
    <w:rsid w:val="04BA64C7"/>
    <w:rsid w:val="04BC508A"/>
    <w:rsid w:val="04BD7CF1"/>
    <w:rsid w:val="04BE7E44"/>
    <w:rsid w:val="04E23328"/>
    <w:rsid w:val="04E672BC"/>
    <w:rsid w:val="04F05A45"/>
    <w:rsid w:val="04F25C61"/>
    <w:rsid w:val="04FC263C"/>
    <w:rsid w:val="050A79AB"/>
    <w:rsid w:val="051E6A56"/>
    <w:rsid w:val="05341DD6"/>
    <w:rsid w:val="053D1A99"/>
    <w:rsid w:val="053E2C54"/>
    <w:rsid w:val="053F6C4E"/>
    <w:rsid w:val="057C6CF7"/>
    <w:rsid w:val="057F6DC9"/>
    <w:rsid w:val="058368B9"/>
    <w:rsid w:val="05882122"/>
    <w:rsid w:val="058E4FD1"/>
    <w:rsid w:val="0591547A"/>
    <w:rsid w:val="059A3C03"/>
    <w:rsid w:val="059E36F3"/>
    <w:rsid w:val="059F1C21"/>
    <w:rsid w:val="05AC1759"/>
    <w:rsid w:val="05B92E71"/>
    <w:rsid w:val="05C84E05"/>
    <w:rsid w:val="05CD5D86"/>
    <w:rsid w:val="05D610DF"/>
    <w:rsid w:val="05D6438D"/>
    <w:rsid w:val="05D709B3"/>
    <w:rsid w:val="05DB723D"/>
    <w:rsid w:val="05EC26B0"/>
    <w:rsid w:val="05F11A75"/>
    <w:rsid w:val="05F6352F"/>
    <w:rsid w:val="05FA3B56"/>
    <w:rsid w:val="06043E9E"/>
    <w:rsid w:val="06066D61"/>
    <w:rsid w:val="060A0D89"/>
    <w:rsid w:val="06141C07"/>
    <w:rsid w:val="061816F7"/>
    <w:rsid w:val="061A29D1"/>
    <w:rsid w:val="061D0B88"/>
    <w:rsid w:val="06224324"/>
    <w:rsid w:val="0624009C"/>
    <w:rsid w:val="062973DE"/>
    <w:rsid w:val="062A31D9"/>
    <w:rsid w:val="06385A43"/>
    <w:rsid w:val="064C1940"/>
    <w:rsid w:val="064F7F95"/>
    <w:rsid w:val="065524F6"/>
    <w:rsid w:val="066E1317"/>
    <w:rsid w:val="066F6184"/>
    <w:rsid w:val="06782196"/>
    <w:rsid w:val="06841479"/>
    <w:rsid w:val="069A036D"/>
    <w:rsid w:val="06A42F8B"/>
    <w:rsid w:val="06C07699"/>
    <w:rsid w:val="06C13B3D"/>
    <w:rsid w:val="06C13C78"/>
    <w:rsid w:val="06C57CBA"/>
    <w:rsid w:val="06D10C9D"/>
    <w:rsid w:val="06D411AB"/>
    <w:rsid w:val="06E074E7"/>
    <w:rsid w:val="06E45A7E"/>
    <w:rsid w:val="06EC048E"/>
    <w:rsid w:val="06EE0437"/>
    <w:rsid w:val="06F16A0F"/>
    <w:rsid w:val="06FC25D7"/>
    <w:rsid w:val="07034156"/>
    <w:rsid w:val="0704648C"/>
    <w:rsid w:val="070C1F40"/>
    <w:rsid w:val="071D4945"/>
    <w:rsid w:val="07201719"/>
    <w:rsid w:val="07302A71"/>
    <w:rsid w:val="07345D46"/>
    <w:rsid w:val="073D15CC"/>
    <w:rsid w:val="073E702B"/>
    <w:rsid w:val="073F2DBB"/>
    <w:rsid w:val="07411B09"/>
    <w:rsid w:val="074663EA"/>
    <w:rsid w:val="07630750"/>
    <w:rsid w:val="078608E3"/>
    <w:rsid w:val="078F4051"/>
    <w:rsid w:val="07933AD6"/>
    <w:rsid w:val="079502CF"/>
    <w:rsid w:val="0796437E"/>
    <w:rsid w:val="07A160E9"/>
    <w:rsid w:val="07A54B0B"/>
    <w:rsid w:val="07A64AE1"/>
    <w:rsid w:val="07A70623"/>
    <w:rsid w:val="07A9481B"/>
    <w:rsid w:val="07BC4304"/>
    <w:rsid w:val="07BC4C4C"/>
    <w:rsid w:val="07CA6A21"/>
    <w:rsid w:val="07D04F20"/>
    <w:rsid w:val="07EF6488"/>
    <w:rsid w:val="07F12200"/>
    <w:rsid w:val="07F712CB"/>
    <w:rsid w:val="0802440D"/>
    <w:rsid w:val="080B519A"/>
    <w:rsid w:val="08114650"/>
    <w:rsid w:val="08176168"/>
    <w:rsid w:val="0824366F"/>
    <w:rsid w:val="082803DC"/>
    <w:rsid w:val="082840D3"/>
    <w:rsid w:val="082C1351"/>
    <w:rsid w:val="084A0664"/>
    <w:rsid w:val="08510945"/>
    <w:rsid w:val="08510EF1"/>
    <w:rsid w:val="0858402D"/>
    <w:rsid w:val="08760957"/>
    <w:rsid w:val="08784FA3"/>
    <w:rsid w:val="088A7F5F"/>
    <w:rsid w:val="088C0B52"/>
    <w:rsid w:val="0891753F"/>
    <w:rsid w:val="08981E0C"/>
    <w:rsid w:val="08B6462D"/>
    <w:rsid w:val="08B7391C"/>
    <w:rsid w:val="08CE7FFE"/>
    <w:rsid w:val="08DB07BA"/>
    <w:rsid w:val="08ED6E6B"/>
    <w:rsid w:val="08EE04EE"/>
    <w:rsid w:val="08F1563F"/>
    <w:rsid w:val="08F6648F"/>
    <w:rsid w:val="090F5810"/>
    <w:rsid w:val="09117D6B"/>
    <w:rsid w:val="0913087B"/>
    <w:rsid w:val="091361A6"/>
    <w:rsid w:val="09151395"/>
    <w:rsid w:val="09153A8B"/>
    <w:rsid w:val="09161874"/>
    <w:rsid w:val="092B63E5"/>
    <w:rsid w:val="092E1232"/>
    <w:rsid w:val="09403A2A"/>
    <w:rsid w:val="09410F65"/>
    <w:rsid w:val="09442E8E"/>
    <w:rsid w:val="095C4872"/>
    <w:rsid w:val="095D7F5D"/>
    <w:rsid w:val="096609CC"/>
    <w:rsid w:val="09717916"/>
    <w:rsid w:val="097A4477"/>
    <w:rsid w:val="097A6225"/>
    <w:rsid w:val="097F5A41"/>
    <w:rsid w:val="09864BCA"/>
    <w:rsid w:val="09886B94"/>
    <w:rsid w:val="098D41AA"/>
    <w:rsid w:val="098E1A6C"/>
    <w:rsid w:val="098F3095"/>
    <w:rsid w:val="09976DD7"/>
    <w:rsid w:val="099E44EC"/>
    <w:rsid w:val="099F4DD9"/>
    <w:rsid w:val="09A03EDE"/>
    <w:rsid w:val="09AB391D"/>
    <w:rsid w:val="09B421E7"/>
    <w:rsid w:val="09CD27F9"/>
    <w:rsid w:val="09CD45A7"/>
    <w:rsid w:val="09CF6571"/>
    <w:rsid w:val="09D9506E"/>
    <w:rsid w:val="09DC0C8E"/>
    <w:rsid w:val="09F977AC"/>
    <w:rsid w:val="0A0334A7"/>
    <w:rsid w:val="0A033CC0"/>
    <w:rsid w:val="0A03446D"/>
    <w:rsid w:val="0A054415"/>
    <w:rsid w:val="0A05688E"/>
    <w:rsid w:val="0A0F696E"/>
    <w:rsid w:val="0A1246B0"/>
    <w:rsid w:val="0A1E4E03"/>
    <w:rsid w:val="0A261F09"/>
    <w:rsid w:val="0A312D88"/>
    <w:rsid w:val="0A333843"/>
    <w:rsid w:val="0A3B7FAB"/>
    <w:rsid w:val="0A442EC0"/>
    <w:rsid w:val="0A481E7F"/>
    <w:rsid w:val="0A483813"/>
    <w:rsid w:val="0A6D7EB6"/>
    <w:rsid w:val="0A79207A"/>
    <w:rsid w:val="0A7C0731"/>
    <w:rsid w:val="0A7E1D45"/>
    <w:rsid w:val="0A8249A0"/>
    <w:rsid w:val="0A825391"/>
    <w:rsid w:val="0A87769A"/>
    <w:rsid w:val="0AA96DC2"/>
    <w:rsid w:val="0AAB4C3F"/>
    <w:rsid w:val="0AB17370"/>
    <w:rsid w:val="0AB731E2"/>
    <w:rsid w:val="0AC55419"/>
    <w:rsid w:val="0AC97464"/>
    <w:rsid w:val="0AD017FF"/>
    <w:rsid w:val="0ADF48B9"/>
    <w:rsid w:val="0AEC11DE"/>
    <w:rsid w:val="0AF10769"/>
    <w:rsid w:val="0B0A71A3"/>
    <w:rsid w:val="0B132850"/>
    <w:rsid w:val="0B165C5E"/>
    <w:rsid w:val="0B185CF6"/>
    <w:rsid w:val="0B1B5886"/>
    <w:rsid w:val="0B1F0FC2"/>
    <w:rsid w:val="0B266665"/>
    <w:rsid w:val="0B275F39"/>
    <w:rsid w:val="0B2B5A29"/>
    <w:rsid w:val="0B347E34"/>
    <w:rsid w:val="0B39126D"/>
    <w:rsid w:val="0B3C2986"/>
    <w:rsid w:val="0B4105EA"/>
    <w:rsid w:val="0B436851"/>
    <w:rsid w:val="0B4A585E"/>
    <w:rsid w:val="0B545A73"/>
    <w:rsid w:val="0B573AA2"/>
    <w:rsid w:val="0B5C461B"/>
    <w:rsid w:val="0B680A2B"/>
    <w:rsid w:val="0B8D01CD"/>
    <w:rsid w:val="0B8D66E4"/>
    <w:rsid w:val="0B9709C1"/>
    <w:rsid w:val="0B980BE5"/>
    <w:rsid w:val="0BA72079"/>
    <w:rsid w:val="0BAB7B75"/>
    <w:rsid w:val="0BC33EB3"/>
    <w:rsid w:val="0BD624E2"/>
    <w:rsid w:val="0BD87233"/>
    <w:rsid w:val="0BDA0D33"/>
    <w:rsid w:val="0BE1539A"/>
    <w:rsid w:val="0BE676B5"/>
    <w:rsid w:val="0BE67BA2"/>
    <w:rsid w:val="0BF13338"/>
    <w:rsid w:val="0BF714C2"/>
    <w:rsid w:val="0BF95B27"/>
    <w:rsid w:val="0BF978D5"/>
    <w:rsid w:val="0C060244"/>
    <w:rsid w:val="0C191691"/>
    <w:rsid w:val="0C1B3CF0"/>
    <w:rsid w:val="0C24167E"/>
    <w:rsid w:val="0C395591"/>
    <w:rsid w:val="0C3959BA"/>
    <w:rsid w:val="0C403756"/>
    <w:rsid w:val="0C444C77"/>
    <w:rsid w:val="0C46347D"/>
    <w:rsid w:val="0C4F74F5"/>
    <w:rsid w:val="0C5E0C94"/>
    <w:rsid w:val="0C6311F3"/>
    <w:rsid w:val="0C674297"/>
    <w:rsid w:val="0C7130B3"/>
    <w:rsid w:val="0C733CEE"/>
    <w:rsid w:val="0C871385"/>
    <w:rsid w:val="0C9145E2"/>
    <w:rsid w:val="0C916B08"/>
    <w:rsid w:val="0C9870EE"/>
    <w:rsid w:val="0CAA6E21"/>
    <w:rsid w:val="0CAE0B0C"/>
    <w:rsid w:val="0CB15C4B"/>
    <w:rsid w:val="0CB63A18"/>
    <w:rsid w:val="0CC1190B"/>
    <w:rsid w:val="0CC145BF"/>
    <w:rsid w:val="0CD93263"/>
    <w:rsid w:val="0CE40585"/>
    <w:rsid w:val="0CE6306A"/>
    <w:rsid w:val="0CF12CA2"/>
    <w:rsid w:val="0CF76928"/>
    <w:rsid w:val="0CF956B3"/>
    <w:rsid w:val="0D1701A8"/>
    <w:rsid w:val="0D244915"/>
    <w:rsid w:val="0D3261AF"/>
    <w:rsid w:val="0D3971A9"/>
    <w:rsid w:val="0D3B5CCB"/>
    <w:rsid w:val="0D464D9C"/>
    <w:rsid w:val="0D5044E7"/>
    <w:rsid w:val="0D5426C2"/>
    <w:rsid w:val="0D556D8D"/>
    <w:rsid w:val="0D674D12"/>
    <w:rsid w:val="0D707F46"/>
    <w:rsid w:val="0D857E27"/>
    <w:rsid w:val="0D86163D"/>
    <w:rsid w:val="0D865199"/>
    <w:rsid w:val="0DA63A8D"/>
    <w:rsid w:val="0DB61818"/>
    <w:rsid w:val="0DB83076"/>
    <w:rsid w:val="0DB8731C"/>
    <w:rsid w:val="0DBA3094"/>
    <w:rsid w:val="0DC2084A"/>
    <w:rsid w:val="0DC515E2"/>
    <w:rsid w:val="0DDB1C4E"/>
    <w:rsid w:val="0DF447F8"/>
    <w:rsid w:val="0E11507A"/>
    <w:rsid w:val="0E211365"/>
    <w:rsid w:val="0E250E55"/>
    <w:rsid w:val="0E415563"/>
    <w:rsid w:val="0E4706B2"/>
    <w:rsid w:val="0E4B0D79"/>
    <w:rsid w:val="0E4B301C"/>
    <w:rsid w:val="0E4D5CB6"/>
    <w:rsid w:val="0E4E5CC1"/>
    <w:rsid w:val="0E5B4877"/>
    <w:rsid w:val="0E5C7457"/>
    <w:rsid w:val="0E664FCA"/>
    <w:rsid w:val="0E6D26E7"/>
    <w:rsid w:val="0E715E49"/>
    <w:rsid w:val="0E7476E7"/>
    <w:rsid w:val="0E833DCE"/>
    <w:rsid w:val="0E87566C"/>
    <w:rsid w:val="0E8A3A31"/>
    <w:rsid w:val="0E8D1670"/>
    <w:rsid w:val="0E90420D"/>
    <w:rsid w:val="0EC32DD4"/>
    <w:rsid w:val="0EC35F79"/>
    <w:rsid w:val="0EC7766C"/>
    <w:rsid w:val="0EC86A0D"/>
    <w:rsid w:val="0ED10695"/>
    <w:rsid w:val="0ED308B1"/>
    <w:rsid w:val="0ED3234C"/>
    <w:rsid w:val="0ED71680"/>
    <w:rsid w:val="0ED9579C"/>
    <w:rsid w:val="0EDE2DB2"/>
    <w:rsid w:val="0EE62139"/>
    <w:rsid w:val="0EE97238"/>
    <w:rsid w:val="0EF01F10"/>
    <w:rsid w:val="0F0F34B3"/>
    <w:rsid w:val="0F1B59E2"/>
    <w:rsid w:val="0F1F2788"/>
    <w:rsid w:val="0F3A26DF"/>
    <w:rsid w:val="0F4B2A7A"/>
    <w:rsid w:val="0F517A28"/>
    <w:rsid w:val="0F58070F"/>
    <w:rsid w:val="0F5B48D3"/>
    <w:rsid w:val="0F5D3091"/>
    <w:rsid w:val="0F612922"/>
    <w:rsid w:val="0F621C35"/>
    <w:rsid w:val="0F7A2ADB"/>
    <w:rsid w:val="0F88212F"/>
    <w:rsid w:val="0F953B26"/>
    <w:rsid w:val="0F9B4DA4"/>
    <w:rsid w:val="0FA062BA"/>
    <w:rsid w:val="0FA45DAA"/>
    <w:rsid w:val="0FB02359"/>
    <w:rsid w:val="0FB6788B"/>
    <w:rsid w:val="0FB71F81"/>
    <w:rsid w:val="0FB92BD7"/>
    <w:rsid w:val="0FC24482"/>
    <w:rsid w:val="0FC8388F"/>
    <w:rsid w:val="0FC87CEA"/>
    <w:rsid w:val="0FEC0996"/>
    <w:rsid w:val="0FF814CA"/>
    <w:rsid w:val="100931ED"/>
    <w:rsid w:val="100A34F2"/>
    <w:rsid w:val="102A2DB3"/>
    <w:rsid w:val="10324B9C"/>
    <w:rsid w:val="1033355D"/>
    <w:rsid w:val="10443B46"/>
    <w:rsid w:val="10543AE2"/>
    <w:rsid w:val="105570A4"/>
    <w:rsid w:val="105C6685"/>
    <w:rsid w:val="105E16F7"/>
    <w:rsid w:val="1060683D"/>
    <w:rsid w:val="106C3100"/>
    <w:rsid w:val="107514F4"/>
    <w:rsid w:val="107E6ED2"/>
    <w:rsid w:val="108721EF"/>
    <w:rsid w:val="108B40A6"/>
    <w:rsid w:val="108D35E3"/>
    <w:rsid w:val="10973B61"/>
    <w:rsid w:val="109A0CCD"/>
    <w:rsid w:val="10A02A15"/>
    <w:rsid w:val="10A55FF3"/>
    <w:rsid w:val="10AB148B"/>
    <w:rsid w:val="10B14485"/>
    <w:rsid w:val="10D0497D"/>
    <w:rsid w:val="10D67EE2"/>
    <w:rsid w:val="10E02E12"/>
    <w:rsid w:val="10E943BC"/>
    <w:rsid w:val="10F265D4"/>
    <w:rsid w:val="10F35813"/>
    <w:rsid w:val="10FB7C4C"/>
    <w:rsid w:val="10FD7E68"/>
    <w:rsid w:val="11151E52"/>
    <w:rsid w:val="11164A85"/>
    <w:rsid w:val="111807FE"/>
    <w:rsid w:val="11187673"/>
    <w:rsid w:val="112C24FB"/>
    <w:rsid w:val="11366ED6"/>
    <w:rsid w:val="11544F10"/>
    <w:rsid w:val="115832F0"/>
    <w:rsid w:val="117B2B3A"/>
    <w:rsid w:val="118C4D48"/>
    <w:rsid w:val="11934328"/>
    <w:rsid w:val="1198161B"/>
    <w:rsid w:val="11982997"/>
    <w:rsid w:val="119C53E4"/>
    <w:rsid w:val="11A044E2"/>
    <w:rsid w:val="11A110D7"/>
    <w:rsid w:val="11AC0F46"/>
    <w:rsid w:val="11B5604C"/>
    <w:rsid w:val="11BA3663"/>
    <w:rsid w:val="11C20769"/>
    <w:rsid w:val="11D825BD"/>
    <w:rsid w:val="11DF4949"/>
    <w:rsid w:val="11E60706"/>
    <w:rsid w:val="11EC0DDF"/>
    <w:rsid w:val="11F46799"/>
    <w:rsid w:val="11FC0C39"/>
    <w:rsid w:val="12016853"/>
    <w:rsid w:val="120604F9"/>
    <w:rsid w:val="120D40DA"/>
    <w:rsid w:val="12107727"/>
    <w:rsid w:val="1211524D"/>
    <w:rsid w:val="121214FE"/>
    <w:rsid w:val="1218482D"/>
    <w:rsid w:val="12186DE8"/>
    <w:rsid w:val="121F796A"/>
    <w:rsid w:val="12231C19"/>
    <w:rsid w:val="122D02D9"/>
    <w:rsid w:val="12323B41"/>
    <w:rsid w:val="12325A4F"/>
    <w:rsid w:val="12373EC2"/>
    <w:rsid w:val="12435D4E"/>
    <w:rsid w:val="12521AED"/>
    <w:rsid w:val="12541D09"/>
    <w:rsid w:val="1259099D"/>
    <w:rsid w:val="125D05FA"/>
    <w:rsid w:val="126132D0"/>
    <w:rsid w:val="12614426"/>
    <w:rsid w:val="12617F82"/>
    <w:rsid w:val="12723F3D"/>
    <w:rsid w:val="12761F5D"/>
    <w:rsid w:val="129C3D23"/>
    <w:rsid w:val="129C6B7B"/>
    <w:rsid w:val="12A016D2"/>
    <w:rsid w:val="12B02CB8"/>
    <w:rsid w:val="12BE3627"/>
    <w:rsid w:val="12C90E77"/>
    <w:rsid w:val="12CA1FCB"/>
    <w:rsid w:val="12CD4BAE"/>
    <w:rsid w:val="12E50042"/>
    <w:rsid w:val="12EA441C"/>
    <w:rsid w:val="12FD3C8D"/>
    <w:rsid w:val="12FD7D55"/>
    <w:rsid w:val="13002DFB"/>
    <w:rsid w:val="13083509"/>
    <w:rsid w:val="130C25E4"/>
    <w:rsid w:val="13111617"/>
    <w:rsid w:val="1326290F"/>
    <w:rsid w:val="132711CC"/>
    <w:rsid w:val="13274D28"/>
    <w:rsid w:val="132F1E2E"/>
    <w:rsid w:val="134E2C98"/>
    <w:rsid w:val="13705615"/>
    <w:rsid w:val="138278A7"/>
    <w:rsid w:val="138572BA"/>
    <w:rsid w:val="138B2801"/>
    <w:rsid w:val="13916645"/>
    <w:rsid w:val="139879D4"/>
    <w:rsid w:val="13A91BE1"/>
    <w:rsid w:val="13B074E1"/>
    <w:rsid w:val="13B10A95"/>
    <w:rsid w:val="13BF31B2"/>
    <w:rsid w:val="13C53479"/>
    <w:rsid w:val="13D529D6"/>
    <w:rsid w:val="13D937D5"/>
    <w:rsid w:val="13DA2891"/>
    <w:rsid w:val="13DA31D5"/>
    <w:rsid w:val="13E175CD"/>
    <w:rsid w:val="13E97311"/>
    <w:rsid w:val="13F13AA5"/>
    <w:rsid w:val="13F1532B"/>
    <w:rsid w:val="13F55EAC"/>
    <w:rsid w:val="13FA243C"/>
    <w:rsid w:val="13FC4407"/>
    <w:rsid w:val="14011A1D"/>
    <w:rsid w:val="140212F1"/>
    <w:rsid w:val="141C138F"/>
    <w:rsid w:val="1426049F"/>
    <w:rsid w:val="14294AD0"/>
    <w:rsid w:val="14301436"/>
    <w:rsid w:val="14302302"/>
    <w:rsid w:val="14305E5E"/>
    <w:rsid w:val="14337B41"/>
    <w:rsid w:val="14394E19"/>
    <w:rsid w:val="143C2A55"/>
    <w:rsid w:val="14436CA5"/>
    <w:rsid w:val="144B2C98"/>
    <w:rsid w:val="145002AE"/>
    <w:rsid w:val="145558C5"/>
    <w:rsid w:val="145E6E6F"/>
    <w:rsid w:val="14773A8D"/>
    <w:rsid w:val="147A532B"/>
    <w:rsid w:val="147C72F5"/>
    <w:rsid w:val="14902DA1"/>
    <w:rsid w:val="14A32AD4"/>
    <w:rsid w:val="14A800EA"/>
    <w:rsid w:val="14B44CE1"/>
    <w:rsid w:val="14B460BF"/>
    <w:rsid w:val="14BD60C0"/>
    <w:rsid w:val="14DB3E86"/>
    <w:rsid w:val="14DC5FE6"/>
    <w:rsid w:val="14ED3D4F"/>
    <w:rsid w:val="14EE79C4"/>
    <w:rsid w:val="14EF3359"/>
    <w:rsid w:val="14F909BD"/>
    <w:rsid w:val="14F926F4"/>
    <w:rsid w:val="15245D38"/>
    <w:rsid w:val="152E4C16"/>
    <w:rsid w:val="15393438"/>
    <w:rsid w:val="156D6C3E"/>
    <w:rsid w:val="156E44B7"/>
    <w:rsid w:val="15714980"/>
    <w:rsid w:val="15B605E5"/>
    <w:rsid w:val="15B8610B"/>
    <w:rsid w:val="15BD5E17"/>
    <w:rsid w:val="15DA2833"/>
    <w:rsid w:val="15E213DA"/>
    <w:rsid w:val="15E84A54"/>
    <w:rsid w:val="15EF1D50"/>
    <w:rsid w:val="15F15AC1"/>
    <w:rsid w:val="15F1786F"/>
    <w:rsid w:val="15F630D7"/>
    <w:rsid w:val="15F746EC"/>
    <w:rsid w:val="15FA4976"/>
    <w:rsid w:val="16072A61"/>
    <w:rsid w:val="16135A37"/>
    <w:rsid w:val="16181094"/>
    <w:rsid w:val="161F262E"/>
    <w:rsid w:val="162109F2"/>
    <w:rsid w:val="16253B6C"/>
    <w:rsid w:val="164522C1"/>
    <w:rsid w:val="164E6A70"/>
    <w:rsid w:val="165A4951"/>
    <w:rsid w:val="165C118C"/>
    <w:rsid w:val="16663DB9"/>
    <w:rsid w:val="166E7112"/>
    <w:rsid w:val="167A3002"/>
    <w:rsid w:val="167A5AB7"/>
    <w:rsid w:val="167E6053"/>
    <w:rsid w:val="1699418F"/>
    <w:rsid w:val="169C5A2D"/>
    <w:rsid w:val="16A53F15"/>
    <w:rsid w:val="16AF0E7C"/>
    <w:rsid w:val="16B0772A"/>
    <w:rsid w:val="16B668B6"/>
    <w:rsid w:val="16B8213B"/>
    <w:rsid w:val="16C17C3F"/>
    <w:rsid w:val="16CB4564"/>
    <w:rsid w:val="16CD7489"/>
    <w:rsid w:val="16D847EC"/>
    <w:rsid w:val="16D937FF"/>
    <w:rsid w:val="16DB5746"/>
    <w:rsid w:val="16E1635A"/>
    <w:rsid w:val="16E3365C"/>
    <w:rsid w:val="16E601DE"/>
    <w:rsid w:val="17084E70"/>
    <w:rsid w:val="170C65FB"/>
    <w:rsid w:val="17101F77"/>
    <w:rsid w:val="171B4C37"/>
    <w:rsid w:val="17205759"/>
    <w:rsid w:val="17214184"/>
    <w:rsid w:val="172D156F"/>
    <w:rsid w:val="17386D59"/>
    <w:rsid w:val="173B2D07"/>
    <w:rsid w:val="173B60B4"/>
    <w:rsid w:val="173D184A"/>
    <w:rsid w:val="17463BEB"/>
    <w:rsid w:val="17465999"/>
    <w:rsid w:val="174D4F1E"/>
    <w:rsid w:val="176B15B5"/>
    <w:rsid w:val="176D73C9"/>
    <w:rsid w:val="17742506"/>
    <w:rsid w:val="177E0339"/>
    <w:rsid w:val="178733DE"/>
    <w:rsid w:val="17884F40"/>
    <w:rsid w:val="17935082"/>
    <w:rsid w:val="1795227F"/>
    <w:rsid w:val="179606CE"/>
    <w:rsid w:val="17A032FB"/>
    <w:rsid w:val="17AB33AE"/>
    <w:rsid w:val="17C36D52"/>
    <w:rsid w:val="17C444A6"/>
    <w:rsid w:val="17E70F2A"/>
    <w:rsid w:val="17EC02EE"/>
    <w:rsid w:val="17F13B56"/>
    <w:rsid w:val="17F47F24"/>
    <w:rsid w:val="17F673BF"/>
    <w:rsid w:val="180970F2"/>
    <w:rsid w:val="180D30CD"/>
    <w:rsid w:val="181069B7"/>
    <w:rsid w:val="18185587"/>
    <w:rsid w:val="181B355C"/>
    <w:rsid w:val="183879D7"/>
    <w:rsid w:val="183D6D9C"/>
    <w:rsid w:val="18467B27"/>
    <w:rsid w:val="184D053A"/>
    <w:rsid w:val="18626FF9"/>
    <w:rsid w:val="186366E1"/>
    <w:rsid w:val="186C7681"/>
    <w:rsid w:val="18974CF5"/>
    <w:rsid w:val="18AB63FB"/>
    <w:rsid w:val="18AE7C99"/>
    <w:rsid w:val="18BC5F12"/>
    <w:rsid w:val="18C33F5F"/>
    <w:rsid w:val="18C92265"/>
    <w:rsid w:val="18D45952"/>
    <w:rsid w:val="18E169A8"/>
    <w:rsid w:val="18E54353"/>
    <w:rsid w:val="18EF593B"/>
    <w:rsid w:val="18F03E0E"/>
    <w:rsid w:val="18F71640"/>
    <w:rsid w:val="18F962EE"/>
    <w:rsid w:val="18FA6A3B"/>
    <w:rsid w:val="18FC7C4A"/>
    <w:rsid w:val="19004993"/>
    <w:rsid w:val="190B0C48"/>
    <w:rsid w:val="190D44B0"/>
    <w:rsid w:val="190F2B7A"/>
    <w:rsid w:val="191331C3"/>
    <w:rsid w:val="19151D04"/>
    <w:rsid w:val="192E299C"/>
    <w:rsid w:val="19324427"/>
    <w:rsid w:val="19325762"/>
    <w:rsid w:val="193A6353"/>
    <w:rsid w:val="19420699"/>
    <w:rsid w:val="1968609A"/>
    <w:rsid w:val="196B16E7"/>
    <w:rsid w:val="196C3258"/>
    <w:rsid w:val="19722A75"/>
    <w:rsid w:val="19803344"/>
    <w:rsid w:val="19870C59"/>
    <w:rsid w:val="198F3627"/>
    <w:rsid w:val="199565B0"/>
    <w:rsid w:val="19A1264D"/>
    <w:rsid w:val="19B8515E"/>
    <w:rsid w:val="19CB5AB6"/>
    <w:rsid w:val="19D1592B"/>
    <w:rsid w:val="19DD25E4"/>
    <w:rsid w:val="19EC4E08"/>
    <w:rsid w:val="19F16090"/>
    <w:rsid w:val="19F85A24"/>
    <w:rsid w:val="1A0A3B88"/>
    <w:rsid w:val="1A0D7EBB"/>
    <w:rsid w:val="1A1A1D9C"/>
    <w:rsid w:val="1A206975"/>
    <w:rsid w:val="1A2367C2"/>
    <w:rsid w:val="1A255D39"/>
    <w:rsid w:val="1A3146DE"/>
    <w:rsid w:val="1A354A84"/>
    <w:rsid w:val="1A407F9A"/>
    <w:rsid w:val="1A524B44"/>
    <w:rsid w:val="1A5605E9"/>
    <w:rsid w:val="1A587EBD"/>
    <w:rsid w:val="1A6745A4"/>
    <w:rsid w:val="1A701A29"/>
    <w:rsid w:val="1A775075"/>
    <w:rsid w:val="1A7F18ED"/>
    <w:rsid w:val="1A8E40C3"/>
    <w:rsid w:val="1A926570"/>
    <w:rsid w:val="1A934E56"/>
    <w:rsid w:val="1A9449E1"/>
    <w:rsid w:val="1AAC1FB7"/>
    <w:rsid w:val="1AAF05AB"/>
    <w:rsid w:val="1AB03E05"/>
    <w:rsid w:val="1AB62E35"/>
    <w:rsid w:val="1AB63A59"/>
    <w:rsid w:val="1AB8583A"/>
    <w:rsid w:val="1AC8028B"/>
    <w:rsid w:val="1AC86612"/>
    <w:rsid w:val="1ADC3C2A"/>
    <w:rsid w:val="1ADE4866"/>
    <w:rsid w:val="1ADF38BA"/>
    <w:rsid w:val="1AE07BFA"/>
    <w:rsid w:val="1AE12AC5"/>
    <w:rsid w:val="1AE973B2"/>
    <w:rsid w:val="1B0961FE"/>
    <w:rsid w:val="1B0D0607"/>
    <w:rsid w:val="1B0F0EC3"/>
    <w:rsid w:val="1B155C14"/>
    <w:rsid w:val="1B33402F"/>
    <w:rsid w:val="1B394FA6"/>
    <w:rsid w:val="1B3A4F9B"/>
    <w:rsid w:val="1B582F45"/>
    <w:rsid w:val="1B6034CD"/>
    <w:rsid w:val="1B6A434C"/>
    <w:rsid w:val="1B750E0A"/>
    <w:rsid w:val="1B8060A9"/>
    <w:rsid w:val="1B8D003A"/>
    <w:rsid w:val="1B98192F"/>
    <w:rsid w:val="1B9856CC"/>
    <w:rsid w:val="1BA43ED6"/>
    <w:rsid w:val="1BA67EAE"/>
    <w:rsid w:val="1BAA7DFF"/>
    <w:rsid w:val="1BB26ED7"/>
    <w:rsid w:val="1BBF0A0B"/>
    <w:rsid w:val="1BC17CE4"/>
    <w:rsid w:val="1BC752FA"/>
    <w:rsid w:val="1BCD48DA"/>
    <w:rsid w:val="1BD465CD"/>
    <w:rsid w:val="1BD46DDD"/>
    <w:rsid w:val="1BDC68CC"/>
    <w:rsid w:val="1BE35EAC"/>
    <w:rsid w:val="1BEA74D5"/>
    <w:rsid w:val="1BF105C9"/>
    <w:rsid w:val="1BF46F59"/>
    <w:rsid w:val="1BFC2B0A"/>
    <w:rsid w:val="1BFD436D"/>
    <w:rsid w:val="1C084312"/>
    <w:rsid w:val="1C1C4F1A"/>
    <w:rsid w:val="1C33576D"/>
    <w:rsid w:val="1C3A5A50"/>
    <w:rsid w:val="1C4050AC"/>
    <w:rsid w:val="1C406E5A"/>
    <w:rsid w:val="1C540E62"/>
    <w:rsid w:val="1C673348"/>
    <w:rsid w:val="1C6868DC"/>
    <w:rsid w:val="1C6B0A50"/>
    <w:rsid w:val="1C6F468F"/>
    <w:rsid w:val="1C7B54D2"/>
    <w:rsid w:val="1C7B60E4"/>
    <w:rsid w:val="1C860AB9"/>
    <w:rsid w:val="1C870D0E"/>
    <w:rsid w:val="1C8B457A"/>
    <w:rsid w:val="1C8F2A04"/>
    <w:rsid w:val="1C913B5A"/>
    <w:rsid w:val="1C9378D2"/>
    <w:rsid w:val="1C955E7D"/>
    <w:rsid w:val="1C9571A6"/>
    <w:rsid w:val="1C9A2A0F"/>
    <w:rsid w:val="1CA97A8E"/>
    <w:rsid w:val="1CC261EC"/>
    <w:rsid w:val="1CC4128B"/>
    <w:rsid w:val="1CCC7841"/>
    <w:rsid w:val="1CDA3655"/>
    <w:rsid w:val="1CDB34BD"/>
    <w:rsid w:val="1CDC3027"/>
    <w:rsid w:val="1CDD28FB"/>
    <w:rsid w:val="1CF77E61"/>
    <w:rsid w:val="1CF87735"/>
    <w:rsid w:val="1D0205B4"/>
    <w:rsid w:val="1D0409B8"/>
    <w:rsid w:val="1D291620"/>
    <w:rsid w:val="1D2E13A9"/>
    <w:rsid w:val="1D4B2DA6"/>
    <w:rsid w:val="1D5521F6"/>
    <w:rsid w:val="1D5E3A3C"/>
    <w:rsid w:val="1D5F77B4"/>
    <w:rsid w:val="1D644DCB"/>
    <w:rsid w:val="1D7019C1"/>
    <w:rsid w:val="1D7805E6"/>
    <w:rsid w:val="1D882867"/>
    <w:rsid w:val="1D8D2573"/>
    <w:rsid w:val="1D927B8A"/>
    <w:rsid w:val="1DAA6C81"/>
    <w:rsid w:val="1DAB29F9"/>
    <w:rsid w:val="1DB45D52"/>
    <w:rsid w:val="1DBC56B0"/>
    <w:rsid w:val="1DBD5201"/>
    <w:rsid w:val="1DC33EE0"/>
    <w:rsid w:val="1DC53ABB"/>
    <w:rsid w:val="1DC57394"/>
    <w:rsid w:val="1DE3579B"/>
    <w:rsid w:val="1DE92230"/>
    <w:rsid w:val="1DF4614E"/>
    <w:rsid w:val="1E01086B"/>
    <w:rsid w:val="1E027EE6"/>
    <w:rsid w:val="1E086AA1"/>
    <w:rsid w:val="1E0C1A86"/>
    <w:rsid w:val="1E0C247C"/>
    <w:rsid w:val="1E0E6048"/>
    <w:rsid w:val="1E1D38F7"/>
    <w:rsid w:val="1E205195"/>
    <w:rsid w:val="1E3048AA"/>
    <w:rsid w:val="1E357AB7"/>
    <w:rsid w:val="1E3B3D7D"/>
    <w:rsid w:val="1E42335E"/>
    <w:rsid w:val="1E486FB3"/>
    <w:rsid w:val="1E562965"/>
    <w:rsid w:val="1E684081"/>
    <w:rsid w:val="1E6A6411"/>
    <w:rsid w:val="1E72390E"/>
    <w:rsid w:val="1E784787"/>
    <w:rsid w:val="1E90464B"/>
    <w:rsid w:val="1E91399D"/>
    <w:rsid w:val="1E933BB9"/>
    <w:rsid w:val="1E982F7E"/>
    <w:rsid w:val="1E9A16A4"/>
    <w:rsid w:val="1EA115DC"/>
    <w:rsid w:val="1EA622D6"/>
    <w:rsid w:val="1EA66BF4"/>
    <w:rsid w:val="1EA823E7"/>
    <w:rsid w:val="1EAE27A1"/>
    <w:rsid w:val="1EC4153C"/>
    <w:rsid w:val="1ED434EA"/>
    <w:rsid w:val="1EE04189"/>
    <w:rsid w:val="1EF6451D"/>
    <w:rsid w:val="1F0215B9"/>
    <w:rsid w:val="1F071E17"/>
    <w:rsid w:val="1F0E2740"/>
    <w:rsid w:val="1F106802"/>
    <w:rsid w:val="1F316F2E"/>
    <w:rsid w:val="1F323F18"/>
    <w:rsid w:val="1F3C7DAD"/>
    <w:rsid w:val="1F4263ED"/>
    <w:rsid w:val="1F57750C"/>
    <w:rsid w:val="1F65554F"/>
    <w:rsid w:val="1F757A5A"/>
    <w:rsid w:val="1F770977"/>
    <w:rsid w:val="1F7A5729"/>
    <w:rsid w:val="1F813A12"/>
    <w:rsid w:val="1F8452B0"/>
    <w:rsid w:val="1F9C084C"/>
    <w:rsid w:val="1F9F477D"/>
    <w:rsid w:val="1FA86760"/>
    <w:rsid w:val="1FAA1080"/>
    <w:rsid w:val="1FBD490B"/>
    <w:rsid w:val="1FC64EB5"/>
    <w:rsid w:val="1FD46237"/>
    <w:rsid w:val="1FD57D6A"/>
    <w:rsid w:val="1FDE0E64"/>
    <w:rsid w:val="1FED3128"/>
    <w:rsid w:val="1FF15CD2"/>
    <w:rsid w:val="1FF94B77"/>
    <w:rsid w:val="200D1749"/>
    <w:rsid w:val="200F3CC3"/>
    <w:rsid w:val="201605FE"/>
    <w:rsid w:val="201C198C"/>
    <w:rsid w:val="20295219"/>
    <w:rsid w:val="202B1903"/>
    <w:rsid w:val="202B5A1D"/>
    <w:rsid w:val="202D1F13"/>
    <w:rsid w:val="20320ECE"/>
    <w:rsid w:val="20362A4E"/>
    <w:rsid w:val="205729C5"/>
    <w:rsid w:val="20647D92"/>
    <w:rsid w:val="206F7D0E"/>
    <w:rsid w:val="20717F2A"/>
    <w:rsid w:val="20765541"/>
    <w:rsid w:val="207F30F4"/>
    <w:rsid w:val="20841CDA"/>
    <w:rsid w:val="208A68D6"/>
    <w:rsid w:val="209508F1"/>
    <w:rsid w:val="209854B7"/>
    <w:rsid w:val="20AF1DF1"/>
    <w:rsid w:val="20B16579"/>
    <w:rsid w:val="20B61DE1"/>
    <w:rsid w:val="20BD6CCC"/>
    <w:rsid w:val="20C17B34"/>
    <w:rsid w:val="20CA20D8"/>
    <w:rsid w:val="20CA7DA4"/>
    <w:rsid w:val="20CB0A5D"/>
    <w:rsid w:val="20CC33B3"/>
    <w:rsid w:val="20CD0373"/>
    <w:rsid w:val="20D44FAE"/>
    <w:rsid w:val="20DF30E6"/>
    <w:rsid w:val="20EC5803"/>
    <w:rsid w:val="20EE3329"/>
    <w:rsid w:val="21065E6D"/>
    <w:rsid w:val="210E5F6C"/>
    <w:rsid w:val="21101404"/>
    <w:rsid w:val="211C60E8"/>
    <w:rsid w:val="212B528A"/>
    <w:rsid w:val="21321F54"/>
    <w:rsid w:val="21333432"/>
    <w:rsid w:val="213B49D7"/>
    <w:rsid w:val="21426E78"/>
    <w:rsid w:val="215D246D"/>
    <w:rsid w:val="216E446A"/>
    <w:rsid w:val="21820DBB"/>
    <w:rsid w:val="21867A05"/>
    <w:rsid w:val="218F4379"/>
    <w:rsid w:val="2191285E"/>
    <w:rsid w:val="21A73D0E"/>
    <w:rsid w:val="21C83B7A"/>
    <w:rsid w:val="21D56297"/>
    <w:rsid w:val="21EE2173"/>
    <w:rsid w:val="21EF23EB"/>
    <w:rsid w:val="21F04E7F"/>
    <w:rsid w:val="21F42BC1"/>
    <w:rsid w:val="21F8485E"/>
    <w:rsid w:val="22105521"/>
    <w:rsid w:val="221072CF"/>
    <w:rsid w:val="22146DBF"/>
    <w:rsid w:val="22162B37"/>
    <w:rsid w:val="221C21DB"/>
    <w:rsid w:val="221F7512"/>
    <w:rsid w:val="22230DB0"/>
    <w:rsid w:val="222423CF"/>
    <w:rsid w:val="2230171F"/>
    <w:rsid w:val="22465C8A"/>
    <w:rsid w:val="226532D0"/>
    <w:rsid w:val="226B1251"/>
    <w:rsid w:val="226D6F84"/>
    <w:rsid w:val="226E180E"/>
    <w:rsid w:val="22725A97"/>
    <w:rsid w:val="228E4DC3"/>
    <w:rsid w:val="229B128E"/>
    <w:rsid w:val="229B303C"/>
    <w:rsid w:val="22A33C22"/>
    <w:rsid w:val="22A46395"/>
    <w:rsid w:val="22A53EBB"/>
    <w:rsid w:val="22A77C33"/>
    <w:rsid w:val="22B02E93"/>
    <w:rsid w:val="22C8518E"/>
    <w:rsid w:val="22CD0A55"/>
    <w:rsid w:val="22CD398B"/>
    <w:rsid w:val="22CE51C0"/>
    <w:rsid w:val="22E30976"/>
    <w:rsid w:val="22E9024C"/>
    <w:rsid w:val="22E91FFA"/>
    <w:rsid w:val="22FF181D"/>
    <w:rsid w:val="230A1F70"/>
    <w:rsid w:val="230A5908"/>
    <w:rsid w:val="230D784D"/>
    <w:rsid w:val="231A50A3"/>
    <w:rsid w:val="232648D2"/>
    <w:rsid w:val="2327596C"/>
    <w:rsid w:val="232D3F4F"/>
    <w:rsid w:val="232E56F6"/>
    <w:rsid w:val="23377209"/>
    <w:rsid w:val="233F7E6C"/>
    <w:rsid w:val="23405B13"/>
    <w:rsid w:val="23533917"/>
    <w:rsid w:val="235558E1"/>
    <w:rsid w:val="23675615"/>
    <w:rsid w:val="2375784A"/>
    <w:rsid w:val="237644FD"/>
    <w:rsid w:val="237F295E"/>
    <w:rsid w:val="23AE6D9F"/>
    <w:rsid w:val="23B048C6"/>
    <w:rsid w:val="23B72229"/>
    <w:rsid w:val="23BE3486"/>
    <w:rsid w:val="23DD5E40"/>
    <w:rsid w:val="23E6478B"/>
    <w:rsid w:val="23E94EA8"/>
    <w:rsid w:val="23EB1DB1"/>
    <w:rsid w:val="23EB3B50"/>
    <w:rsid w:val="23F7716E"/>
    <w:rsid w:val="240060B6"/>
    <w:rsid w:val="240750AB"/>
    <w:rsid w:val="24084702"/>
    <w:rsid w:val="241237D2"/>
    <w:rsid w:val="24284DA4"/>
    <w:rsid w:val="2432297F"/>
    <w:rsid w:val="24373782"/>
    <w:rsid w:val="243C570C"/>
    <w:rsid w:val="243C6E92"/>
    <w:rsid w:val="245416F5"/>
    <w:rsid w:val="24547FB1"/>
    <w:rsid w:val="24575689"/>
    <w:rsid w:val="245A260B"/>
    <w:rsid w:val="247753E3"/>
    <w:rsid w:val="247C0C4C"/>
    <w:rsid w:val="24892C49"/>
    <w:rsid w:val="248B003B"/>
    <w:rsid w:val="24941AEF"/>
    <w:rsid w:val="249A1F8C"/>
    <w:rsid w:val="24A46D4D"/>
    <w:rsid w:val="24A65CC9"/>
    <w:rsid w:val="24B2466D"/>
    <w:rsid w:val="24B71C84"/>
    <w:rsid w:val="24B91EA0"/>
    <w:rsid w:val="24B93C4E"/>
    <w:rsid w:val="24D520B6"/>
    <w:rsid w:val="24DB1E16"/>
    <w:rsid w:val="24E567F1"/>
    <w:rsid w:val="24EA0FAB"/>
    <w:rsid w:val="24EA7087"/>
    <w:rsid w:val="24FB7DC2"/>
    <w:rsid w:val="25006BE0"/>
    <w:rsid w:val="250824DF"/>
    <w:rsid w:val="25090731"/>
    <w:rsid w:val="250B7D64"/>
    <w:rsid w:val="2513335E"/>
    <w:rsid w:val="25162E4E"/>
    <w:rsid w:val="2524556B"/>
    <w:rsid w:val="252C1E57"/>
    <w:rsid w:val="252C4420"/>
    <w:rsid w:val="252E7CF3"/>
    <w:rsid w:val="253A32B3"/>
    <w:rsid w:val="254B4ECF"/>
    <w:rsid w:val="254E25E8"/>
    <w:rsid w:val="255155A3"/>
    <w:rsid w:val="255641C8"/>
    <w:rsid w:val="25665B84"/>
    <w:rsid w:val="257302A1"/>
    <w:rsid w:val="257F6C45"/>
    <w:rsid w:val="2583502A"/>
    <w:rsid w:val="2583645A"/>
    <w:rsid w:val="258A1146"/>
    <w:rsid w:val="25965D3D"/>
    <w:rsid w:val="259A75DB"/>
    <w:rsid w:val="25B60C44"/>
    <w:rsid w:val="25B711A3"/>
    <w:rsid w:val="25B74631"/>
    <w:rsid w:val="25BD776E"/>
    <w:rsid w:val="25C6270F"/>
    <w:rsid w:val="25C74149"/>
    <w:rsid w:val="25D557B2"/>
    <w:rsid w:val="25D56865"/>
    <w:rsid w:val="25D8140D"/>
    <w:rsid w:val="25DC5E46"/>
    <w:rsid w:val="25DF79AA"/>
    <w:rsid w:val="25E16060"/>
    <w:rsid w:val="25F02691"/>
    <w:rsid w:val="25F56F08"/>
    <w:rsid w:val="26040EF9"/>
    <w:rsid w:val="26103D41"/>
    <w:rsid w:val="26174D20"/>
    <w:rsid w:val="26261CCC"/>
    <w:rsid w:val="26357304"/>
    <w:rsid w:val="2641214D"/>
    <w:rsid w:val="265422C6"/>
    <w:rsid w:val="2661634B"/>
    <w:rsid w:val="266D761C"/>
    <w:rsid w:val="268169ED"/>
    <w:rsid w:val="268A7CDA"/>
    <w:rsid w:val="269425EF"/>
    <w:rsid w:val="26A41971"/>
    <w:rsid w:val="26AB76F9"/>
    <w:rsid w:val="26BA7F2B"/>
    <w:rsid w:val="26BE2EE1"/>
    <w:rsid w:val="26C31CF7"/>
    <w:rsid w:val="26C80178"/>
    <w:rsid w:val="26D0702D"/>
    <w:rsid w:val="26DB4FDA"/>
    <w:rsid w:val="26DF7C14"/>
    <w:rsid w:val="26E256DE"/>
    <w:rsid w:val="26F7280B"/>
    <w:rsid w:val="26FC7E22"/>
    <w:rsid w:val="27014B68"/>
    <w:rsid w:val="2708078A"/>
    <w:rsid w:val="271433BD"/>
    <w:rsid w:val="27161787"/>
    <w:rsid w:val="271F69C2"/>
    <w:rsid w:val="2720150F"/>
    <w:rsid w:val="27455C6D"/>
    <w:rsid w:val="27475541"/>
    <w:rsid w:val="275639D6"/>
    <w:rsid w:val="27570310"/>
    <w:rsid w:val="2761756F"/>
    <w:rsid w:val="27750300"/>
    <w:rsid w:val="27764078"/>
    <w:rsid w:val="27815213"/>
    <w:rsid w:val="278250BA"/>
    <w:rsid w:val="278C389C"/>
    <w:rsid w:val="2790513A"/>
    <w:rsid w:val="27A6367C"/>
    <w:rsid w:val="27BC491A"/>
    <w:rsid w:val="27D112AE"/>
    <w:rsid w:val="27D62DAD"/>
    <w:rsid w:val="27D75BAD"/>
    <w:rsid w:val="27E64D5A"/>
    <w:rsid w:val="27F93C91"/>
    <w:rsid w:val="27FF406E"/>
    <w:rsid w:val="28030DB9"/>
    <w:rsid w:val="280C5054"/>
    <w:rsid w:val="280F47D9"/>
    <w:rsid w:val="28237D5C"/>
    <w:rsid w:val="282425D3"/>
    <w:rsid w:val="282B09BF"/>
    <w:rsid w:val="28331871"/>
    <w:rsid w:val="285C4718"/>
    <w:rsid w:val="28616AD6"/>
    <w:rsid w:val="28642123"/>
    <w:rsid w:val="286F11F3"/>
    <w:rsid w:val="287560DE"/>
    <w:rsid w:val="28795BCE"/>
    <w:rsid w:val="28A07C29"/>
    <w:rsid w:val="28A27541"/>
    <w:rsid w:val="28A53720"/>
    <w:rsid w:val="28AF7842"/>
    <w:rsid w:val="28B766F6"/>
    <w:rsid w:val="28C84F87"/>
    <w:rsid w:val="28E868B0"/>
    <w:rsid w:val="28ED036A"/>
    <w:rsid w:val="29053906"/>
    <w:rsid w:val="290F02E0"/>
    <w:rsid w:val="29195CD1"/>
    <w:rsid w:val="291C3785"/>
    <w:rsid w:val="291D4652"/>
    <w:rsid w:val="292E58D9"/>
    <w:rsid w:val="29315F26"/>
    <w:rsid w:val="293733EB"/>
    <w:rsid w:val="29471514"/>
    <w:rsid w:val="294E538A"/>
    <w:rsid w:val="294F4B81"/>
    <w:rsid w:val="295B3526"/>
    <w:rsid w:val="296063B7"/>
    <w:rsid w:val="296E14AB"/>
    <w:rsid w:val="2970785F"/>
    <w:rsid w:val="298016AC"/>
    <w:rsid w:val="298A2896"/>
    <w:rsid w:val="299331DB"/>
    <w:rsid w:val="2993577D"/>
    <w:rsid w:val="29AE7AF9"/>
    <w:rsid w:val="29B570DA"/>
    <w:rsid w:val="29BD7D3C"/>
    <w:rsid w:val="29CA4B8D"/>
    <w:rsid w:val="29D15596"/>
    <w:rsid w:val="29E21551"/>
    <w:rsid w:val="29E22D43"/>
    <w:rsid w:val="29E85C6D"/>
    <w:rsid w:val="29F141A9"/>
    <w:rsid w:val="29F413F4"/>
    <w:rsid w:val="29FF0124"/>
    <w:rsid w:val="2A04596B"/>
    <w:rsid w:val="2A0B4F4C"/>
    <w:rsid w:val="2A217B28"/>
    <w:rsid w:val="2A331DAD"/>
    <w:rsid w:val="2A353D77"/>
    <w:rsid w:val="2A3F69A3"/>
    <w:rsid w:val="2A461AE0"/>
    <w:rsid w:val="2A4B17EC"/>
    <w:rsid w:val="2A583FD0"/>
    <w:rsid w:val="2A5A37DD"/>
    <w:rsid w:val="2A5B00E1"/>
    <w:rsid w:val="2A61691A"/>
    <w:rsid w:val="2A6B27C4"/>
    <w:rsid w:val="2A6B6F23"/>
    <w:rsid w:val="2A706CFE"/>
    <w:rsid w:val="2A834AE2"/>
    <w:rsid w:val="2A8A4EA9"/>
    <w:rsid w:val="2A9E7B6E"/>
    <w:rsid w:val="2AAE58D7"/>
    <w:rsid w:val="2AB1497D"/>
    <w:rsid w:val="2ABD1522"/>
    <w:rsid w:val="2ABE4F41"/>
    <w:rsid w:val="2ACD477C"/>
    <w:rsid w:val="2AD16EBA"/>
    <w:rsid w:val="2AE00186"/>
    <w:rsid w:val="2AE31A25"/>
    <w:rsid w:val="2AED1FC6"/>
    <w:rsid w:val="2AF754D0"/>
    <w:rsid w:val="2B2142FB"/>
    <w:rsid w:val="2B2210E6"/>
    <w:rsid w:val="2B2362C5"/>
    <w:rsid w:val="2B3758CC"/>
    <w:rsid w:val="2B416F5E"/>
    <w:rsid w:val="2B430804"/>
    <w:rsid w:val="2B5B15BB"/>
    <w:rsid w:val="2B6B481A"/>
    <w:rsid w:val="2B6E5792"/>
    <w:rsid w:val="2B6F6391"/>
    <w:rsid w:val="2B8C3E6A"/>
    <w:rsid w:val="2B8F5708"/>
    <w:rsid w:val="2B905842"/>
    <w:rsid w:val="2B913928"/>
    <w:rsid w:val="2B9454DA"/>
    <w:rsid w:val="2B9B39BE"/>
    <w:rsid w:val="2B9E0E20"/>
    <w:rsid w:val="2BBE7D9C"/>
    <w:rsid w:val="2BC058C2"/>
    <w:rsid w:val="2BC111D4"/>
    <w:rsid w:val="2BD355F5"/>
    <w:rsid w:val="2BE23A8A"/>
    <w:rsid w:val="2BF51A0F"/>
    <w:rsid w:val="2C1520B2"/>
    <w:rsid w:val="2C1A3E78"/>
    <w:rsid w:val="2C1C3349"/>
    <w:rsid w:val="2C1D4AC2"/>
    <w:rsid w:val="2C20190A"/>
    <w:rsid w:val="2C29790B"/>
    <w:rsid w:val="2C3047F6"/>
    <w:rsid w:val="2C365B84"/>
    <w:rsid w:val="2C3F5730"/>
    <w:rsid w:val="2C4B162F"/>
    <w:rsid w:val="2C5D0E7F"/>
    <w:rsid w:val="2C622F99"/>
    <w:rsid w:val="2C6C77F8"/>
    <w:rsid w:val="2C6D3C9C"/>
    <w:rsid w:val="2C7E7C57"/>
    <w:rsid w:val="2C923702"/>
    <w:rsid w:val="2C9F60E5"/>
    <w:rsid w:val="2CA03149"/>
    <w:rsid w:val="2CAC5A98"/>
    <w:rsid w:val="2CAC76BE"/>
    <w:rsid w:val="2CB03B88"/>
    <w:rsid w:val="2CB4572B"/>
    <w:rsid w:val="2CBA43B5"/>
    <w:rsid w:val="2CC56979"/>
    <w:rsid w:val="2CC67518"/>
    <w:rsid w:val="2CCE2260"/>
    <w:rsid w:val="2CD21D51"/>
    <w:rsid w:val="2CD50364"/>
    <w:rsid w:val="2CE11F94"/>
    <w:rsid w:val="2CE37ABA"/>
    <w:rsid w:val="2CFC1B72"/>
    <w:rsid w:val="2D152395"/>
    <w:rsid w:val="2D19172E"/>
    <w:rsid w:val="2D1934DC"/>
    <w:rsid w:val="2D297497"/>
    <w:rsid w:val="2D2C1130"/>
    <w:rsid w:val="2D2D63FA"/>
    <w:rsid w:val="2D2F2CFF"/>
    <w:rsid w:val="2D3C079C"/>
    <w:rsid w:val="2D3E56E7"/>
    <w:rsid w:val="2D4608CE"/>
    <w:rsid w:val="2D483DC1"/>
    <w:rsid w:val="2D487C1A"/>
    <w:rsid w:val="2D4A18E7"/>
    <w:rsid w:val="2D4B38B1"/>
    <w:rsid w:val="2D4D65D3"/>
    <w:rsid w:val="2D4F33A1"/>
    <w:rsid w:val="2D5B1D46"/>
    <w:rsid w:val="2D6474F3"/>
    <w:rsid w:val="2D7347E1"/>
    <w:rsid w:val="2D7834AC"/>
    <w:rsid w:val="2D7D7F0E"/>
    <w:rsid w:val="2D845CE8"/>
    <w:rsid w:val="2D8F379E"/>
    <w:rsid w:val="2D986AF6"/>
    <w:rsid w:val="2D990AC0"/>
    <w:rsid w:val="2D9D235F"/>
    <w:rsid w:val="2DB222B5"/>
    <w:rsid w:val="2DC50CCB"/>
    <w:rsid w:val="2DC93154"/>
    <w:rsid w:val="2DE25FC3"/>
    <w:rsid w:val="2DE925D1"/>
    <w:rsid w:val="2DEB679E"/>
    <w:rsid w:val="2DFC2773"/>
    <w:rsid w:val="2E2746AC"/>
    <w:rsid w:val="2E415BED"/>
    <w:rsid w:val="2E450300"/>
    <w:rsid w:val="2E474078"/>
    <w:rsid w:val="2E48330B"/>
    <w:rsid w:val="2E552C39"/>
    <w:rsid w:val="2E597D48"/>
    <w:rsid w:val="2E5A3DAC"/>
    <w:rsid w:val="2E652751"/>
    <w:rsid w:val="2E7734F2"/>
    <w:rsid w:val="2E7B0EC8"/>
    <w:rsid w:val="2E84707B"/>
    <w:rsid w:val="2E8974F1"/>
    <w:rsid w:val="2E8B0409"/>
    <w:rsid w:val="2EAD1421"/>
    <w:rsid w:val="2ED3341D"/>
    <w:rsid w:val="2EDF2503"/>
    <w:rsid w:val="2EE27DC4"/>
    <w:rsid w:val="2EE67D35"/>
    <w:rsid w:val="2EED69CE"/>
    <w:rsid w:val="2EF15D2F"/>
    <w:rsid w:val="2EF54A21"/>
    <w:rsid w:val="2F034443"/>
    <w:rsid w:val="2F127DB7"/>
    <w:rsid w:val="2F230642"/>
    <w:rsid w:val="2F302D5E"/>
    <w:rsid w:val="2F3B228F"/>
    <w:rsid w:val="2F407445"/>
    <w:rsid w:val="2F417592"/>
    <w:rsid w:val="2F552E04"/>
    <w:rsid w:val="2F582888"/>
    <w:rsid w:val="2F6F7D3D"/>
    <w:rsid w:val="2F811B25"/>
    <w:rsid w:val="2F860BD0"/>
    <w:rsid w:val="2F8C4439"/>
    <w:rsid w:val="2F8C7D96"/>
    <w:rsid w:val="2F8D6403"/>
    <w:rsid w:val="2F9A43BB"/>
    <w:rsid w:val="2FAA7FCD"/>
    <w:rsid w:val="2FAD7ACB"/>
    <w:rsid w:val="2FC4357E"/>
    <w:rsid w:val="2FC57C8B"/>
    <w:rsid w:val="2FCD4E0C"/>
    <w:rsid w:val="2FD14541"/>
    <w:rsid w:val="2FD63906"/>
    <w:rsid w:val="2FDE27BA"/>
    <w:rsid w:val="2FE2689D"/>
    <w:rsid w:val="2FE53B49"/>
    <w:rsid w:val="2FF40230"/>
    <w:rsid w:val="2FF5020A"/>
    <w:rsid w:val="2FFD5337"/>
    <w:rsid w:val="2FFF4AB4"/>
    <w:rsid w:val="300206D5"/>
    <w:rsid w:val="3011060A"/>
    <w:rsid w:val="301A6EC9"/>
    <w:rsid w:val="30314FE0"/>
    <w:rsid w:val="303444AB"/>
    <w:rsid w:val="303F594F"/>
    <w:rsid w:val="304B24EB"/>
    <w:rsid w:val="305B7F51"/>
    <w:rsid w:val="3063591F"/>
    <w:rsid w:val="30640F12"/>
    <w:rsid w:val="30643F13"/>
    <w:rsid w:val="3075311F"/>
    <w:rsid w:val="30770464"/>
    <w:rsid w:val="30774557"/>
    <w:rsid w:val="308A6366"/>
    <w:rsid w:val="308D02C9"/>
    <w:rsid w:val="308E5F8F"/>
    <w:rsid w:val="30907F59"/>
    <w:rsid w:val="30964F3A"/>
    <w:rsid w:val="30A0262B"/>
    <w:rsid w:val="30A9101A"/>
    <w:rsid w:val="30B73737"/>
    <w:rsid w:val="30BA1F7C"/>
    <w:rsid w:val="30C36344"/>
    <w:rsid w:val="30CB0F91"/>
    <w:rsid w:val="30D140CD"/>
    <w:rsid w:val="30D37E45"/>
    <w:rsid w:val="30E00000"/>
    <w:rsid w:val="30E363AE"/>
    <w:rsid w:val="30FA3624"/>
    <w:rsid w:val="30FD4BD0"/>
    <w:rsid w:val="31002970"/>
    <w:rsid w:val="31157420"/>
    <w:rsid w:val="31190B15"/>
    <w:rsid w:val="311F12DD"/>
    <w:rsid w:val="31293F09"/>
    <w:rsid w:val="312A215B"/>
    <w:rsid w:val="3137313D"/>
    <w:rsid w:val="3138414C"/>
    <w:rsid w:val="313C794F"/>
    <w:rsid w:val="31466CA2"/>
    <w:rsid w:val="314B46C7"/>
    <w:rsid w:val="314D19A6"/>
    <w:rsid w:val="31523460"/>
    <w:rsid w:val="31592A40"/>
    <w:rsid w:val="3176144A"/>
    <w:rsid w:val="31772EC7"/>
    <w:rsid w:val="31800A61"/>
    <w:rsid w:val="31807FCD"/>
    <w:rsid w:val="318D0E47"/>
    <w:rsid w:val="319639D6"/>
    <w:rsid w:val="319770C5"/>
    <w:rsid w:val="319C0B7F"/>
    <w:rsid w:val="31A277BB"/>
    <w:rsid w:val="31AC14CC"/>
    <w:rsid w:val="31AE289D"/>
    <w:rsid w:val="31BB2DB3"/>
    <w:rsid w:val="31C00377"/>
    <w:rsid w:val="31D4638C"/>
    <w:rsid w:val="31E248BF"/>
    <w:rsid w:val="31E60CE9"/>
    <w:rsid w:val="31E60E9F"/>
    <w:rsid w:val="31EC484B"/>
    <w:rsid w:val="31FA4DF7"/>
    <w:rsid w:val="31FC517A"/>
    <w:rsid w:val="32002EBC"/>
    <w:rsid w:val="32211528"/>
    <w:rsid w:val="322360E8"/>
    <w:rsid w:val="32301707"/>
    <w:rsid w:val="32326DEE"/>
    <w:rsid w:val="32364B30"/>
    <w:rsid w:val="32370010"/>
    <w:rsid w:val="3238682D"/>
    <w:rsid w:val="323C631E"/>
    <w:rsid w:val="32473DC7"/>
    <w:rsid w:val="326055F9"/>
    <w:rsid w:val="327047CF"/>
    <w:rsid w:val="328238D1"/>
    <w:rsid w:val="328533C1"/>
    <w:rsid w:val="32891103"/>
    <w:rsid w:val="328C29A2"/>
    <w:rsid w:val="32933D30"/>
    <w:rsid w:val="329B64E8"/>
    <w:rsid w:val="329E06AA"/>
    <w:rsid w:val="32A00B15"/>
    <w:rsid w:val="32A61AD2"/>
    <w:rsid w:val="32C443FA"/>
    <w:rsid w:val="32C503B4"/>
    <w:rsid w:val="32D16607"/>
    <w:rsid w:val="32D54349"/>
    <w:rsid w:val="32DA195F"/>
    <w:rsid w:val="32EB591A"/>
    <w:rsid w:val="32F1104E"/>
    <w:rsid w:val="32FA01E5"/>
    <w:rsid w:val="33016B27"/>
    <w:rsid w:val="330D2415"/>
    <w:rsid w:val="331E076C"/>
    <w:rsid w:val="3328479F"/>
    <w:rsid w:val="33294832"/>
    <w:rsid w:val="33353386"/>
    <w:rsid w:val="3337290D"/>
    <w:rsid w:val="33661445"/>
    <w:rsid w:val="336E5173"/>
    <w:rsid w:val="337E1556"/>
    <w:rsid w:val="33843E73"/>
    <w:rsid w:val="33945FB2"/>
    <w:rsid w:val="33A71210"/>
    <w:rsid w:val="33AE25D9"/>
    <w:rsid w:val="33AE633E"/>
    <w:rsid w:val="33B7001B"/>
    <w:rsid w:val="33BA13CF"/>
    <w:rsid w:val="33BF5F28"/>
    <w:rsid w:val="33C2512E"/>
    <w:rsid w:val="33C65786"/>
    <w:rsid w:val="33CB2E01"/>
    <w:rsid w:val="33D44600"/>
    <w:rsid w:val="33DE722D"/>
    <w:rsid w:val="33EA3F1A"/>
    <w:rsid w:val="33F425AD"/>
    <w:rsid w:val="33FB07CE"/>
    <w:rsid w:val="34120C85"/>
    <w:rsid w:val="341449FD"/>
    <w:rsid w:val="34150883"/>
    <w:rsid w:val="341744ED"/>
    <w:rsid w:val="341E3ACD"/>
    <w:rsid w:val="342033A2"/>
    <w:rsid w:val="34210B45"/>
    <w:rsid w:val="34254E5C"/>
    <w:rsid w:val="342923B6"/>
    <w:rsid w:val="342D6C08"/>
    <w:rsid w:val="343D21A6"/>
    <w:rsid w:val="344E4DEE"/>
    <w:rsid w:val="345179B4"/>
    <w:rsid w:val="34545741"/>
    <w:rsid w:val="34556D5F"/>
    <w:rsid w:val="34670FD0"/>
    <w:rsid w:val="346F4329"/>
    <w:rsid w:val="348778C5"/>
    <w:rsid w:val="34887617"/>
    <w:rsid w:val="349B3370"/>
    <w:rsid w:val="34A257CA"/>
    <w:rsid w:val="34CB5A03"/>
    <w:rsid w:val="34CC177B"/>
    <w:rsid w:val="34D048CD"/>
    <w:rsid w:val="34D21C34"/>
    <w:rsid w:val="34D3206E"/>
    <w:rsid w:val="34E24AFB"/>
    <w:rsid w:val="34F30AB6"/>
    <w:rsid w:val="34F82570"/>
    <w:rsid w:val="34FA64A9"/>
    <w:rsid w:val="35042CC3"/>
    <w:rsid w:val="35260DFF"/>
    <w:rsid w:val="352B4FA5"/>
    <w:rsid w:val="352F71DC"/>
    <w:rsid w:val="35381A08"/>
    <w:rsid w:val="35386529"/>
    <w:rsid w:val="353D0994"/>
    <w:rsid w:val="35486382"/>
    <w:rsid w:val="35514B48"/>
    <w:rsid w:val="355B7EB7"/>
    <w:rsid w:val="35603AEA"/>
    <w:rsid w:val="35624D04"/>
    <w:rsid w:val="35700359"/>
    <w:rsid w:val="3583177B"/>
    <w:rsid w:val="35885E60"/>
    <w:rsid w:val="358A7183"/>
    <w:rsid w:val="358E55F9"/>
    <w:rsid w:val="359674CF"/>
    <w:rsid w:val="359762F7"/>
    <w:rsid w:val="3599165E"/>
    <w:rsid w:val="359F0C3E"/>
    <w:rsid w:val="35A149B6"/>
    <w:rsid w:val="35A555BA"/>
    <w:rsid w:val="35A56295"/>
    <w:rsid w:val="35A57C76"/>
    <w:rsid w:val="35A67813"/>
    <w:rsid w:val="35AE5DEE"/>
    <w:rsid w:val="35B63EFC"/>
    <w:rsid w:val="35B96959"/>
    <w:rsid w:val="35BF1FDC"/>
    <w:rsid w:val="35C12D9C"/>
    <w:rsid w:val="35C35E01"/>
    <w:rsid w:val="35C661CB"/>
    <w:rsid w:val="35D419DA"/>
    <w:rsid w:val="35E6686D"/>
    <w:rsid w:val="35EB5C31"/>
    <w:rsid w:val="35F22181"/>
    <w:rsid w:val="35F24472"/>
    <w:rsid w:val="35F971A6"/>
    <w:rsid w:val="360E2B08"/>
    <w:rsid w:val="361F4D6A"/>
    <w:rsid w:val="36284AEB"/>
    <w:rsid w:val="362A49AB"/>
    <w:rsid w:val="363B44C3"/>
    <w:rsid w:val="363E3FB3"/>
    <w:rsid w:val="36415851"/>
    <w:rsid w:val="364339F5"/>
    <w:rsid w:val="36475B14"/>
    <w:rsid w:val="3652180C"/>
    <w:rsid w:val="365E28A7"/>
    <w:rsid w:val="36683C05"/>
    <w:rsid w:val="366E2ED3"/>
    <w:rsid w:val="36764774"/>
    <w:rsid w:val="367E2601"/>
    <w:rsid w:val="367F4CF7"/>
    <w:rsid w:val="36833E7C"/>
    <w:rsid w:val="368C2F70"/>
    <w:rsid w:val="368E2D4F"/>
    <w:rsid w:val="36910587"/>
    <w:rsid w:val="369938DF"/>
    <w:rsid w:val="36A04DB6"/>
    <w:rsid w:val="36A06A1C"/>
    <w:rsid w:val="36B20935"/>
    <w:rsid w:val="36BF2898"/>
    <w:rsid w:val="36C3270A"/>
    <w:rsid w:val="36C8664D"/>
    <w:rsid w:val="36C97D20"/>
    <w:rsid w:val="36CA5925"/>
    <w:rsid w:val="36CF7301"/>
    <w:rsid w:val="36D641EB"/>
    <w:rsid w:val="36DA0180"/>
    <w:rsid w:val="36DB7A54"/>
    <w:rsid w:val="36DC08C9"/>
    <w:rsid w:val="36E27E9F"/>
    <w:rsid w:val="36F666FD"/>
    <w:rsid w:val="37053125"/>
    <w:rsid w:val="371F7229"/>
    <w:rsid w:val="37264D8C"/>
    <w:rsid w:val="373305AA"/>
    <w:rsid w:val="3756210A"/>
    <w:rsid w:val="375A4E56"/>
    <w:rsid w:val="376E2676"/>
    <w:rsid w:val="3771680D"/>
    <w:rsid w:val="37794770"/>
    <w:rsid w:val="378825D6"/>
    <w:rsid w:val="379522F8"/>
    <w:rsid w:val="37965B9A"/>
    <w:rsid w:val="379E73FF"/>
    <w:rsid w:val="37A42641"/>
    <w:rsid w:val="37A53BC4"/>
    <w:rsid w:val="37BF2ED1"/>
    <w:rsid w:val="37CA5BCA"/>
    <w:rsid w:val="37D7646D"/>
    <w:rsid w:val="37D81322"/>
    <w:rsid w:val="37E74C2E"/>
    <w:rsid w:val="38091ED5"/>
    <w:rsid w:val="3814146F"/>
    <w:rsid w:val="381E69F1"/>
    <w:rsid w:val="38214A35"/>
    <w:rsid w:val="3828316D"/>
    <w:rsid w:val="382A7217"/>
    <w:rsid w:val="382D42DF"/>
    <w:rsid w:val="38310570"/>
    <w:rsid w:val="3837515E"/>
    <w:rsid w:val="384F4255"/>
    <w:rsid w:val="385775AE"/>
    <w:rsid w:val="38621C25"/>
    <w:rsid w:val="386A72E1"/>
    <w:rsid w:val="386C629D"/>
    <w:rsid w:val="386D6352"/>
    <w:rsid w:val="3871454A"/>
    <w:rsid w:val="3872263A"/>
    <w:rsid w:val="387C64E8"/>
    <w:rsid w:val="38AE3672"/>
    <w:rsid w:val="38C121AB"/>
    <w:rsid w:val="38CC1D4A"/>
    <w:rsid w:val="38CD6CBD"/>
    <w:rsid w:val="38D26C60"/>
    <w:rsid w:val="38F01E0F"/>
    <w:rsid w:val="38F8669B"/>
    <w:rsid w:val="38FB262F"/>
    <w:rsid w:val="39096DE6"/>
    <w:rsid w:val="392C1D09"/>
    <w:rsid w:val="3938118D"/>
    <w:rsid w:val="393D67A4"/>
    <w:rsid w:val="39463D89"/>
    <w:rsid w:val="394C4C39"/>
    <w:rsid w:val="396A50BF"/>
    <w:rsid w:val="39730A51"/>
    <w:rsid w:val="3982182C"/>
    <w:rsid w:val="39902180"/>
    <w:rsid w:val="399A1E48"/>
    <w:rsid w:val="399A59A4"/>
    <w:rsid w:val="399D2A2F"/>
    <w:rsid w:val="39A42231"/>
    <w:rsid w:val="39A71E6F"/>
    <w:rsid w:val="39A84565"/>
    <w:rsid w:val="39A9208B"/>
    <w:rsid w:val="39B71F7E"/>
    <w:rsid w:val="39C77313"/>
    <w:rsid w:val="39CB5D8B"/>
    <w:rsid w:val="39CE38A0"/>
    <w:rsid w:val="39D2513E"/>
    <w:rsid w:val="39D569DC"/>
    <w:rsid w:val="39D72754"/>
    <w:rsid w:val="39D80E75"/>
    <w:rsid w:val="39EA7D87"/>
    <w:rsid w:val="39F4290A"/>
    <w:rsid w:val="3A085004"/>
    <w:rsid w:val="3A140A1C"/>
    <w:rsid w:val="3A1A6A38"/>
    <w:rsid w:val="3A233FDF"/>
    <w:rsid w:val="3A287454"/>
    <w:rsid w:val="3A340B8E"/>
    <w:rsid w:val="3A3E4582"/>
    <w:rsid w:val="3A43428E"/>
    <w:rsid w:val="3A52627F"/>
    <w:rsid w:val="3A5C5C73"/>
    <w:rsid w:val="3A793787"/>
    <w:rsid w:val="3A804602"/>
    <w:rsid w:val="3A850402"/>
    <w:rsid w:val="3A96260F"/>
    <w:rsid w:val="3AA66C53"/>
    <w:rsid w:val="3AAF1923"/>
    <w:rsid w:val="3AC727C9"/>
    <w:rsid w:val="3AD361FC"/>
    <w:rsid w:val="3ADB3B42"/>
    <w:rsid w:val="3ADB44C6"/>
    <w:rsid w:val="3AE77C67"/>
    <w:rsid w:val="3AEF7B36"/>
    <w:rsid w:val="3AF17846"/>
    <w:rsid w:val="3AF424F7"/>
    <w:rsid w:val="3AF96667"/>
    <w:rsid w:val="3B0C4680"/>
    <w:rsid w:val="3B180EB0"/>
    <w:rsid w:val="3B246A26"/>
    <w:rsid w:val="3B253993"/>
    <w:rsid w:val="3B2B03C4"/>
    <w:rsid w:val="3B304812"/>
    <w:rsid w:val="3B334302"/>
    <w:rsid w:val="3B366E5F"/>
    <w:rsid w:val="3B4508D0"/>
    <w:rsid w:val="3B5878A0"/>
    <w:rsid w:val="3B5B5607"/>
    <w:rsid w:val="3B6162CB"/>
    <w:rsid w:val="3B626996"/>
    <w:rsid w:val="3B653D90"/>
    <w:rsid w:val="3B660234"/>
    <w:rsid w:val="3B6620EF"/>
    <w:rsid w:val="3B6D5A72"/>
    <w:rsid w:val="3B737A67"/>
    <w:rsid w:val="3B80097F"/>
    <w:rsid w:val="3B832136"/>
    <w:rsid w:val="3B9303C7"/>
    <w:rsid w:val="3B990760"/>
    <w:rsid w:val="3BAA5C47"/>
    <w:rsid w:val="3BAE5737"/>
    <w:rsid w:val="3BAE6660"/>
    <w:rsid w:val="3BBF52F1"/>
    <w:rsid w:val="3BC977E4"/>
    <w:rsid w:val="3BCE7B87"/>
    <w:rsid w:val="3BD333EF"/>
    <w:rsid w:val="3BED44B1"/>
    <w:rsid w:val="3BF10EB2"/>
    <w:rsid w:val="3C096E11"/>
    <w:rsid w:val="3C153A08"/>
    <w:rsid w:val="3C184ED4"/>
    <w:rsid w:val="3C511EA9"/>
    <w:rsid w:val="3C616C4D"/>
    <w:rsid w:val="3C6504EB"/>
    <w:rsid w:val="3C652368"/>
    <w:rsid w:val="3C6978B0"/>
    <w:rsid w:val="3C70153D"/>
    <w:rsid w:val="3C721FC7"/>
    <w:rsid w:val="3C7D493C"/>
    <w:rsid w:val="3C8309A8"/>
    <w:rsid w:val="3C835B1D"/>
    <w:rsid w:val="3CA8213A"/>
    <w:rsid w:val="3CB23005"/>
    <w:rsid w:val="3CC80A7A"/>
    <w:rsid w:val="3CEC6753"/>
    <w:rsid w:val="3CF17FD1"/>
    <w:rsid w:val="3CF63839"/>
    <w:rsid w:val="3CF90C34"/>
    <w:rsid w:val="3D031AB2"/>
    <w:rsid w:val="3D0D46DF"/>
    <w:rsid w:val="3D127F47"/>
    <w:rsid w:val="3D141F11"/>
    <w:rsid w:val="3D150FCE"/>
    <w:rsid w:val="3D1D35B4"/>
    <w:rsid w:val="3D281519"/>
    <w:rsid w:val="3D2E4D81"/>
    <w:rsid w:val="3D333800"/>
    <w:rsid w:val="3D4A76E1"/>
    <w:rsid w:val="3D5565A9"/>
    <w:rsid w:val="3D5A0F8B"/>
    <w:rsid w:val="3D6E011A"/>
    <w:rsid w:val="3D6E1622"/>
    <w:rsid w:val="3D74475E"/>
    <w:rsid w:val="3D830197"/>
    <w:rsid w:val="3D962926"/>
    <w:rsid w:val="3DAD0A2F"/>
    <w:rsid w:val="3DB039E8"/>
    <w:rsid w:val="3DB26D3D"/>
    <w:rsid w:val="3DB37034"/>
    <w:rsid w:val="3DBE32B1"/>
    <w:rsid w:val="3DD60F75"/>
    <w:rsid w:val="3DDF607B"/>
    <w:rsid w:val="3DE25B6C"/>
    <w:rsid w:val="3DE47534"/>
    <w:rsid w:val="3DEA7118"/>
    <w:rsid w:val="3DEB2C72"/>
    <w:rsid w:val="3DF71617"/>
    <w:rsid w:val="3E265A58"/>
    <w:rsid w:val="3E2972F7"/>
    <w:rsid w:val="3E330175"/>
    <w:rsid w:val="3E4660FB"/>
    <w:rsid w:val="3E510E90"/>
    <w:rsid w:val="3E527C58"/>
    <w:rsid w:val="3E546A69"/>
    <w:rsid w:val="3E55633E"/>
    <w:rsid w:val="3E5C76CC"/>
    <w:rsid w:val="3E75078E"/>
    <w:rsid w:val="3E7570D2"/>
    <w:rsid w:val="3E817133"/>
    <w:rsid w:val="3E86735F"/>
    <w:rsid w:val="3E872348"/>
    <w:rsid w:val="3E8A2015"/>
    <w:rsid w:val="3E952BDE"/>
    <w:rsid w:val="3E9B4698"/>
    <w:rsid w:val="3E9C23C7"/>
    <w:rsid w:val="3EB16D20"/>
    <w:rsid w:val="3EB30313"/>
    <w:rsid w:val="3EB412B6"/>
    <w:rsid w:val="3EC534C3"/>
    <w:rsid w:val="3EC60FE9"/>
    <w:rsid w:val="3ECB6600"/>
    <w:rsid w:val="3ED23E32"/>
    <w:rsid w:val="3EDB2CE7"/>
    <w:rsid w:val="3EDE6333"/>
    <w:rsid w:val="3EDE79C6"/>
    <w:rsid w:val="3EE0715E"/>
    <w:rsid w:val="3EE91CCF"/>
    <w:rsid w:val="3F0044FB"/>
    <w:rsid w:val="3F067638"/>
    <w:rsid w:val="3F0F2F91"/>
    <w:rsid w:val="3F115748"/>
    <w:rsid w:val="3F1233A3"/>
    <w:rsid w:val="3F1E7077"/>
    <w:rsid w:val="3F207B0B"/>
    <w:rsid w:val="3F2226C4"/>
    <w:rsid w:val="3F275F2C"/>
    <w:rsid w:val="3F316A74"/>
    <w:rsid w:val="3F382309"/>
    <w:rsid w:val="3F424B14"/>
    <w:rsid w:val="3F4646BA"/>
    <w:rsid w:val="3F526E25"/>
    <w:rsid w:val="3F6A7442"/>
    <w:rsid w:val="3F6E5909"/>
    <w:rsid w:val="3F751797"/>
    <w:rsid w:val="3F942E96"/>
    <w:rsid w:val="3FB3156E"/>
    <w:rsid w:val="3FC1012F"/>
    <w:rsid w:val="3FD24C96"/>
    <w:rsid w:val="3FD339BE"/>
    <w:rsid w:val="3FD75394"/>
    <w:rsid w:val="3FD85478"/>
    <w:rsid w:val="3FDB6D16"/>
    <w:rsid w:val="3FE41849"/>
    <w:rsid w:val="3FF57DD8"/>
    <w:rsid w:val="401E3F60"/>
    <w:rsid w:val="40337EDF"/>
    <w:rsid w:val="40401784"/>
    <w:rsid w:val="40490A4D"/>
    <w:rsid w:val="40520D87"/>
    <w:rsid w:val="40555F24"/>
    <w:rsid w:val="40572841"/>
    <w:rsid w:val="405B60A8"/>
    <w:rsid w:val="405F34A4"/>
    <w:rsid w:val="40633C43"/>
    <w:rsid w:val="40750F19"/>
    <w:rsid w:val="40755194"/>
    <w:rsid w:val="40776A3F"/>
    <w:rsid w:val="407F60FD"/>
    <w:rsid w:val="409335B8"/>
    <w:rsid w:val="40970E8F"/>
    <w:rsid w:val="40A414DA"/>
    <w:rsid w:val="40A84E4B"/>
    <w:rsid w:val="40A92971"/>
    <w:rsid w:val="40BA4B7E"/>
    <w:rsid w:val="40BF3F42"/>
    <w:rsid w:val="40C0244C"/>
    <w:rsid w:val="40C62A06"/>
    <w:rsid w:val="40C854ED"/>
    <w:rsid w:val="40CB6D8B"/>
    <w:rsid w:val="40CF687B"/>
    <w:rsid w:val="40D55514"/>
    <w:rsid w:val="40D81790"/>
    <w:rsid w:val="40FC6D92"/>
    <w:rsid w:val="41032081"/>
    <w:rsid w:val="410A1661"/>
    <w:rsid w:val="410E6B97"/>
    <w:rsid w:val="413B1FBD"/>
    <w:rsid w:val="414A4154"/>
    <w:rsid w:val="414B295D"/>
    <w:rsid w:val="4153125A"/>
    <w:rsid w:val="415D42EA"/>
    <w:rsid w:val="416035DD"/>
    <w:rsid w:val="41606B88"/>
    <w:rsid w:val="417319A2"/>
    <w:rsid w:val="417411D1"/>
    <w:rsid w:val="4182744A"/>
    <w:rsid w:val="41853A7E"/>
    <w:rsid w:val="418C2076"/>
    <w:rsid w:val="41923405"/>
    <w:rsid w:val="419D4283"/>
    <w:rsid w:val="41AA258E"/>
    <w:rsid w:val="41B14259"/>
    <w:rsid w:val="41B31CF9"/>
    <w:rsid w:val="41C37A62"/>
    <w:rsid w:val="41D60A6F"/>
    <w:rsid w:val="41D61543"/>
    <w:rsid w:val="41DA4EDD"/>
    <w:rsid w:val="41E225DE"/>
    <w:rsid w:val="41EC0D67"/>
    <w:rsid w:val="41EC6FB9"/>
    <w:rsid w:val="41EF0857"/>
    <w:rsid w:val="42134546"/>
    <w:rsid w:val="42215345"/>
    <w:rsid w:val="422C55F7"/>
    <w:rsid w:val="422E75D1"/>
    <w:rsid w:val="423774BD"/>
    <w:rsid w:val="423A5D78"/>
    <w:rsid w:val="423B4393"/>
    <w:rsid w:val="423C3269"/>
    <w:rsid w:val="42404FDA"/>
    <w:rsid w:val="4255690C"/>
    <w:rsid w:val="42781B34"/>
    <w:rsid w:val="427A45C5"/>
    <w:rsid w:val="427B3B7B"/>
    <w:rsid w:val="428164BD"/>
    <w:rsid w:val="4287189B"/>
    <w:rsid w:val="428840CE"/>
    <w:rsid w:val="428F147C"/>
    <w:rsid w:val="429D0359"/>
    <w:rsid w:val="42A94EAA"/>
    <w:rsid w:val="42B9333F"/>
    <w:rsid w:val="42B96073"/>
    <w:rsid w:val="42C6780A"/>
    <w:rsid w:val="42C81376"/>
    <w:rsid w:val="42D9753D"/>
    <w:rsid w:val="42DA1507"/>
    <w:rsid w:val="42DA5063"/>
    <w:rsid w:val="42DD2100"/>
    <w:rsid w:val="42E34FC3"/>
    <w:rsid w:val="42E44134"/>
    <w:rsid w:val="43051083"/>
    <w:rsid w:val="430B5474"/>
    <w:rsid w:val="431D03AC"/>
    <w:rsid w:val="431D1023"/>
    <w:rsid w:val="43210EE4"/>
    <w:rsid w:val="43211A9B"/>
    <w:rsid w:val="43361A71"/>
    <w:rsid w:val="433A7F3A"/>
    <w:rsid w:val="433B7393"/>
    <w:rsid w:val="43464F87"/>
    <w:rsid w:val="43487E9A"/>
    <w:rsid w:val="4350155C"/>
    <w:rsid w:val="435E3EE6"/>
    <w:rsid w:val="43633DC5"/>
    <w:rsid w:val="437D25BE"/>
    <w:rsid w:val="43931DE2"/>
    <w:rsid w:val="4395283B"/>
    <w:rsid w:val="43AA38CB"/>
    <w:rsid w:val="43B40E80"/>
    <w:rsid w:val="43C31F9B"/>
    <w:rsid w:val="43DB5537"/>
    <w:rsid w:val="43DD433B"/>
    <w:rsid w:val="43E048FB"/>
    <w:rsid w:val="43E05A11"/>
    <w:rsid w:val="43E23597"/>
    <w:rsid w:val="43EE034F"/>
    <w:rsid w:val="43FB1735"/>
    <w:rsid w:val="440417A2"/>
    <w:rsid w:val="440A3726"/>
    <w:rsid w:val="440F6F8F"/>
    <w:rsid w:val="4411049D"/>
    <w:rsid w:val="44165DE0"/>
    <w:rsid w:val="4420119C"/>
    <w:rsid w:val="442E43FD"/>
    <w:rsid w:val="44307631"/>
    <w:rsid w:val="44352E99"/>
    <w:rsid w:val="443D1D4E"/>
    <w:rsid w:val="443D58AA"/>
    <w:rsid w:val="444C01E3"/>
    <w:rsid w:val="44506CCF"/>
    <w:rsid w:val="44557097"/>
    <w:rsid w:val="446E1F07"/>
    <w:rsid w:val="44723F09"/>
    <w:rsid w:val="448B0D0B"/>
    <w:rsid w:val="449851D6"/>
    <w:rsid w:val="449C4CC6"/>
    <w:rsid w:val="44A678F3"/>
    <w:rsid w:val="44A973E3"/>
    <w:rsid w:val="44AE5C7C"/>
    <w:rsid w:val="44B85B95"/>
    <w:rsid w:val="44BD2286"/>
    <w:rsid w:val="44C4421D"/>
    <w:rsid w:val="44CE6E4A"/>
    <w:rsid w:val="44DA759D"/>
    <w:rsid w:val="44DD0E3B"/>
    <w:rsid w:val="44DF7259"/>
    <w:rsid w:val="44E73A68"/>
    <w:rsid w:val="44E93C84"/>
    <w:rsid w:val="44EB3558"/>
    <w:rsid w:val="44F85C75"/>
    <w:rsid w:val="44F92119"/>
    <w:rsid w:val="44FA4B0A"/>
    <w:rsid w:val="45040B0F"/>
    <w:rsid w:val="450C3A8A"/>
    <w:rsid w:val="45122E32"/>
    <w:rsid w:val="451519C3"/>
    <w:rsid w:val="451C5E07"/>
    <w:rsid w:val="45321187"/>
    <w:rsid w:val="45392515"/>
    <w:rsid w:val="453B0430"/>
    <w:rsid w:val="453F5652"/>
    <w:rsid w:val="45404FBA"/>
    <w:rsid w:val="45464C32"/>
    <w:rsid w:val="45592BB7"/>
    <w:rsid w:val="455E3D2A"/>
    <w:rsid w:val="4577128F"/>
    <w:rsid w:val="457E261E"/>
    <w:rsid w:val="458D460F"/>
    <w:rsid w:val="45946EDB"/>
    <w:rsid w:val="459736E0"/>
    <w:rsid w:val="45A63456"/>
    <w:rsid w:val="45A8582B"/>
    <w:rsid w:val="45AB2CE7"/>
    <w:rsid w:val="45B7168C"/>
    <w:rsid w:val="45C02C36"/>
    <w:rsid w:val="45C34DD1"/>
    <w:rsid w:val="45CB7ED7"/>
    <w:rsid w:val="45CC3389"/>
    <w:rsid w:val="45CE003F"/>
    <w:rsid w:val="45CE71A6"/>
    <w:rsid w:val="45D41AF5"/>
    <w:rsid w:val="45F01209"/>
    <w:rsid w:val="45F4643C"/>
    <w:rsid w:val="45F80164"/>
    <w:rsid w:val="45F97EF6"/>
    <w:rsid w:val="462F3918"/>
    <w:rsid w:val="46322A83"/>
    <w:rsid w:val="463528DE"/>
    <w:rsid w:val="46366582"/>
    <w:rsid w:val="46371A7E"/>
    <w:rsid w:val="464078D3"/>
    <w:rsid w:val="464B2C73"/>
    <w:rsid w:val="465002FD"/>
    <w:rsid w:val="466A4950"/>
    <w:rsid w:val="46761547"/>
    <w:rsid w:val="46794475"/>
    <w:rsid w:val="46845A12"/>
    <w:rsid w:val="46872554"/>
    <w:rsid w:val="4698770F"/>
    <w:rsid w:val="46A72CE7"/>
    <w:rsid w:val="46A977DF"/>
    <w:rsid w:val="46B138F5"/>
    <w:rsid w:val="46BD0F24"/>
    <w:rsid w:val="46C71DA3"/>
    <w:rsid w:val="46C87FF5"/>
    <w:rsid w:val="46CF6BE8"/>
    <w:rsid w:val="46D324F5"/>
    <w:rsid w:val="46D5626E"/>
    <w:rsid w:val="46D904B4"/>
    <w:rsid w:val="46DC24DD"/>
    <w:rsid w:val="46E12E64"/>
    <w:rsid w:val="46EE37D3"/>
    <w:rsid w:val="46F75950"/>
    <w:rsid w:val="47046B53"/>
    <w:rsid w:val="47095F17"/>
    <w:rsid w:val="470A16D7"/>
    <w:rsid w:val="470E16A9"/>
    <w:rsid w:val="47237085"/>
    <w:rsid w:val="472D60AA"/>
    <w:rsid w:val="474358CD"/>
    <w:rsid w:val="47443444"/>
    <w:rsid w:val="474451A1"/>
    <w:rsid w:val="47525B10"/>
    <w:rsid w:val="47543636"/>
    <w:rsid w:val="47556CB4"/>
    <w:rsid w:val="47665118"/>
    <w:rsid w:val="477171F4"/>
    <w:rsid w:val="477B2925"/>
    <w:rsid w:val="47863A0C"/>
    <w:rsid w:val="47876474"/>
    <w:rsid w:val="479243B7"/>
    <w:rsid w:val="47961EA1"/>
    <w:rsid w:val="479D013A"/>
    <w:rsid w:val="47A0687C"/>
    <w:rsid w:val="47A65A14"/>
    <w:rsid w:val="47B10A89"/>
    <w:rsid w:val="47B642F1"/>
    <w:rsid w:val="47B67975"/>
    <w:rsid w:val="47C00CCC"/>
    <w:rsid w:val="47C33D64"/>
    <w:rsid w:val="47CD33E9"/>
    <w:rsid w:val="47D30815"/>
    <w:rsid w:val="47D74267"/>
    <w:rsid w:val="47E72350"/>
    <w:rsid w:val="47EA5D49"/>
    <w:rsid w:val="47F75579"/>
    <w:rsid w:val="48050DD4"/>
    <w:rsid w:val="48052B82"/>
    <w:rsid w:val="481334F1"/>
    <w:rsid w:val="48277D56"/>
    <w:rsid w:val="482C010F"/>
    <w:rsid w:val="4833757B"/>
    <w:rsid w:val="48435459"/>
    <w:rsid w:val="4855197E"/>
    <w:rsid w:val="485B747D"/>
    <w:rsid w:val="4867383D"/>
    <w:rsid w:val="48695961"/>
    <w:rsid w:val="488241D3"/>
    <w:rsid w:val="4891671A"/>
    <w:rsid w:val="4893018E"/>
    <w:rsid w:val="489A439E"/>
    <w:rsid w:val="48A5274D"/>
    <w:rsid w:val="48A562CB"/>
    <w:rsid w:val="48A71E8C"/>
    <w:rsid w:val="48A91760"/>
    <w:rsid w:val="48AA188E"/>
    <w:rsid w:val="48AF5FCC"/>
    <w:rsid w:val="48B07DAC"/>
    <w:rsid w:val="48CA2EF0"/>
    <w:rsid w:val="48D60C67"/>
    <w:rsid w:val="48D6451F"/>
    <w:rsid w:val="48D83DF3"/>
    <w:rsid w:val="48E80A2C"/>
    <w:rsid w:val="48E833A6"/>
    <w:rsid w:val="48F457C4"/>
    <w:rsid w:val="48FD1AAC"/>
    <w:rsid w:val="48FD584B"/>
    <w:rsid w:val="49204B5B"/>
    <w:rsid w:val="493556E9"/>
    <w:rsid w:val="494E1C27"/>
    <w:rsid w:val="495518E8"/>
    <w:rsid w:val="495D7D08"/>
    <w:rsid w:val="496F578D"/>
    <w:rsid w:val="496F622A"/>
    <w:rsid w:val="498E1DA5"/>
    <w:rsid w:val="49AE762B"/>
    <w:rsid w:val="49AE7B5B"/>
    <w:rsid w:val="49B303BC"/>
    <w:rsid w:val="49BB2948"/>
    <w:rsid w:val="49D35CBD"/>
    <w:rsid w:val="49D40A5E"/>
    <w:rsid w:val="49E12C8F"/>
    <w:rsid w:val="49F11B21"/>
    <w:rsid w:val="49F20EE5"/>
    <w:rsid w:val="4A014BCF"/>
    <w:rsid w:val="4A0812A6"/>
    <w:rsid w:val="4A1A4124"/>
    <w:rsid w:val="4A2918BA"/>
    <w:rsid w:val="4A2E16F3"/>
    <w:rsid w:val="4A303518"/>
    <w:rsid w:val="4A315EB1"/>
    <w:rsid w:val="4A3B2D3D"/>
    <w:rsid w:val="4A3C4A7F"/>
    <w:rsid w:val="4A3F0D06"/>
    <w:rsid w:val="4A421E6C"/>
    <w:rsid w:val="4A433A00"/>
    <w:rsid w:val="4A625410"/>
    <w:rsid w:val="4A657908"/>
    <w:rsid w:val="4A672DFB"/>
    <w:rsid w:val="4A6E0EB3"/>
    <w:rsid w:val="4A72158E"/>
    <w:rsid w:val="4A723D0E"/>
    <w:rsid w:val="4A730277"/>
    <w:rsid w:val="4A7638C4"/>
    <w:rsid w:val="4A7909BF"/>
    <w:rsid w:val="4A7D2EA4"/>
    <w:rsid w:val="4A834233"/>
    <w:rsid w:val="4A9D3546"/>
    <w:rsid w:val="4A9E2E1A"/>
    <w:rsid w:val="4AA73424"/>
    <w:rsid w:val="4AAD305D"/>
    <w:rsid w:val="4AB740F4"/>
    <w:rsid w:val="4AB904B0"/>
    <w:rsid w:val="4ACE4DBB"/>
    <w:rsid w:val="4AD16F4A"/>
    <w:rsid w:val="4ADE1B86"/>
    <w:rsid w:val="4AE85EB8"/>
    <w:rsid w:val="4AED041D"/>
    <w:rsid w:val="4AF64A04"/>
    <w:rsid w:val="4B0709C0"/>
    <w:rsid w:val="4B11183E"/>
    <w:rsid w:val="4B125CE2"/>
    <w:rsid w:val="4B15132F"/>
    <w:rsid w:val="4B2F63D5"/>
    <w:rsid w:val="4B360471"/>
    <w:rsid w:val="4B4C5CA0"/>
    <w:rsid w:val="4B531E57"/>
    <w:rsid w:val="4B53235D"/>
    <w:rsid w:val="4B600173"/>
    <w:rsid w:val="4B6B42E0"/>
    <w:rsid w:val="4B6D1D00"/>
    <w:rsid w:val="4B6E4EE3"/>
    <w:rsid w:val="4B7F2C4C"/>
    <w:rsid w:val="4B840262"/>
    <w:rsid w:val="4B842010"/>
    <w:rsid w:val="4B9F509C"/>
    <w:rsid w:val="4BAD1567"/>
    <w:rsid w:val="4BBA3C84"/>
    <w:rsid w:val="4BBE19C6"/>
    <w:rsid w:val="4BC06E59"/>
    <w:rsid w:val="4BD72A88"/>
    <w:rsid w:val="4BDC7E7D"/>
    <w:rsid w:val="4BE551A5"/>
    <w:rsid w:val="4BEF3A7F"/>
    <w:rsid w:val="4C0118B3"/>
    <w:rsid w:val="4C0D2006"/>
    <w:rsid w:val="4C107D48"/>
    <w:rsid w:val="4C112804"/>
    <w:rsid w:val="4C15710C"/>
    <w:rsid w:val="4C177328"/>
    <w:rsid w:val="4C213CC4"/>
    <w:rsid w:val="4C243449"/>
    <w:rsid w:val="4C2C67E0"/>
    <w:rsid w:val="4C2D67D1"/>
    <w:rsid w:val="4C3539E3"/>
    <w:rsid w:val="4C360F71"/>
    <w:rsid w:val="4C3D6D8F"/>
    <w:rsid w:val="4C3E2501"/>
    <w:rsid w:val="4C424EC2"/>
    <w:rsid w:val="4C485734"/>
    <w:rsid w:val="4C51283A"/>
    <w:rsid w:val="4C543465"/>
    <w:rsid w:val="4C577725"/>
    <w:rsid w:val="4C6267F5"/>
    <w:rsid w:val="4C653BF0"/>
    <w:rsid w:val="4C6A62D8"/>
    <w:rsid w:val="4C83676C"/>
    <w:rsid w:val="4C8D1398"/>
    <w:rsid w:val="4C910E89"/>
    <w:rsid w:val="4C912C37"/>
    <w:rsid w:val="4C9B3AB5"/>
    <w:rsid w:val="4C9E35A6"/>
    <w:rsid w:val="4CB608EF"/>
    <w:rsid w:val="4CB701C3"/>
    <w:rsid w:val="4CB9218D"/>
    <w:rsid w:val="4CBA0323"/>
    <w:rsid w:val="4CC16029"/>
    <w:rsid w:val="4CCE6546"/>
    <w:rsid w:val="4CDB0356"/>
    <w:rsid w:val="4CDD7C2A"/>
    <w:rsid w:val="4CE511D4"/>
    <w:rsid w:val="4CE70CD4"/>
    <w:rsid w:val="4CE83F1B"/>
    <w:rsid w:val="4CEE0089"/>
    <w:rsid w:val="4CEE62DB"/>
    <w:rsid w:val="4CF431C6"/>
    <w:rsid w:val="4CF5766A"/>
    <w:rsid w:val="4CF94135"/>
    <w:rsid w:val="4D174A8A"/>
    <w:rsid w:val="4D2741D4"/>
    <w:rsid w:val="4D302450"/>
    <w:rsid w:val="4D337467"/>
    <w:rsid w:val="4D4041D2"/>
    <w:rsid w:val="4D423F31"/>
    <w:rsid w:val="4D447CA9"/>
    <w:rsid w:val="4D570052"/>
    <w:rsid w:val="4D6640C3"/>
    <w:rsid w:val="4D73213F"/>
    <w:rsid w:val="4D77007F"/>
    <w:rsid w:val="4D7722CE"/>
    <w:rsid w:val="4D810EFD"/>
    <w:rsid w:val="4D89648B"/>
    <w:rsid w:val="4D8B58D8"/>
    <w:rsid w:val="4D8C33FE"/>
    <w:rsid w:val="4D8D56B2"/>
    <w:rsid w:val="4D981DA3"/>
    <w:rsid w:val="4D9C1893"/>
    <w:rsid w:val="4DAE4F0E"/>
    <w:rsid w:val="4DC1754C"/>
    <w:rsid w:val="4DCE1C69"/>
    <w:rsid w:val="4DE51D36"/>
    <w:rsid w:val="4DF55447"/>
    <w:rsid w:val="4E0C2ABC"/>
    <w:rsid w:val="4E0C72FB"/>
    <w:rsid w:val="4E0D66B4"/>
    <w:rsid w:val="4E135344"/>
    <w:rsid w:val="4E150B5A"/>
    <w:rsid w:val="4E192EE4"/>
    <w:rsid w:val="4E241889"/>
    <w:rsid w:val="4E256AC3"/>
    <w:rsid w:val="4E296E9F"/>
    <w:rsid w:val="4E311CB2"/>
    <w:rsid w:val="4E314A0C"/>
    <w:rsid w:val="4E3C2B12"/>
    <w:rsid w:val="4E4F2DA9"/>
    <w:rsid w:val="4E573A0C"/>
    <w:rsid w:val="4E6D29C4"/>
    <w:rsid w:val="4E802F63"/>
    <w:rsid w:val="4E8567CB"/>
    <w:rsid w:val="4E992277"/>
    <w:rsid w:val="4E9A3978"/>
    <w:rsid w:val="4EAF3848"/>
    <w:rsid w:val="4EB731EF"/>
    <w:rsid w:val="4EF179BD"/>
    <w:rsid w:val="4EFA0F67"/>
    <w:rsid w:val="4EFC0CD7"/>
    <w:rsid w:val="4EFD2805"/>
    <w:rsid w:val="4EFE032C"/>
    <w:rsid w:val="4F027E1C"/>
    <w:rsid w:val="4F0A6643"/>
    <w:rsid w:val="4F0C7544"/>
    <w:rsid w:val="4F124896"/>
    <w:rsid w:val="4F155DA1"/>
    <w:rsid w:val="4F195165"/>
    <w:rsid w:val="4F2E0C11"/>
    <w:rsid w:val="4F351F9F"/>
    <w:rsid w:val="4F3C4E12"/>
    <w:rsid w:val="4F541440"/>
    <w:rsid w:val="4F5B577E"/>
    <w:rsid w:val="4F602D53"/>
    <w:rsid w:val="4F610FE6"/>
    <w:rsid w:val="4F63587C"/>
    <w:rsid w:val="4F6406E3"/>
    <w:rsid w:val="4F6D68F8"/>
    <w:rsid w:val="4F7505EE"/>
    <w:rsid w:val="4F840831"/>
    <w:rsid w:val="4F8D0335"/>
    <w:rsid w:val="4F986150"/>
    <w:rsid w:val="4FA42C81"/>
    <w:rsid w:val="4FB8497E"/>
    <w:rsid w:val="4FB855E9"/>
    <w:rsid w:val="4FCD6243"/>
    <w:rsid w:val="4FE32A78"/>
    <w:rsid w:val="4FED4628"/>
    <w:rsid w:val="50010F5D"/>
    <w:rsid w:val="500656EA"/>
    <w:rsid w:val="500E717E"/>
    <w:rsid w:val="501B2610"/>
    <w:rsid w:val="501E1B99"/>
    <w:rsid w:val="502528B3"/>
    <w:rsid w:val="50272059"/>
    <w:rsid w:val="502F74F4"/>
    <w:rsid w:val="50305B35"/>
    <w:rsid w:val="50454464"/>
    <w:rsid w:val="50461F8A"/>
    <w:rsid w:val="504906F1"/>
    <w:rsid w:val="504B75A0"/>
    <w:rsid w:val="504F52E3"/>
    <w:rsid w:val="50540FF7"/>
    <w:rsid w:val="505C355C"/>
    <w:rsid w:val="50666188"/>
    <w:rsid w:val="506E473E"/>
    <w:rsid w:val="50707007"/>
    <w:rsid w:val="50727FCD"/>
    <w:rsid w:val="508F3931"/>
    <w:rsid w:val="50980FC9"/>
    <w:rsid w:val="509E44A5"/>
    <w:rsid w:val="50B11D09"/>
    <w:rsid w:val="50B971E2"/>
    <w:rsid w:val="50C7131D"/>
    <w:rsid w:val="50D5117C"/>
    <w:rsid w:val="50D75B93"/>
    <w:rsid w:val="50ED0658"/>
    <w:rsid w:val="50F97A16"/>
    <w:rsid w:val="50FE0074"/>
    <w:rsid w:val="51060827"/>
    <w:rsid w:val="510936E3"/>
    <w:rsid w:val="510D4CE5"/>
    <w:rsid w:val="510E1E6E"/>
    <w:rsid w:val="5110166D"/>
    <w:rsid w:val="51122D44"/>
    <w:rsid w:val="511829CC"/>
    <w:rsid w:val="5119144D"/>
    <w:rsid w:val="511931FB"/>
    <w:rsid w:val="511D0F3D"/>
    <w:rsid w:val="51273B6A"/>
    <w:rsid w:val="513D15DF"/>
    <w:rsid w:val="514069D9"/>
    <w:rsid w:val="51416774"/>
    <w:rsid w:val="51422751"/>
    <w:rsid w:val="51453FF0"/>
    <w:rsid w:val="5153495F"/>
    <w:rsid w:val="516A7EFA"/>
    <w:rsid w:val="516F2029"/>
    <w:rsid w:val="51782617"/>
    <w:rsid w:val="519349D3"/>
    <w:rsid w:val="51962139"/>
    <w:rsid w:val="519A07DF"/>
    <w:rsid w:val="51B44DED"/>
    <w:rsid w:val="51C57522"/>
    <w:rsid w:val="51C770FB"/>
    <w:rsid w:val="51C77B59"/>
    <w:rsid w:val="51C94C21"/>
    <w:rsid w:val="51CE0489"/>
    <w:rsid w:val="51F15F26"/>
    <w:rsid w:val="51FE51A8"/>
    <w:rsid w:val="520A44A5"/>
    <w:rsid w:val="520C495D"/>
    <w:rsid w:val="52134DE1"/>
    <w:rsid w:val="52152CF9"/>
    <w:rsid w:val="52187956"/>
    <w:rsid w:val="521C35E0"/>
    <w:rsid w:val="52206266"/>
    <w:rsid w:val="52314DA8"/>
    <w:rsid w:val="523F1387"/>
    <w:rsid w:val="524D5852"/>
    <w:rsid w:val="52505342"/>
    <w:rsid w:val="525A3ACB"/>
    <w:rsid w:val="5269386D"/>
    <w:rsid w:val="527132E4"/>
    <w:rsid w:val="52764E78"/>
    <w:rsid w:val="527C6CA6"/>
    <w:rsid w:val="527C7EE5"/>
    <w:rsid w:val="527F2CAE"/>
    <w:rsid w:val="528D599E"/>
    <w:rsid w:val="528F7C18"/>
    <w:rsid w:val="52966EAF"/>
    <w:rsid w:val="52AC651B"/>
    <w:rsid w:val="52AF0F07"/>
    <w:rsid w:val="52B72CCB"/>
    <w:rsid w:val="52C0794D"/>
    <w:rsid w:val="52C5363A"/>
    <w:rsid w:val="52CC4C54"/>
    <w:rsid w:val="52D716A8"/>
    <w:rsid w:val="52D95337"/>
    <w:rsid w:val="52DF3B64"/>
    <w:rsid w:val="52EC6BE6"/>
    <w:rsid w:val="52ED54E3"/>
    <w:rsid w:val="52ED7C7F"/>
    <w:rsid w:val="52FA157C"/>
    <w:rsid w:val="530028C4"/>
    <w:rsid w:val="53051C89"/>
    <w:rsid w:val="5305587F"/>
    <w:rsid w:val="53134103"/>
    <w:rsid w:val="531351CF"/>
    <w:rsid w:val="5339770C"/>
    <w:rsid w:val="534722A1"/>
    <w:rsid w:val="5349426B"/>
    <w:rsid w:val="534C4377"/>
    <w:rsid w:val="53534D2D"/>
    <w:rsid w:val="53592A03"/>
    <w:rsid w:val="53602BB5"/>
    <w:rsid w:val="536051BA"/>
    <w:rsid w:val="53624607"/>
    <w:rsid w:val="536410A5"/>
    <w:rsid w:val="5368607D"/>
    <w:rsid w:val="536A359C"/>
    <w:rsid w:val="536C7507"/>
    <w:rsid w:val="536E7B06"/>
    <w:rsid w:val="53721D2E"/>
    <w:rsid w:val="538C6674"/>
    <w:rsid w:val="53901E9A"/>
    <w:rsid w:val="539574B0"/>
    <w:rsid w:val="5398661A"/>
    <w:rsid w:val="53A34A4E"/>
    <w:rsid w:val="53A5521A"/>
    <w:rsid w:val="53B12F4E"/>
    <w:rsid w:val="53B148A4"/>
    <w:rsid w:val="53B536AF"/>
    <w:rsid w:val="53B5421C"/>
    <w:rsid w:val="53B67427"/>
    <w:rsid w:val="53B914E7"/>
    <w:rsid w:val="53BB3613"/>
    <w:rsid w:val="53C120CA"/>
    <w:rsid w:val="54302D35"/>
    <w:rsid w:val="544E765F"/>
    <w:rsid w:val="544F3B03"/>
    <w:rsid w:val="54525066"/>
    <w:rsid w:val="545A4256"/>
    <w:rsid w:val="545A6004"/>
    <w:rsid w:val="547054FD"/>
    <w:rsid w:val="547A48F8"/>
    <w:rsid w:val="548656FA"/>
    <w:rsid w:val="548A6FFE"/>
    <w:rsid w:val="54947768"/>
    <w:rsid w:val="54967603"/>
    <w:rsid w:val="54973DD2"/>
    <w:rsid w:val="54992FD0"/>
    <w:rsid w:val="54A11E85"/>
    <w:rsid w:val="54B75204"/>
    <w:rsid w:val="54BA6AA3"/>
    <w:rsid w:val="54C26836"/>
    <w:rsid w:val="54CF7B30"/>
    <w:rsid w:val="54D60F80"/>
    <w:rsid w:val="54E56216"/>
    <w:rsid w:val="54E91F65"/>
    <w:rsid w:val="54ED6E78"/>
    <w:rsid w:val="54F42753"/>
    <w:rsid w:val="54F66B32"/>
    <w:rsid w:val="54FA3343"/>
    <w:rsid w:val="54FC3DE1"/>
    <w:rsid w:val="55070F96"/>
    <w:rsid w:val="55094EF9"/>
    <w:rsid w:val="550F7691"/>
    <w:rsid w:val="5510646B"/>
    <w:rsid w:val="55132319"/>
    <w:rsid w:val="55275CF2"/>
    <w:rsid w:val="55283D08"/>
    <w:rsid w:val="554A0474"/>
    <w:rsid w:val="554D7917"/>
    <w:rsid w:val="554E3DBB"/>
    <w:rsid w:val="555925AE"/>
    <w:rsid w:val="555B2034"/>
    <w:rsid w:val="55630EE8"/>
    <w:rsid w:val="55747599"/>
    <w:rsid w:val="557650C0"/>
    <w:rsid w:val="55774084"/>
    <w:rsid w:val="55827F17"/>
    <w:rsid w:val="559E0172"/>
    <w:rsid w:val="55B6370E"/>
    <w:rsid w:val="55BE2D74"/>
    <w:rsid w:val="55BF28D2"/>
    <w:rsid w:val="55C0633B"/>
    <w:rsid w:val="55C45E2B"/>
    <w:rsid w:val="55C827EC"/>
    <w:rsid w:val="55D65B5E"/>
    <w:rsid w:val="55DB4F23"/>
    <w:rsid w:val="55E262B1"/>
    <w:rsid w:val="55E42029"/>
    <w:rsid w:val="55E43FF3"/>
    <w:rsid w:val="55E55DA1"/>
    <w:rsid w:val="55EF6B25"/>
    <w:rsid w:val="56051FA0"/>
    <w:rsid w:val="56076140"/>
    <w:rsid w:val="560A75E9"/>
    <w:rsid w:val="56130B60"/>
    <w:rsid w:val="561346BC"/>
    <w:rsid w:val="561641AD"/>
    <w:rsid w:val="56203972"/>
    <w:rsid w:val="56206DD9"/>
    <w:rsid w:val="56220DA3"/>
    <w:rsid w:val="56334F4E"/>
    <w:rsid w:val="5640122A"/>
    <w:rsid w:val="564861A3"/>
    <w:rsid w:val="56633896"/>
    <w:rsid w:val="566A652B"/>
    <w:rsid w:val="566E5D97"/>
    <w:rsid w:val="56721869"/>
    <w:rsid w:val="567C4958"/>
    <w:rsid w:val="56861332"/>
    <w:rsid w:val="56927CD7"/>
    <w:rsid w:val="569752EE"/>
    <w:rsid w:val="56A71E75"/>
    <w:rsid w:val="56AA614C"/>
    <w:rsid w:val="56AE4E93"/>
    <w:rsid w:val="56AF0889"/>
    <w:rsid w:val="56C3571A"/>
    <w:rsid w:val="56D86E7D"/>
    <w:rsid w:val="56E524FD"/>
    <w:rsid w:val="56E542AB"/>
    <w:rsid w:val="56EE31CF"/>
    <w:rsid w:val="56F1356E"/>
    <w:rsid w:val="56F95FA8"/>
    <w:rsid w:val="56FC33A3"/>
    <w:rsid w:val="56FE35BF"/>
    <w:rsid w:val="57062473"/>
    <w:rsid w:val="57086F62"/>
    <w:rsid w:val="57171FAC"/>
    <w:rsid w:val="57175521"/>
    <w:rsid w:val="57201787"/>
    <w:rsid w:val="5728063B"/>
    <w:rsid w:val="572B1EDA"/>
    <w:rsid w:val="57347C1D"/>
    <w:rsid w:val="5741351C"/>
    <w:rsid w:val="574E16ED"/>
    <w:rsid w:val="5753390A"/>
    <w:rsid w:val="575C1490"/>
    <w:rsid w:val="576057FA"/>
    <w:rsid w:val="57630824"/>
    <w:rsid w:val="57722CF3"/>
    <w:rsid w:val="57743881"/>
    <w:rsid w:val="57832F7A"/>
    <w:rsid w:val="578620F7"/>
    <w:rsid w:val="578C2978"/>
    <w:rsid w:val="578F3B8E"/>
    <w:rsid w:val="57A001D2"/>
    <w:rsid w:val="57A4463D"/>
    <w:rsid w:val="57AA1051"/>
    <w:rsid w:val="57B27F05"/>
    <w:rsid w:val="57C1417C"/>
    <w:rsid w:val="57D12A81"/>
    <w:rsid w:val="57E83C3B"/>
    <w:rsid w:val="57E974D0"/>
    <w:rsid w:val="57F22AEB"/>
    <w:rsid w:val="57F77651"/>
    <w:rsid w:val="57FB3A30"/>
    <w:rsid w:val="58036411"/>
    <w:rsid w:val="580C5867"/>
    <w:rsid w:val="582D2E88"/>
    <w:rsid w:val="582F1556"/>
    <w:rsid w:val="583F3E8F"/>
    <w:rsid w:val="583F79EB"/>
    <w:rsid w:val="584414A5"/>
    <w:rsid w:val="584462C7"/>
    <w:rsid w:val="584F162A"/>
    <w:rsid w:val="585039A6"/>
    <w:rsid w:val="58582A0B"/>
    <w:rsid w:val="585F21C4"/>
    <w:rsid w:val="586B23A2"/>
    <w:rsid w:val="586E28CA"/>
    <w:rsid w:val="58782EFD"/>
    <w:rsid w:val="58874B26"/>
    <w:rsid w:val="588E31B7"/>
    <w:rsid w:val="5895585D"/>
    <w:rsid w:val="58A12453"/>
    <w:rsid w:val="58BA1767"/>
    <w:rsid w:val="58BD2CCA"/>
    <w:rsid w:val="58BF54EF"/>
    <w:rsid w:val="58C278D6"/>
    <w:rsid w:val="58C3686E"/>
    <w:rsid w:val="58CB56FA"/>
    <w:rsid w:val="58E35228"/>
    <w:rsid w:val="58E435CA"/>
    <w:rsid w:val="58E701E7"/>
    <w:rsid w:val="58EE66CC"/>
    <w:rsid w:val="58F654A9"/>
    <w:rsid w:val="59030A18"/>
    <w:rsid w:val="590E151B"/>
    <w:rsid w:val="5915074C"/>
    <w:rsid w:val="59263D88"/>
    <w:rsid w:val="592D1BF7"/>
    <w:rsid w:val="59301A29"/>
    <w:rsid w:val="59315DFF"/>
    <w:rsid w:val="59430F68"/>
    <w:rsid w:val="594D25DB"/>
    <w:rsid w:val="59533008"/>
    <w:rsid w:val="59547B16"/>
    <w:rsid w:val="59725B9E"/>
    <w:rsid w:val="59775009"/>
    <w:rsid w:val="597A6246"/>
    <w:rsid w:val="598F49A2"/>
    <w:rsid w:val="5993563B"/>
    <w:rsid w:val="59967408"/>
    <w:rsid w:val="599B3347"/>
    <w:rsid w:val="599B6EA3"/>
    <w:rsid w:val="59A044B9"/>
    <w:rsid w:val="59A70B49"/>
    <w:rsid w:val="59AC3F52"/>
    <w:rsid w:val="59B2243E"/>
    <w:rsid w:val="59B47CF8"/>
    <w:rsid w:val="59B504AA"/>
    <w:rsid w:val="59B74EE0"/>
    <w:rsid w:val="59BB5797"/>
    <w:rsid w:val="59BC39DF"/>
    <w:rsid w:val="59C52172"/>
    <w:rsid w:val="59C604DE"/>
    <w:rsid w:val="59CC1752"/>
    <w:rsid w:val="59D46859"/>
    <w:rsid w:val="59EA1BD8"/>
    <w:rsid w:val="59F52EB6"/>
    <w:rsid w:val="5A1455BF"/>
    <w:rsid w:val="5A162510"/>
    <w:rsid w:val="5A272E2C"/>
    <w:rsid w:val="5A332E0E"/>
    <w:rsid w:val="5A384B14"/>
    <w:rsid w:val="5A3D43FE"/>
    <w:rsid w:val="5A3D61AC"/>
    <w:rsid w:val="5A3F1F24"/>
    <w:rsid w:val="5A4202DB"/>
    <w:rsid w:val="5A484733"/>
    <w:rsid w:val="5A570B12"/>
    <w:rsid w:val="5A5A6D5E"/>
    <w:rsid w:val="5A6679CA"/>
    <w:rsid w:val="5A676D68"/>
    <w:rsid w:val="5A6B1B59"/>
    <w:rsid w:val="5A6B2D19"/>
    <w:rsid w:val="5A715C9D"/>
    <w:rsid w:val="5A751DEA"/>
    <w:rsid w:val="5A76346C"/>
    <w:rsid w:val="5A8262B5"/>
    <w:rsid w:val="5A8454B5"/>
    <w:rsid w:val="5A8E0F8A"/>
    <w:rsid w:val="5A9F0C15"/>
    <w:rsid w:val="5A9F3E73"/>
    <w:rsid w:val="5AA224B3"/>
    <w:rsid w:val="5ABA2A7F"/>
    <w:rsid w:val="5ACD39D4"/>
    <w:rsid w:val="5AF30F60"/>
    <w:rsid w:val="5AF80325"/>
    <w:rsid w:val="5AFC1BC3"/>
    <w:rsid w:val="5B1F3D38"/>
    <w:rsid w:val="5B215ACE"/>
    <w:rsid w:val="5B2624A5"/>
    <w:rsid w:val="5B2630E4"/>
    <w:rsid w:val="5B296730"/>
    <w:rsid w:val="5B2B122D"/>
    <w:rsid w:val="5B3723B1"/>
    <w:rsid w:val="5B4517BC"/>
    <w:rsid w:val="5B4E2777"/>
    <w:rsid w:val="5B4F6C44"/>
    <w:rsid w:val="5B5152A0"/>
    <w:rsid w:val="5B590DC3"/>
    <w:rsid w:val="5B5D7D21"/>
    <w:rsid w:val="5B6F6F54"/>
    <w:rsid w:val="5B716F5E"/>
    <w:rsid w:val="5B7869D5"/>
    <w:rsid w:val="5B79220B"/>
    <w:rsid w:val="5B793DD5"/>
    <w:rsid w:val="5B835D0F"/>
    <w:rsid w:val="5B85695B"/>
    <w:rsid w:val="5B8D6CBF"/>
    <w:rsid w:val="5B8F35CE"/>
    <w:rsid w:val="5BB82598"/>
    <w:rsid w:val="5BBB1A7E"/>
    <w:rsid w:val="5BC16969"/>
    <w:rsid w:val="5BCB2B13"/>
    <w:rsid w:val="5BD42B40"/>
    <w:rsid w:val="5BDD3D67"/>
    <w:rsid w:val="5BDE0602"/>
    <w:rsid w:val="5BE16142"/>
    <w:rsid w:val="5BEC5B1C"/>
    <w:rsid w:val="5BF05BEB"/>
    <w:rsid w:val="5BF60D08"/>
    <w:rsid w:val="5C004FB5"/>
    <w:rsid w:val="5C0F3B78"/>
    <w:rsid w:val="5C0F5926"/>
    <w:rsid w:val="5C1E5C5E"/>
    <w:rsid w:val="5C246869"/>
    <w:rsid w:val="5C2515ED"/>
    <w:rsid w:val="5C2F421A"/>
    <w:rsid w:val="5C38222F"/>
    <w:rsid w:val="5C421BDF"/>
    <w:rsid w:val="5C4F21C6"/>
    <w:rsid w:val="5C533A65"/>
    <w:rsid w:val="5C546658"/>
    <w:rsid w:val="5C564A4A"/>
    <w:rsid w:val="5C596057"/>
    <w:rsid w:val="5C6B41A2"/>
    <w:rsid w:val="5C6E089F"/>
    <w:rsid w:val="5C760868"/>
    <w:rsid w:val="5C7B120D"/>
    <w:rsid w:val="5C7F0CFE"/>
    <w:rsid w:val="5C83579A"/>
    <w:rsid w:val="5C910708"/>
    <w:rsid w:val="5C910A31"/>
    <w:rsid w:val="5C935540"/>
    <w:rsid w:val="5C9D1184"/>
    <w:rsid w:val="5CA269B0"/>
    <w:rsid w:val="5CA85322"/>
    <w:rsid w:val="5CB67B77"/>
    <w:rsid w:val="5CC26E3C"/>
    <w:rsid w:val="5CC8569C"/>
    <w:rsid w:val="5CE13766"/>
    <w:rsid w:val="5CE45005"/>
    <w:rsid w:val="5CEB5804"/>
    <w:rsid w:val="5CEB6393"/>
    <w:rsid w:val="5CEE31AF"/>
    <w:rsid w:val="5CF765FF"/>
    <w:rsid w:val="5CF8285E"/>
    <w:rsid w:val="5D0371A2"/>
    <w:rsid w:val="5D11008D"/>
    <w:rsid w:val="5D137698"/>
    <w:rsid w:val="5D1450ED"/>
    <w:rsid w:val="5D156F6C"/>
    <w:rsid w:val="5D1A27D4"/>
    <w:rsid w:val="5D224182"/>
    <w:rsid w:val="5D252122"/>
    <w:rsid w:val="5D2D358B"/>
    <w:rsid w:val="5D3A4C25"/>
    <w:rsid w:val="5D4E06D0"/>
    <w:rsid w:val="5D4F5A01"/>
    <w:rsid w:val="5D554F37"/>
    <w:rsid w:val="5D671A7D"/>
    <w:rsid w:val="5D69550A"/>
    <w:rsid w:val="5D6A375C"/>
    <w:rsid w:val="5D775E79"/>
    <w:rsid w:val="5D8A5BAC"/>
    <w:rsid w:val="5D982259"/>
    <w:rsid w:val="5D995DEF"/>
    <w:rsid w:val="5D9B28C6"/>
    <w:rsid w:val="5DA4554F"/>
    <w:rsid w:val="5DAB167E"/>
    <w:rsid w:val="5DBA1BF8"/>
    <w:rsid w:val="5DBD3CB4"/>
    <w:rsid w:val="5DC1219E"/>
    <w:rsid w:val="5DCA7D57"/>
    <w:rsid w:val="5DCC4C82"/>
    <w:rsid w:val="5DDB5473"/>
    <w:rsid w:val="5DEA2893"/>
    <w:rsid w:val="5DEF17B3"/>
    <w:rsid w:val="5DFB2606"/>
    <w:rsid w:val="5DFE3EA4"/>
    <w:rsid w:val="5E187D65"/>
    <w:rsid w:val="5E1E26DD"/>
    <w:rsid w:val="5E4A0E97"/>
    <w:rsid w:val="5E5835B4"/>
    <w:rsid w:val="5E587A58"/>
    <w:rsid w:val="5E5E2B95"/>
    <w:rsid w:val="5E6A778C"/>
    <w:rsid w:val="5E6B5C05"/>
    <w:rsid w:val="5E6C52B2"/>
    <w:rsid w:val="5E766130"/>
    <w:rsid w:val="5E8425FB"/>
    <w:rsid w:val="5E871452"/>
    <w:rsid w:val="5E907B64"/>
    <w:rsid w:val="5E916AC6"/>
    <w:rsid w:val="5E993BCD"/>
    <w:rsid w:val="5E9B334C"/>
    <w:rsid w:val="5EA54F0C"/>
    <w:rsid w:val="5EA902B4"/>
    <w:rsid w:val="5EB56C59"/>
    <w:rsid w:val="5ED97A17"/>
    <w:rsid w:val="5EDD7F5D"/>
    <w:rsid w:val="5EDE0879"/>
    <w:rsid w:val="5EE56057"/>
    <w:rsid w:val="5EE906B0"/>
    <w:rsid w:val="5F021772"/>
    <w:rsid w:val="5F0D0843"/>
    <w:rsid w:val="5F0E0117"/>
    <w:rsid w:val="5F2B2A77"/>
    <w:rsid w:val="5F335DCF"/>
    <w:rsid w:val="5F36141C"/>
    <w:rsid w:val="5F4E49B7"/>
    <w:rsid w:val="5F50072F"/>
    <w:rsid w:val="5F5A73D9"/>
    <w:rsid w:val="5F6A4F5C"/>
    <w:rsid w:val="5F6D7533"/>
    <w:rsid w:val="5F8D6EAC"/>
    <w:rsid w:val="5F926F9A"/>
    <w:rsid w:val="5F950838"/>
    <w:rsid w:val="5F9555DA"/>
    <w:rsid w:val="5FAA6E9D"/>
    <w:rsid w:val="5FAA7416"/>
    <w:rsid w:val="5FB41298"/>
    <w:rsid w:val="5FB456FC"/>
    <w:rsid w:val="5FBA4847"/>
    <w:rsid w:val="5FC92290"/>
    <w:rsid w:val="5FD2225B"/>
    <w:rsid w:val="5FD35F12"/>
    <w:rsid w:val="5FED0EAA"/>
    <w:rsid w:val="5FF37555"/>
    <w:rsid w:val="5FFA462A"/>
    <w:rsid w:val="5FFE1F39"/>
    <w:rsid w:val="60052F43"/>
    <w:rsid w:val="60085E78"/>
    <w:rsid w:val="6015606F"/>
    <w:rsid w:val="60196D73"/>
    <w:rsid w:val="601B58DD"/>
    <w:rsid w:val="601B6F8F"/>
    <w:rsid w:val="602121C8"/>
    <w:rsid w:val="60244C16"/>
    <w:rsid w:val="6028345A"/>
    <w:rsid w:val="602C4CF9"/>
    <w:rsid w:val="603718EF"/>
    <w:rsid w:val="603E07AE"/>
    <w:rsid w:val="603F3EAD"/>
    <w:rsid w:val="604858AA"/>
    <w:rsid w:val="60595C02"/>
    <w:rsid w:val="606D70BF"/>
    <w:rsid w:val="606F453E"/>
    <w:rsid w:val="608561F0"/>
    <w:rsid w:val="60883EF9"/>
    <w:rsid w:val="60886BFA"/>
    <w:rsid w:val="608C5797"/>
    <w:rsid w:val="6094289E"/>
    <w:rsid w:val="60A32AE1"/>
    <w:rsid w:val="60AA0313"/>
    <w:rsid w:val="60AC7BE7"/>
    <w:rsid w:val="60C633C1"/>
    <w:rsid w:val="60D55842"/>
    <w:rsid w:val="60D8118F"/>
    <w:rsid w:val="60D96503"/>
    <w:rsid w:val="60DB486A"/>
    <w:rsid w:val="60E60C98"/>
    <w:rsid w:val="60E84B12"/>
    <w:rsid w:val="60F570D0"/>
    <w:rsid w:val="60F577E0"/>
    <w:rsid w:val="610608AD"/>
    <w:rsid w:val="61073070"/>
    <w:rsid w:val="610F0176"/>
    <w:rsid w:val="61112140"/>
    <w:rsid w:val="61113EEE"/>
    <w:rsid w:val="611F3BB4"/>
    <w:rsid w:val="611F660B"/>
    <w:rsid w:val="61215AEF"/>
    <w:rsid w:val="61345FAC"/>
    <w:rsid w:val="613A51F3"/>
    <w:rsid w:val="61465DA8"/>
    <w:rsid w:val="61481763"/>
    <w:rsid w:val="61532759"/>
    <w:rsid w:val="61575576"/>
    <w:rsid w:val="6162299C"/>
    <w:rsid w:val="616713F5"/>
    <w:rsid w:val="616D6619"/>
    <w:rsid w:val="618337CB"/>
    <w:rsid w:val="61897F29"/>
    <w:rsid w:val="618D7A19"/>
    <w:rsid w:val="61A10B0B"/>
    <w:rsid w:val="61AC65C4"/>
    <w:rsid w:val="61B34FA6"/>
    <w:rsid w:val="61B41449"/>
    <w:rsid w:val="61C042AB"/>
    <w:rsid w:val="61C176C2"/>
    <w:rsid w:val="61C530B1"/>
    <w:rsid w:val="61CA4FAD"/>
    <w:rsid w:val="61CB73F0"/>
    <w:rsid w:val="61DE0274"/>
    <w:rsid w:val="61E635CD"/>
    <w:rsid w:val="61EB0BE3"/>
    <w:rsid w:val="61FC6D54"/>
    <w:rsid w:val="61FF7C55"/>
    <w:rsid w:val="62083543"/>
    <w:rsid w:val="620D0B5A"/>
    <w:rsid w:val="620D141F"/>
    <w:rsid w:val="6211064A"/>
    <w:rsid w:val="62113437"/>
    <w:rsid w:val="621B3245"/>
    <w:rsid w:val="621C2B4B"/>
    <w:rsid w:val="62214DFA"/>
    <w:rsid w:val="6223212B"/>
    <w:rsid w:val="62255EA3"/>
    <w:rsid w:val="62297E0B"/>
    <w:rsid w:val="623A0A5E"/>
    <w:rsid w:val="623E1776"/>
    <w:rsid w:val="62402CDD"/>
    <w:rsid w:val="62416B14"/>
    <w:rsid w:val="62441131"/>
    <w:rsid w:val="624520A2"/>
    <w:rsid w:val="6245693B"/>
    <w:rsid w:val="624C1682"/>
    <w:rsid w:val="62547CD1"/>
    <w:rsid w:val="62713A30"/>
    <w:rsid w:val="628333F2"/>
    <w:rsid w:val="628B384F"/>
    <w:rsid w:val="62993AB4"/>
    <w:rsid w:val="62A96AD4"/>
    <w:rsid w:val="62AB34EE"/>
    <w:rsid w:val="62B13611"/>
    <w:rsid w:val="62B15989"/>
    <w:rsid w:val="62B1716A"/>
    <w:rsid w:val="62B47227"/>
    <w:rsid w:val="62B92A90"/>
    <w:rsid w:val="62BE1E32"/>
    <w:rsid w:val="62CC27C3"/>
    <w:rsid w:val="62CE7B37"/>
    <w:rsid w:val="62E418BB"/>
    <w:rsid w:val="62EC3C40"/>
    <w:rsid w:val="62FD3033"/>
    <w:rsid w:val="62FD472A"/>
    <w:rsid w:val="630951DF"/>
    <w:rsid w:val="63206C54"/>
    <w:rsid w:val="63344792"/>
    <w:rsid w:val="63416D0D"/>
    <w:rsid w:val="63447186"/>
    <w:rsid w:val="634A1FE7"/>
    <w:rsid w:val="634C7460"/>
    <w:rsid w:val="634E142A"/>
    <w:rsid w:val="635579ED"/>
    <w:rsid w:val="636C365E"/>
    <w:rsid w:val="63750765"/>
    <w:rsid w:val="638243EF"/>
    <w:rsid w:val="638C62E8"/>
    <w:rsid w:val="638F6702"/>
    <w:rsid w:val="63972DD1"/>
    <w:rsid w:val="639C03E7"/>
    <w:rsid w:val="63AA400F"/>
    <w:rsid w:val="63AD2BAB"/>
    <w:rsid w:val="63B374DF"/>
    <w:rsid w:val="63B42FA7"/>
    <w:rsid w:val="63BB7DF8"/>
    <w:rsid w:val="63D25BB7"/>
    <w:rsid w:val="63D53465"/>
    <w:rsid w:val="63DD455C"/>
    <w:rsid w:val="63DF02D4"/>
    <w:rsid w:val="63E91B17"/>
    <w:rsid w:val="63EA5938"/>
    <w:rsid w:val="63EA7CD7"/>
    <w:rsid w:val="63F22B00"/>
    <w:rsid w:val="63F85463"/>
    <w:rsid w:val="63FA6F9D"/>
    <w:rsid w:val="63FD075A"/>
    <w:rsid w:val="640E3950"/>
    <w:rsid w:val="64104931"/>
    <w:rsid w:val="641B6CFA"/>
    <w:rsid w:val="64216B3E"/>
    <w:rsid w:val="642A77A1"/>
    <w:rsid w:val="642B176B"/>
    <w:rsid w:val="642E6B65"/>
    <w:rsid w:val="642F125B"/>
    <w:rsid w:val="64393E88"/>
    <w:rsid w:val="6444200F"/>
    <w:rsid w:val="644A2E97"/>
    <w:rsid w:val="644D32A6"/>
    <w:rsid w:val="64573BBC"/>
    <w:rsid w:val="64634A61"/>
    <w:rsid w:val="646D3B32"/>
    <w:rsid w:val="646D58E0"/>
    <w:rsid w:val="647B0FBF"/>
    <w:rsid w:val="648B3FB8"/>
    <w:rsid w:val="648F5856"/>
    <w:rsid w:val="64915A72"/>
    <w:rsid w:val="64970BAF"/>
    <w:rsid w:val="64A95DBF"/>
    <w:rsid w:val="64BB10FB"/>
    <w:rsid w:val="64BC589C"/>
    <w:rsid w:val="64C42860"/>
    <w:rsid w:val="64CE648F"/>
    <w:rsid w:val="64D37E39"/>
    <w:rsid w:val="64D4488A"/>
    <w:rsid w:val="64D67929"/>
    <w:rsid w:val="64DC4A2F"/>
    <w:rsid w:val="64EF09EB"/>
    <w:rsid w:val="64FC0235"/>
    <w:rsid w:val="65102E3B"/>
    <w:rsid w:val="65127CF1"/>
    <w:rsid w:val="651D10B4"/>
    <w:rsid w:val="65271F32"/>
    <w:rsid w:val="652A627C"/>
    <w:rsid w:val="6530645D"/>
    <w:rsid w:val="65326B1A"/>
    <w:rsid w:val="654B50E5"/>
    <w:rsid w:val="6558033E"/>
    <w:rsid w:val="655F791E"/>
    <w:rsid w:val="657A4758"/>
    <w:rsid w:val="657F1D6E"/>
    <w:rsid w:val="65814BBE"/>
    <w:rsid w:val="65876E75"/>
    <w:rsid w:val="658856C4"/>
    <w:rsid w:val="658B7653"/>
    <w:rsid w:val="65931376"/>
    <w:rsid w:val="65AE61B0"/>
    <w:rsid w:val="65B030AD"/>
    <w:rsid w:val="65BC0AFC"/>
    <w:rsid w:val="65C15EE3"/>
    <w:rsid w:val="65C37FE8"/>
    <w:rsid w:val="65C4177D"/>
    <w:rsid w:val="65D8486C"/>
    <w:rsid w:val="65ED1B74"/>
    <w:rsid w:val="65ED6CD8"/>
    <w:rsid w:val="65F51279"/>
    <w:rsid w:val="65F938CF"/>
    <w:rsid w:val="65FA6C91"/>
    <w:rsid w:val="65FE0EE5"/>
    <w:rsid w:val="660404C6"/>
    <w:rsid w:val="66100C18"/>
    <w:rsid w:val="661A1A97"/>
    <w:rsid w:val="66214933"/>
    <w:rsid w:val="66245681"/>
    <w:rsid w:val="662A132F"/>
    <w:rsid w:val="662B7800"/>
    <w:rsid w:val="6632293D"/>
    <w:rsid w:val="663515B7"/>
    <w:rsid w:val="6646288C"/>
    <w:rsid w:val="664D3C1B"/>
    <w:rsid w:val="664F5ADA"/>
    <w:rsid w:val="66502381"/>
    <w:rsid w:val="665135D2"/>
    <w:rsid w:val="66557E8E"/>
    <w:rsid w:val="66576847"/>
    <w:rsid w:val="66652D12"/>
    <w:rsid w:val="66716F79"/>
    <w:rsid w:val="66770C98"/>
    <w:rsid w:val="667747F4"/>
    <w:rsid w:val="66807B4C"/>
    <w:rsid w:val="66830FD0"/>
    <w:rsid w:val="66846F11"/>
    <w:rsid w:val="668A2F36"/>
    <w:rsid w:val="66AB175B"/>
    <w:rsid w:val="66B0028A"/>
    <w:rsid w:val="66B5531C"/>
    <w:rsid w:val="66BD7716"/>
    <w:rsid w:val="66DD4BFF"/>
    <w:rsid w:val="66E2573B"/>
    <w:rsid w:val="66E520A5"/>
    <w:rsid w:val="66EC3434"/>
    <w:rsid w:val="66F95B50"/>
    <w:rsid w:val="66FB71D3"/>
    <w:rsid w:val="670562A3"/>
    <w:rsid w:val="671362AC"/>
    <w:rsid w:val="672C1A82"/>
    <w:rsid w:val="67362878"/>
    <w:rsid w:val="673B1CC5"/>
    <w:rsid w:val="674A015A"/>
    <w:rsid w:val="674C7A2E"/>
    <w:rsid w:val="675D4EDF"/>
    <w:rsid w:val="676314F1"/>
    <w:rsid w:val="676378A7"/>
    <w:rsid w:val="676A6845"/>
    <w:rsid w:val="678278F4"/>
    <w:rsid w:val="679413D5"/>
    <w:rsid w:val="679A4C3E"/>
    <w:rsid w:val="67A9270A"/>
    <w:rsid w:val="67B519A4"/>
    <w:rsid w:val="67B83180"/>
    <w:rsid w:val="67C73559"/>
    <w:rsid w:val="67E11183"/>
    <w:rsid w:val="67E36C7A"/>
    <w:rsid w:val="67E476E8"/>
    <w:rsid w:val="67E97973"/>
    <w:rsid w:val="67EB4DFC"/>
    <w:rsid w:val="67F60DFC"/>
    <w:rsid w:val="67FD6F7B"/>
    <w:rsid w:val="68077DF9"/>
    <w:rsid w:val="680974B1"/>
    <w:rsid w:val="680A4FA3"/>
    <w:rsid w:val="680E2F36"/>
    <w:rsid w:val="681709C9"/>
    <w:rsid w:val="68232E85"/>
    <w:rsid w:val="682C260C"/>
    <w:rsid w:val="683D63D6"/>
    <w:rsid w:val="683F7593"/>
    <w:rsid w:val="68420E31"/>
    <w:rsid w:val="68433252"/>
    <w:rsid w:val="68433DA6"/>
    <w:rsid w:val="684C70D8"/>
    <w:rsid w:val="685F0B4B"/>
    <w:rsid w:val="686047EC"/>
    <w:rsid w:val="68677AAE"/>
    <w:rsid w:val="686B2811"/>
    <w:rsid w:val="687A681D"/>
    <w:rsid w:val="6884144A"/>
    <w:rsid w:val="68891B98"/>
    <w:rsid w:val="68AC2CF6"/>
    <w:rsid w:val="68B27663"/>
    <w:rsid w:val="68BB130F"/>
    <w:rsid w:val="68C63810"/>
    <w:rsid w:val="68C7438B"/>
    <w:rsid w:val="68C83A2C"/>
    <w:rsid w:val="68D06FB7"/>
    <w:rsid w:val="68DC1D09"/>
    <w:rsid w:val="68DC4DE2"/>
    <w:rsid w:val="68F05D38"/>
    <w:rsid w:val="68F44821"/>
    <w:rsid w:val="68FC7232"/>
    <w:rsid w:val="69024B11"/>
    <w:rsid w:val="69056194"/>
    <w:rsid w:val="690A7BA1"/>
    <w:rsid w:val="69175724"/>
    <w:rsid w:val="691D1275"/>
    <w:rsid w:val="691E189E"/>
    <w:rsid w:val="69223BD5"/>
    <w:rsid w:val="69377459"/>
    <w:rsid w:val="693B7234"/>
    <w:rsid w:val="694F3806"/>
    <w:rsid w:val="695D476C"/>
    <w:rsid w:val="695E7EED"/>
    <w:rsid w:val="69670B4F"/>
    <w:rsid w:val="6987405D"/>
    <w:rsid w:val="698B48B2"/>
    <w:rsid w:val="69931944"/>
    <w:rsid w:val="699546C7"/>
    <w:rsid w:val="699925C6"/>
    <w:rsid w:val="699B1A2E"/>
    <w:rsid w:val="69A26638"/>
    <w:rsid w:val="69A9560C"/>
    <w:rsid w:val="69C266CE"/>
    <w:rsid w:val="69C75A92"/>
    <w:rsid w:val="69C8232E"/>
    <w:rsid w:val="69CE5072"/>
    <w:rsid w:val="69DC457A"/>
    <w:rsid w:val="69DD0FAB"/>
    <w:rsid w:val="69F525FF"/>
    <w:rsid w:val="69FE0E72"/>
    <w:rsid w:val="69FF4345"/>
    <w:rsid w:val="6A010FA4"/>
    <w:rsid w:val="6A0445F0"/>
    <w:rsid w:val="6A0D4A4B"/>
    <w:rsid w:val="6A0D5B9B"/>
    <w:rsid w:val="6A0E1CBF"/>
    <w:rsid w:val="6A136F29"/>
    <w:rsid w:val="6A2A10BB"/>
    <w:rsid w:val="6A2C3B47"/>
    <w:rsid w:val="6A2D7FEB"/>
    <w:rsid w:val="6A3432E0"/>
    <w:rsid w:val="6A3824EC"/>
    <w:rsid w:val="6A3A6264"/>
    <w:rsid w:val="6A3B3D8A"/>
    <w:rsid w:val="6A445335"/>
    <w:rsid w:val="6A470981"/>
    <w:rsid w:val="6A48113B"/>
    <w:rsid w:val="6A4B4EC4"/>
    <w:rsid w:val="6A4D4413"/>
    <w:rsid w:val="6A682DD1"/>
    <w:rsid w:val="6A684D2E"/>
    <w:rsid w:val="6A6908F7"/>
    <w:rsid w:val="6A694D9B"/>
    <w:rsid w:val="6A7143B4"/>
    <w:rsid w:val="6A732063"/>
    <w:rsid w:val="6A7E2C0A"/>
    <w:rsid w:val="6A92631E"/>
    <w:rsid w:val="6AA16E5C"/>
    <w:rsid w:val="6AA45DD3"/>
    <w:rsid w:val="6AA933EA"/>
    <w:rsid w:val="6AAA527E"/>
    <w:rsid w:val="6ABC311D"/>
    <w:rsid w:val="6AC63F9C"/>
    <w:rsid w:val="6AE0505D"/>
    <w:rsid w:val="6AFB2812"/>
    <w:rsid w:val="6B0F694D"/>
    <w:rsid w:val="6B1A680B"/>
    <w:rsid w:val="6B2536D7"/>
    <w:rsid w:val="6B265B50"/>
    <w:rsid w:val="6B480E55"/>
    <w:rsid w:val="6B496A63"/>
    <w:rsid w:val="6B5038D0"/>
    <w:rsid w:val="6B5E2EFA"/>
    <w:rsid w:val="6B6932A5"/>
    <w:rsid w:val="6B731500"/>
    <w:rsid w:val="6B7834E8"/>
    <w:rsid w:val="6B7B6B34"/>
    <w:rsid w:val="6B7E4289"/>
    <w:rsid w:val="6B7F3EF2"/>
    <w:rsid w:val="6B802BD0"/>
    <w:rsid w:val="6B851761"/>
    <w:rsid w:val="6B8754D9"/>
    <w:rsid w:val="6B985938"/>
    <w:rsid w:val="6B991E8C"/>
    <w:rsid w:val="6BA51E03"/>
    <w:rsid w:val="6BB60195"/>
    <w:rsid w:val="6BB9116F"/>
    <w:rsid w:val="6BBD0EFB"/>
    <w:rsid w:val="6BD44496"/>
    <w:rsid w:val="6BD73FFC"/>
    <w:rsid w:val="6BDA6F67"/>
    <w:rsid w:val="6BE02E3B"/>
    <w:rsid w:val="6BE20961"/>
    <w:rsid w:val="6BEC5C84"/>
    <w:rsid w:val="6BF14384"/>
    <w:rsid w:val="6BF30DC0"/>
    <w:rsid w:val="6C092392"/>
    <w:rsid w:val="6C155DA9"/>
    <w:rsid w:val="6C172D01"/>
    <w:rsid w:val="6C185291"/>
    <w:rsid w:val="6C21592D"/>
    <w:rsid w:val="6C2201D7"/>
    <w:rsid w:val="6C264998"/>
    <w:rsid w:val="6C276CBC"/>
    <w:rsid w:val="6C2D2FAE"/>
    <w:rsid w:val="6C30791F"/>
    <w:rsid w:val="6C3118E9"/>
    <w:rsid w:val="6C3157D9"/>
    <w:rsid w:val="6C3576A8"/>
    <w:rsid w:val="6C3710E8"/>
    <w:rsid w:val="6C3D203B"/>
    <w:rsid w:val="6C537AB1"/>
    <w:rsid w:val="6C643A6C"/>
    <w:rsid w:val="6C661592"/>
    <w:rsid w:val="6C663340"/>
    <w:rsid w:val="6C6A0B7D"/>
    <w:rsid w:val="6C710145"/>
    <w:rsid w:val="6C891725"/>
    <w:rsid w:val="6C894A8C"/>
    <w:rsid w:val="6C961959"/>
    <w:rsid w:val="6C995A5F"/>
    <w:rsid w:val="6CAE6A95"/>
    <w:rsid w:val="6CB43BD9"/>
    <w:rsid w:val="6CB84B68"/>
    <w:rsid w:val="6CBA536E"/>
    <w:rsid w:val="6CC22541"/>
    <w:rsid w:val="6CC369E5"/>
    <w:rsid w:val="6CC87B57"/>
    <w:rsid w:val="6CCF5389"/>
    <w:rsid w:val="6CCF7C40"/>
    <w:rsid w:val="6CD92A71"/>
    <w:rsid w:val="6CDF56BA"/>
    <w:rsid w:val="6CE76665"/>
    <w:rsid w:val="6CF576A2"/>
    <w:rsid w:val="6CF941B4"/>
    <w:rsid w:val="6CFE7A1D"/>
    <w:rsid w:val="6D090170"/>
    <w:rsid w:val="6D12171A"/>
    <w:rsid w:val="6D1234C8"/>
    <w:rsid w:val="6D262AD0"/>
    <w:rsid w:val="6D331F8B"/>
    <w:rsid w:val="6D3A3E17"/>
    <w:rsid w:val="6D3A56C3"/>
    <w:rsid w:val="6D3C0446"/>
    <w:rsid w:val="6D414FE9"/>
    <w:rsid w:val="6D415B5B"/>
    <w:rsid w:val="6D505D9E"/>
    <w:rsid w:val="6D5748F0"/>
    <w:rsid w:val="6D576863"/>
    <w:rsid w:val="6D617FAC"/>
    <w:rsid w:val="6D657A9C"/>
    <w:rsid w:val="6D683CB6"/>
    <w:rsid w:val="6D6F091A"/>
    <w:rsid w:val="6D9F6A54"/>
    <w:rsid w:val="6DA34120"/>
    <w:rsid w:val="6DA85BDA"/>
    <w:rsid w:val="6DB710E0"/>
    <w:rsid w:val="6DBE71AC"/>
    <w:rsid w:val="6DCE3893"/>
    <w:rsid w:val="6DD07C38"/>
    <w:rsid w:val="6DDA2238"/>
    <w:rsid w:val="6DE23AC7"/>
    <w:rsid w:val="6E162B44"/>
    <w:rsid w:val="6E1E7249"/>
    <w:rsid w:val="6E1F5E9D"/>
    <w:rsid w:val="6E254C53"/>
    <w:rsid w:val="6E2C4FDF"/>
    <w:rsid w:val="6E3653FF"/>
    <w:rsid w:val="6E37450C"/>
    <w:rsid w:val="6E376F24"/>
    <w:rsid w:val="6E3C285F"/>
    <w:rsid w:val="6E3F184B"/>
    <w:rsid w:val="6E427DDD"/>
    <w:rsid w:val="6E46781B"/>
    <w:rsid w:val="6E4678CD"/>
    <w:rsid w:val="6E4C0C5C"/>
    <w:rsid w:val="6E54418B"/>
    <w:rsid w:val="6E55366C"/>
    <w:rsid w:val="6E56172B"/>
    <w:rsid w:val="6E5A3C07"/>
    <w:rsid w:val="6E600C53"/>
    <w:rsid w:val="6E6B5ED5"/>
    <w:rsid w:val="6E6F5C78"/>
    <w:rsid w:val="6E7066F8"/>
    <w:rsid w:val="6E723819"/>
    <w:rsid w:val="6E753D0F"/>
    <w:rsid w:val="6E843F52"/>
    <w:rsid w:val="6E930D5B"/>
    <w:rsid w:val="6E9F0F63"/>
    <w:rsid w:val="6EA27B21"/>
    <w:rsid w:val="6EAE0FCF"/>
    <w:rsid w:val="6EC30F1E"/>
    <w:rsid w:val="6ED07197"/>
    <w:rsid w:val="6ED30A35"/>
    <w:rsid w:val="6EDF387E"/>
    <w:rsid w:val="6EE16A9C"/>
    <w:rsid w:val="6EE175F6"/>
    <w:rsid w:val="6EE72F19"/>
    <w:rsid w:val="6EED1430"/>
    <w:rsid w:val="6EF2535F"/>
    <w:rsid w:val="6EFE46BB"/>
    <w:rsid w:val="6F020397"/>
    <w:rsid w:val="6F135451"/>
    <w:rsid w:val="6F1A6664"/>
    <w:rsid w:val="6F285225"/>
    <w:rsid w:val="6F3A6F28"/>
    <w:rsid w:val="6F3E05A4"/>
    <w:rsid w:val="6F4831D1"/>
    <w:rsid w:val="6F527D12"/>
    <w:rsid w:val="6F6178C3"/>
    <w:rsid w:val="6F6F075E"/>
    <w:rsid w:val="6F7264A0"/>
    <w:rsid w:val="6F7F4719"/>
    <w:rsid w:val="6F885F64"/>
    <w:rsid w:val="6F8E1753"/>
    <w:rsid w:val="6FA7614A"/>
    <w:rsid w:val="6FC14D32"/>
    <w:rsid w:val="6FC16F9B"/>
    <w:rsid w:val="6FD26F3F"/>
    <w:rsid w:val="6FDB5DF3"/>
    <w:rsid w:val="6FEB45D6"/>
    <w:rsid w:val="6FEF5D43"/>
    <w:rsid w:val="6FEF7240"/>
    <w:rsid w:val="6FFB5430"/>
    <w:rsid w:val="70071E3D"/>
    <w:rsid w:val="700776F3"/>
    <w:rsid w:val="701F03D6"/>
    <w:rsid w:val="70237AD7"/>
    <w:rsid w:val="702459EC"/>
    <w:rsid w:val="702E686B"/>
    <w:rsid w:val="703D3B36"/>
    <w:rsid w:val="70440456"/>
    <w:rsid w:val="70467840"/>
    <w:rsid w:val="70512559"/>
    <w:rsid w:val="706E310B"/>
    <w:rsid w:val="707A1599"/>
    <w:rsid w:val="707C7654"/>
    <w:rsid w:val="707D7E72"/>
    <w:rsid w:val="708B529E"/>
    <w:rsid w:val="708F7927"/>
    <w:rsid w:val="70A66C26"/>
    <w:rsid w:val="70A726C3"/>
    <w:rsid w:val="70A94143"/>
    <w:rsid w:val="70B36D70"/>
    <w:rsid w:val="70C10E2B"/>
    <w:rsid w:val="70CB230C"/>
    <w:rsid w:val="70D34D1C"/>
    <w:rsid w:val="70E84C6C"/>
    <w:rsid w:val="70F25BF0"/>
    <w:rsid w:val="70FC4273"/>
    <w:rsid w:val="70FF5B11"/>
    <w:rsid w:val="71264B64"/>
    <w:rsid w:val="712832BA"/>
    <w:rsid w:val="7141437C"/>
    <w:rsid w:val="714F6A99"/>
    <w:rsid w:val="71554A0A"/>
    <w:rsid w:val="716763F1"/>
    <w:rsid w:val="717470EF"/>
    <w:rsid w:val="717A163C"/>
    <w:rsid w:val="717C7162"/>
    <w:rsid w:val="717F6293"/>
    <w:rsid w:val="718524BB"/>
    <w:rsid w:val="718A1CA9"/>
    <w:rsid w:val="719B38D4"/>
    <w:rsid w:val="719E17CE"/>
    <w:rsid w:val="71AE679D"/>
    <w:rsid w:val="71B44B4E"/>
    <w:rsid w:val="71B67332"/>
    <w:rsid w:val="71B903B6"/>
    <w:rsid w:val="71BF27C0"/>
    <w:rsid w:val="71C1726B"/>
    <w:rsid w:val="71C316DD"/>
    <w:rsid w:val="71C56D5B"/>
    <w:rsid w:val="71D74C9B"/>
    <w:rsid w:val="71ED0060"/>
    <w:rsid w:val="71F3132A"/>
    <w:rsid w:val="71F335E2"/>
    <w:rsid w:val="71F47640"/>
    <w:rsid w:val="71FB09CF"/>
    <w:rsid w:val="71FE226D"/>
    <w:rsid w:val="720550F5"/>
    <w:rsid w:val="720A0C12"/>
    <w:rsid w:val="721101F2"/>
    <w:rsid w:val="721D1451"/>
    <w:rsid w:val="722021E3"/>
    <w:rsid w:val="72227D09"/>
    <w:rsid w:val="722C2936"/>
    <w:rsid w:val="72347A3D"/>
    <w:rsid w:val="723905E2"/>
    <w:rsid w:val="723D4B43"/>
    <w:rsid w:val="72467714"/>
    <w:rsid w:val="724A6A6F"/>
    <w:rsid w:val="725A3947"/>
    <w:rsid w:val="725B553C"/>
    <w:rsid w:val="725D3437"/>
    <w:rsid w:val="7265409A"/>
    <w:rsid w:val="72691DDC"/>
    <w:rsid w:val="7273277C"/>
    <w:rsid w:val="72866D81"/>
    <w:rsid w:val="72897D89"/>
    <w:rsid w:val="728E17FF"/>
    <w:rsid w:val="72BC3320"/>
    <w:rsid w:val="72CA214F"/>
    <w:rsid w:val="72D57472"/>
    <w:rsid w:val="72D6655E"/>
    <w:rsid w:val="72D80991"/>
    <w:rsid w:val="72DD1E82"/>
    <w:rsid w:val="72E6342D"/>
    <w:rsid w:val="72EB0A43"/>
    <w:rsid w:val="72ED2031"/>
    <w:rsid w:val="72EE0533"/>
    <w:rsid w:val="73005D45"/>
    <w:rsid w:val="73005EB5"/>
    <w:rsid w:val="730F0E54"/>
    <w:rsid w:val="7315161C"/>
    <w:rsid w:val="731F294C"/>
    <w:rsid w:val="732B7092"/>
    <w:rsid w:val="73463ECB"/>
    <w:rsid w:val="73565692"/>
    <w:rsid w:val="7358775B"/>
    <w:rsid w:val="73683E42"/>
    <w:rsid w:val="73702CF6"/>
    <w:rsid w:val="737323A6"/>
    <w:rsid w:val="738007DB"/>
    <w:rsid w:val="738642C8"/>
    <w:rsid w:val="738D1EAC"/>
    <w:rsid w:val="738D2254"/>
    <w:rsid w:val="73A45B36"/>
    <w:rsid w:val="73A50B61"/>
    <w:rsid w:val="73A82490"/>
    <w:rsid w:val="73B40A19"/>
    <w:rsid w:val="73BA5474"/>
    <w:rsid w:val="73BE4B49"/>
    <w:rsid w:val="73CD0149"/>
    <w:rsid w:val="73DC038C"/>
    <w:rsid w:val="73E32E08"/>
    <w:rsid w:val="73F144F9"/>
    <w:rsid w:val="73F756AE"/>
    <w:rsid w:val="73FA6E8F"/>
    <w:rsid w:val="73FB7AC7"/>
    <w:rsid w:val="73FF4D49"/>
    <w:rsid w:val="740B676D"/>
    <w:rsid w:val="74113F05"/>
    <w:rsid w:val="74273CFD"/>
    <w:rsid w:val="743A1718"/>
    <w:rsid w:val="743E2DF5"/>
    <w:rsid w:val="7440702B"/>
    <w:rsid w:val="744228E5"/>
    <w:rsid w:val="74465537"/>
    <w:rsid w:val="744D23D9"/>
    <w:rsid w:val="744E128A"/>
    <w:rsid w:val="74561EEC"/>
    <w:rsid w:val="74575C64"/>
    <w:rsid w:val="745B5755"/>
    <w:rsid w:val="745D74B0"/>
    <w:rsid w:val="746F28F4"/>
    <w:rsid w:val="74730CF0"/>
    <w:rsid w:val="74784559"/>
    <w:rsid w:val="747B10B0"/>
    <w:rsid w:val="747B1953"/>
    <w:rsid w:val="747F58E7"/>
    <w:rsid w:val="748C1DB2"/>
    <w:rsid w:val="749F7FC0"/>
    <w:rsid w:val="74D2336D"/>
    <w:rsid w:val="74DB4173"/>
    <w:rsid w:val="74E024A3"/>
    <w:rsid w:val="74F040EF"/>
    <w:rsid w:val="74F85B27"/>
    <w:rsid w:val="74FA2778"/>
    <w:rsid w:val="75003798"/>
    <w:rsid w:val="75040254"/>
    <w:rsid w:val="750758DC"/>
    <w:rsid w:val="75115004"/>
    <w:rsid w:val="752371EB"/>
    <w:rsid w:val="75297601"/>
    <w:rsid w:val="752A5BEE"/>
    <w:rsid w:val="75313A58"/>
    <w:rsid w:val="753D151B"/>
    <w:rsid w:val="753E6C0A"/>
    <w:rsid w:val="754552B2"/>
    <w:rsid w:val="75526B58"/>
    <w:rsid w:val="755723C0"/>
    <w:rsid w:val="75594DF6"/>
    <w:rsid w:val="756021F7"/>
    <w:rsid w:val="75653AF5"/>
    <w:rsid w:val="75694C25"/>
    <w:rsid w:val="75703482"/>
    <w:rsid w:val="75705230"/>
    <w:rsid w:val="7579607C"/>
    <w:rsid w:val="759119C2"/>
    <w:rsid w:val="759E127A"/>
    <w:rsid w:val="75AC0E7A"/>
    <w:rsid w:val="75B0387E"/>
    <w:rsid w:val="75B23A9A"/>
    <w:rsid w:val="75BB0FF6"/>
    <w:rsid w:val="75BC31F4"/>
    <w:rsid w:val="75DA1A57"/>
    <w:rsid w:val="75E07014"/>
    <w:rsid w:val="75E8126A"/>
    <w:rsid w:val="75ED7908"/>
    <w:rsid w:val="75F4275D"/>
    <w:rsid w:val="75F52CE2"/>
    <w:rsid w:val="75F72090"/>
    <w:rsid w:val="75FB4D1F"/>
    <w:rsid w:val="76065B94"/>
    <w:rsid w:val="760836BA"/>
    <w:rsid w:val="760A5684"/>
    <w:rsid w:val="760B34E8"/>
    <w:rsid w:val="7618671A"/>
    <w:rsid w:val="761E630B"/>
    <w:rsid w:val="763C0E66"/>
    <w:rsid w:val="764C7A4B"/>
    <w:rsid w:val="764F753B"/>
    <w:rsid w:val="767456AA"/>
    <w:rsid w:val="76831AD1"/>
    <w:rsid w:val="76B455F0"/>
    <w:rsid w:val="76B50C3B"/>
    <w:rsid w:val="76B86E8E"/>
    <w:rsid w:val="76C00504"/>
    <w:rsid w:val="76C06CCE"/>
    <w:rsid w:val="76CB62F1"/>
    <w:rsid w:val="76D35A76"/>
    <w:rsid w:val="76D65566"/>
    <w:rsid w:val="76D67314"/>
    <w:rsid w:val="76E01F41"/>
    <w:rsid w:val="76EC030B"/>
    <w:rsid w:val="76F87153"/>
    <w:rsid w:val="7704698F"/>
    <w:rsid w:val="770735A1"/>
    <w:rsid w:val="770E7A76"/>
    <w:rsid w:val="772C33D8"/>
    <w:rsid w:val="77381D7D"/>
    <w:rsid w:val="77422E1A"/>
    <w:rsid w:val="774A3910"/>
    <w:rsid w:val="774E15A1"/>
    <w:rsid w:val="77521091"/>
    <w:rsid w:val="7755292F"/>
    <w:rsid w:val="77633352"/>
    <w:rsid w:val="77642618"/>
    <w:rsid w:val="77752FD1"/>
    <w:rsid w:val="779119BA"/>
    <w:rsid w:val="779624E4"/>
    <w:rsid w:val="779D6084"/>
    <w:rsid w:val="77A12046"/>
    <w:rsid w:val="77B44102"/>
    <w:rsid w:val="77B533CE"/>
    <w:rsid w:val="77B657E9"/>
    <w:rsid w:val="77B70EF4"/>
    <w:rsid w:val="77BE3082"/>
    <w:rsid w:val="77BF249E"/>
    <w:rsid w:val="77BF424C"/>
    <w:rsid w:val="77C73A39"/>
    <w:rsid w:val="77CE4644"/>
    <w:rsid w:val="77CF650E"/>
    <w:rsid w:val="77D870BC"/>
    <w:rsid w:val="77D87207"/>
    <w:rsid w:val="77EA6A13"/>
    <w:rsid w:val="77F52527"/>
    <w:rsid w:val="77F951E6"/>
    <w:rsid w:val="780659D7"/>
    <w:rsid w:val="780C4E8C"/>
    <w:rsid w:val="78191BAF"/>
    <w:rsid w:val="78216CB5"/>
    <w:rsid w:val="7823276E"/>
    <w:rsid w:val="782872D6"/>
    <w:rsid w:val="782F4C42"/>
    <w:rsid w:val="783B78FF"/>
    <w:rsid w:val="783D6892"/>
    <w:rsid w:val="784F7ADF"/>
    <w:rsid w:val="78544995"/>
    <w:rsid w:val="785F1566"/>
    <w:rsid w:val="786B4497"/>
    <w:rsid w:val="7872635A"/>
    <w:rsid w:val="7879089F"/>
    <w:rsid w:val="788039DC"/>
    <w:rsid w:val="78833532"/>
    <w:rsid w:val="78846F25"/>
    <w:rsid w:val="78873448"/>
    <w:rsid w:val="789456D9"/>
    <w:rsid w:val="78A55F24"/>
    <w:rsid w:val="78A93A69"/>
    <w:rsid w:val="78AD0549"/>
    <w:rsid w:val="78AD2039"/>
    <w:rsid w:val="78C064CE"/>
    <w:rsid w:val="78CF6711"/>
    <w:rsid w:val="78DD70EB"/>
    <w:rsid w:val="78DE6954"/>
    <w:rsid w:val="78E201F2"/>
    <w:rsid w:val="78E669B3"/>
    <w:rsid w:val="78EE6B97"/>
    <w:rsid w:val="78F83FA8"/>
    <w:rsid w:val="78FB3062"/>
    <w:rsid w:val="78FD327E"/>
    <w:rsid w:val="79002D6F"/>
    <w:rsid w:val="791E7E8F"/>
    <w:rsid w:val="792425B9"/>
    <w:rsid w:val="7930686C"/>
    <w:rsid w:val="793503A0"/>
    <w:rsid w:val="79357BE8"/>
    <w:rsid w:val="7936053E"/>
    <w:rsid w:val="79366790"/>
    <w:rsid w:val="793F6177"/>
    <w:rsid w:val="794E1B90"/>
    <w:rsid w:val="796450AB"/>
    <w:rsid w:val="79773031"/>
    <w:rsid w:val="79815C5D"/>
    <w:rsid w:val="798B6ADC"/>
    <w:rsid w:val="798D5A6E"/>
    <w:rsid w:val="79A35F22"/>
    <w:rsid w:val="79A454A8"/>
    <w:rsid w:val="79B00633"/>
    <w:rsid w:val="79DC2E94"/>
    <w:rsid w:val="79E1572D"/>
    <w:rsid w:val="79ED6E4F"/>
    <w:rsid w:val="79F04B91"/>
    <w:rsid w:val="79F71A7C"/>
    <w:rsid w:val="79F77CCE"/>
    <w:rsid w:val="7A074075"/>
    <w:rsid w:val="7A17722A"/>
    <w:rsid w:val="7A1D010A"/>
    <w:rsid w:val="7A2465E9"/>
    <w:rsid w:val="7A2724B8"/>
    <w:rsid w:val="7A2D1941"/>
    <w:rsid w:val="7A396538"/>
    <w:rsid w:val="7A3F3423"/>
    <w:rsid w:val="7A3F3E02"/>
    <w:rsid w:val="7A434456"/>
    <w:rsid w:val="7A4C65EC"/>
    <w:rsid w:val="7A661647"/>
    <w:rsid w:val="7A695F3F"/>
    <w:rsid w:val="7A7162CE"/>
    <w:rsid w:val="7A880C3C"/>
    <w:rsid w:val="7A8D23E0"/>
    <w:rsid w:val="7A8F398F"/>
    <w:rsid w:val="7A946817"/>
    <w:rsid w:val="7AA239F6"/>
    <w:rsid w:val="7AA339B1"/>
    <w:rsid w:val="7AA93ABC"/>
    <w:rsid w:val="7AB24B6E"/>
    <w:rsid w:val="7AB34BF0"/>
    <w:rsid w:val="7AB40F08"/>
    <w:rsid w:val="7AB67B89"/>
    <w:rsid w:val="7AC04563"/>
    <w:rsid w:val="7AC9127F"/>
    <w:rsid w:val="7ADB4DD1"/>
    <w:rsid w:val="7AE364A4"/>
    <w:rsid w:val="7AF10E19"/>
    <w:rsid w:val="7B1012E4"/>
    <w:rsid w:val="7B135574"/>
    <w:rsid w:val="7B1A6202"/>
    <w:rsid w:val="7B226FCC"/>
    <w:rsid w:val="7B2A40D3"/>
    <w:rsid w:val="7B454A69"/>
    <w:rsid w:val="7B456A20"/>
    <w:rsid w:val="7B4A207F"/>
    <w:rsid w:val="7B512E8E"/>
    <w:rsid w:val="7B615D46"/>
    <w:rsid w:val="7B625FCB"/>
    <w:rsid w:val="7B6475E5"/>
    <w:rsid w:val="7B7D2454"/>
    <w:rsid w:val="7B7F61CD"/>
    <w:rsid w:val="7B8551C5"/>
    <w:rsid w:val="7B8E13F6"/>
    <w:rsid w:val="7B914152"/>
    <w:rsid w:val="7B933A26"/>
    <w:rsid w:val="7B9A3CA1"/>
    <w:rsid w:val="7B9B28DB"/>
    <w:rsid w:val="7BA94FF8"/>
    <w:rsid w:val="7BAD6D4A"/>
    <w:rsid w:val="7BB51D73"/>
    <w:rsid w:val="7BC80534"/>
    <w:rsid w:val="7BCB31C0"/>
    <w:rsid w:val="7BCB7664"/>
    <w:rsid w:val="7BD73340"/>
    <w:rsid w:val="7BDF6C6B"/>
    <w:rsid w:val="7BE61DA8"/>
    <w:rsid w:val="7BF74231"/>
    <w:rsid w:val="7BF81ADB"/>
    <w:rsid w:val="7C0641F8"/>
    <w:rsid w:val="7C0E57A2"/>
    <w:rsid w:val="7C1032C9"/>
    <w:rsid w:val="7C1D53CC"/>
    <w:rsid w:val="7C2350C5"/>
    <w:rsid w:val="7C24720C"/>
    <w:rsid w:val="7C28575B"/>
    <w:rsid w:val="7C3B5BCE"/>
    <w:rsid w:val="7C3D3F3F"/>
    <w:rsid w:val="7C417926"/>
    <w:rsid w:val="7C5036C5"/>
    <w:rsid w:val="7C555EFF"/>
    <w:rsid w:val="7C594C70"/>
    <w:rsid w:val="7C63789C"/>
    <w:rsid w:val="7C681D46"/>
    <w:rsid w:val="7C6F57E2"/>
    <w:rsid w:val="7C8141C6"/>
    <w:rsid w:val="7C830E0A"/>
    <w:rsid w:val="7C8A4E29"/>
    <w:rsid w:val="7C921F30"/>
    <w:rsid w:val="7CA53A11"/>
    <w:rsid w:val="7CB65C1E"/>
    <w:rsid w:val="7CB9718C"/>
    <w:rsid w:val="7CC14612"/>
    <w:rsid w:val="7CC36EE8"/>
    <w:rsid w:val="7CC9244C"/>
    <w:rsid w:val="7CD442F6"/>
    <w:rsid w:val="7CE22929"/>
    <w:rsid w:val="7CE458D1"/>
    <w:rsid w:val="7CE77C9A"/>
    <w:rsid w:val="7CF44998"/>
    <w:rsid w:val="7CFB5D27"/>
    <w:rsid w:val="7CFD1A9F"/>
    <w:rsid w:val="7D012C11"/>
    <w:rsid w:val="7D015E09"/>
    <w:rsid w:val="7D0F2F2C"/>
    <w:rsid w:val="7D221505"/>
    <w:rsid w:val="7D23702C"/>
    <w:rsid w:val="7D264BE8"/>
    <w:rsid w:val="7D2A03BA"/>
    <w:rsid w:val="7D2D00A5"/>
    <w:rsid w:val="7D2F3C22"/>
    <w:rsid w:val="7D3134F6"/>
    <w:rsid w:val="7D366D5F"/>
    <w:rsid w:val="7D474AC8"/>
    <w:rsid w:val="7D4F7E21"/>
    <w:rsid w:val="7D5947FB"/>
    <w:rsid w:val="7D6E03F9"/>
    <w:rsid w:val="7D7E7E12"/>
    <w:rsid w:val="7D807FDA"/>
    <w:rsid w:val="7D8D75CD"/>
    <w:rsid w:val="7D8F646F"/>
    <w:rsid w:val="7D974D3C"/>
    <w:rsid w:val="7D9D338C"/>
    <w:rsid w:val="7DA4350F"/>
    <w:rsid w:val="7DA82495"/>
    <w:rsid w:val="7DAE0FEB"/>
    <w:rsid w:val="7DBC3708"/>
    <w:rsid w:val="7DC413B1"/>
    <w:rsid w:val="7DCE343B"/>
    <w:rsid w:val="7DD2185E"/>
    <w:rsid w:val="7DDB6CFC"/>
    <w:rsid w:val="7DE06CCB"/>
    <w:rsid w:val="7DE70964"/>
    <w:rsid w:val="7E1200BB"/>
    <w:rsid w:val="7E151316"/>
    <w:rsid w:val="7E1D3A7B"/>
    <w:rsid w:val="7E2117BD"/>
    <w:rsid w:val="7E260644"/>
    <w:rsid w:val="7E2A5686"/>
    <w:rsid w:val="7E3C1DE0"/>
    <w:rsid w:val="7E3F10AF"/>
    <w:rsid w:val="7E4449BB"/>
    <w:rsid w:val="7E5576B9"/>
    <w:rsid w:val="7E5C0A47"/>
    <w:rsid w:val="7E6E42D6"/>
    <w:rsid w:val="7E7A711F"/>
    <w:rsid w:val="7E7D47B9"/>
    <w:rsid w:val="7E8B351C"/>
    <w:rsid w:val="7E8E3058"/>
    <w:rsid w:val="7E955D07"/>
    <w:rsid w:val="7E977CD1"/>
    <w:rsid w:val="7EA52A6D"/>
    <w:rsid w:val="7EAB4E7D"/>
    <w:rsid w:val="7EAB7FD2"/>
    <w:rsid w:val="7EB0669D"/>
    <w:rsid w:val="7EB15E61"/>
    <w:rsid w:val="7EB77A2B"/>
    <w:rsid w:val="7EBB366D"/>
    <w:rsid w:val="7EBB576E"/>
    <w:rsid w:val="7ECE0287"/>
    <w:rsid w:val="7ECE2985"/>
    <w:rsid w:val="7EF7251E"/>
    <w:rsid w:val="7F006F16"/>
    <w:rsid w:val="7F015C77"/>
    <w:rsid w:val="7F043C8F"/>
    <w:rsid w:val="7F0B337E"/>
    <w:rsid w:val="7F155DFD"/>
    <w:rsid w:val="7F177E9D"/>
    <w:rsid w:val="7F1C7043"/>
    <w:rsid w:val="7F21759B"/>
    <w:rsid w:val="7F2350C1"/>
    <w:rsid w:val="7F27689C"/>
    <w:rsid w:val="7F2F2C4D"/>
    <w:rsid w:val="7F306B83"/>
    <w:rsid w:val="7F3E1EFB"/>
    <w:rsid w:val="7F574F68"/>
    <w:rsid w:val="7F581804"/>
    <w:rsid w:val="7F5F07EF"/>
    <w:rsid w:val="7F6047ED"/>
    <w:rsid w:val="7F634D8D"/>
    <w:rsid w:val="7F6E35B7"/>
    <w:rsid w:val="7F6F0306"/>
    <w:rsid w:val="7F7240F7"/>
    <w:rsid w:val="7F736048"/>
    <w:rsid w:val="7F787919"/>
    <w:rsid w:val="7F8244DD"/>
    <w:rsid w:val="7F857B2A"/>
    <w:rsid w:val="7F8C710A"/>
    <w:rsid w:val="7F8F7AD3"/>
    <w:rsid w:val="7F932247"/>
    <w:rsid w:val="7FA10569"/>
    <w:rsid w:val="7FA87B82"/>
    <w:rsid w:val="7FA93818"/>
    <w:rsid w:val="7FB1263D"/>
    <w:rsid w:val="7FBE4DEA"/>
    <w:rsid w:val="7FC22B2C"/>
    <w:rsid w:val="7FCC6A9D"/>
    <w:rsid w:val="7FDA60C7"/>
    <w:rsid w:val="7FDB40D5"/>
    <w:rsid w:val="7FDC1E3F"/>
    <w:rsid w:val="7FDE4E01"/>
    <w:rsid w:val="7FE94C3B"/>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1" w:semiHidden="0" w:name="heading 5"/>
    <w:lsdException w:qFormat="1" w:unhideWhenUsed="0" w:uiPriority="0"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9">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10">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11">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12">
    <w:name w:val="heading 5"/>
    <w:basedOn w:val="1"/>
    <w:next w:val="1"/>
    <w:qFormat/>
    <w:uiPriority w:val="1"/>
    <w:pPr>
      <w:spacing w:before="32"/>
      <w:ind w:right="12"/>
      <w:jc w:val="center"/>
      <w:outlineLvl w:val="4"/>
    </w:pPr>
    <w:rPr>
      <w:b/>
      <w:bCs/>
      <w:sz w:val="30"/>
      <w:szCs w:val="30"/>
    </w:rPr>
  </w:style>
  <w:style w:type="paragraph" w:styleId="13">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paragraph" w:styleId="14">
    <w:name w:val="heading 7"/>
    <w:basedOn w:val="1"/>
    <w:next w:val="1"/>
    <w:qFormat/>
    <w:uiPriority w:val="1"/>
    <w:pPr>
      <w:ind w:left="1130" w:hanging="426"/>
      <w:outlineLvl w:val="6"/>
    </w:pPr>
    <w:rPr>
      <w:b/>
      <w:bCs/>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5"/>
    <w:qFormat/>
    <w:uiPriority w:val="99"/>
    <w:pPr>
      <w:spacing w:after="120"/>
      <w:ind w:firstLine="420" w:firstLineChars="100"/>
    </w:pPr>
    <w:rPr>
      <w:sz w:val="21"/>
    </w:rPr>
  </w:style>
  <w:style w:type="paragraph" w:styleId="3">
    <w:name w:val="Body Text"/>
    <w:basedOn w:val="1"/>
    <w:next w:val="4"/>
    <w:qFormat/>
    <w:uiPriority w:val="0"/>
    <w:rPr>
      <w:sz w:val="24"/>
    </w:rPr>
  </w:style>
  <w:style w:type="paragraph" w:styleId="4">
    <w:name w:val="Body Text 2"/>
    <w:basedOn w:val="1"/>
    <w:qFormat/>
    <w:uiPriority w:val="0"/>
    <w:pPr>
      <w:jc w:val="center"/>
    </w:pPr>
    <w:rPr>
      <w:kern w:val="0"/>
      <w:sz w:val="20"/>
    </w:rPr>
  </w:style>
  <w:style w:type="paragraph" w:styleId="5">
    <w:name w:val="Body Text First Indent 2"/>
    <w:basedOn w:val="6"/>
    <w:next w:val="7"/>
    <w:qFormat/>
    <w:uiPriority w:val="0"/>
    <w:pPr>
      <w:ind w:firstLine="420"/>
    </w:pPr>
  </w:style>
  <w:style w:type="paragraph" w:styleId="6">
    <w:name w:val="Body Text Indent"/>
    <w:basedOn w:val="1"/>
    <w:next w:val="5"/>
    <w:qFormat/>
    <w:uiPriority w:val="0"/>
    <w:pPr>
      <w:ind w:firstLine="570"/>
    </w:pPr>
    <w:rPr>
      <w:rFonts w:ascii="宋体" w:hAnsi="宋体"/>
      <w:sz w:val="28"/>
      <w:szCs w:val="20"/>
    </w:rPr>
  </w:style>
  <w:style w:type="paragraph" w:customStyle="1" w:styleId="7">
    <w:name w:val="正文格式"/>
    <w:basedOn w:val="1"/>
    <w:qFormat/>
    <w:uiPriority w:val="0"/>
    <w:pPr>
      <w:autoSpaceDE w:val="0"/>
      <w:autoSpaceDN w:val="0"/>
      <w:jc w:val="left"/>
    </w:pPr>
    <w:rPr>
      <w:rFonts w:ascii="宋体" w:hAnsi="宋体" w:cs="宋体"/>
      <w:kern w:val="0"/>
      <w:sz w:val="28"/>
      <w:szCs w:val="22"/>
      <w:lang w:val="zh-CN" w:bidi="zh-CN"/>
    </w:rPr>
  </w:style>
  <w:style w:type="paragraph" w:styleId="15">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16">
    <w:name w:val="Normal Indent"/>
    <w:basedOn w:val="1"/>
    <w:next w:val="15"/>
    <w:qFormat/>
    <w:uiPriority w:val="99"/>
    <w:pPr>
      <w:ind w:firstLine="420"/>
    </w:pPr>
    <w:rPr>
      <w:rFonts w:ascii="Calibri" w:hAnsi="Calibri"/>
      <w:sz w:val="20"/>
      <w:szCs w:val="20"/>
    </w:rPr>
  </w:style>
  <w:style w:type="paragraph" w:styleId="17">
    <w:name w:val="toa heading"/>
    <w:basedOn w:val="1"/>
    <w:next w:val="1"/>
    <w:qFormat/>
    <w:uiPriority w:val="0"/>
    <w:pPr>
      <w:spacing w:before="120"/>
    </w:pPr>
    <w:rPr>
      <w:rFonts w:ascii="Arial" w:hAnsi="Arial" w:cs="Arial"/>
      <w:sz w:val="24"/>
    </w:rPr>
  </w:style>
  <w:style w:type="paragraph" w:styleId="18">
    <w:name w:val="annotation text"/>
    <w:basedOn w:val="1"/>
    <w:qFormat/>
    <w:uiPriority w:val="0"/>
    <w:pPr>
      <w:jc w:val="left"/>
    </w:pPr>
  </w:style>
  <w:style w:type="paragraph" w:styleId="19">
    <w:name w:val="Body Text 3"/>
    <w:basedOn w:val="1"/>
    <w:qFormat/>
    <w:uiPriority w:val="99"/>
    <w:pPr>
      <w:spacing w:after="120"/>
    </w:pPr>
    <w:rPr>
      <w:sz w:val="16"/>
      <w:szCs w:val="16"/>
    </w:rPr>
  </w:style>
  <w:style w:type="paragraph" w:styleId="20">
    <w:name w:val="Plain Text"/>
    <w:basedOn w:val="1"/>
    <w:link w:val="52"/>
    <w:qFormat/>
    <w:uiPriority w:val="0"/>
    <w:rPr>
      <w:rFonts w:ascii="宋体" w:hAnsi="Courier New"/>
      <w:szCs w:val="20"/>
    </w:rPr>
  </w:style>
  <w:style w:type="paragraph" w:styleId="21">
    <w:name w:val="Date"/>
    <w:basedOn w:val="1"/>
    <w:next w:val="1"/>
    <w:qFormat/>
    <w:uiPriority w:val="0"/>
    <w:pPr>
      <w:autoSpaceDE w:val="0"/>
      <w:autoSpaceDN w:val="0"/>
      <w:adjustRightInd w:val="0"/>
      <w:textAlignment w:val="baseline"/>
    </w:pPr>
    <w:rPr>
      <w:rFonts w:ascii="宋体"/>
      <w:kern w:val="0"/>
      <w:sz w:val="28"/>
      <w:szCs w:val="20"/>
    </w:rPr>
  </w:style>
  <w:style w:type="paragraph" w:styleId="22">
    <w:name w:val="Balloon Text"/>
    <w:basedOn w:val="1"/>
    <w:link w:val="50"/>
    <w:qFormat/>
    <w:uiPriority w:val="0"/>
    <w:rPr>
      <w:sz w:val="18"/>
      <w:szCs w:val="18"/>
    </w:rPr>
  </w:style>
  <w:style w:type="paragraph" w:styleId="23">
    <w:name w:val="footer"/>
    <w:basedOn w:val="1"/>
    <w:qFormat/>
    <w:uiPriority w:val="0"/>
    <w:pPr>
      <w:tabs>
        <w:tab w:val="center" w:pos="4153"/>
        <w:tab w:val="right" w:pos="8306"/>
      </w:tabs>
      <w:snapToGrid w:val="0"/>
      <w:jc w:val="left"/>
    </w:pPr>
    <w:rPr>
      <w:sz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6">
    <w:name w:val="Body Text Indent 3"/>
    <w:basedOn w:val="1"/>
    <w:link w:val="48"/>
    <w:qFormat/>
    <w:uiPriority w:val="0"/>
    <w:pPr>
      <w:spacing w:after="120"/>
      <w:ind w:left="420" w:leftChars="200"/>
    </w:pPr>
    <w:rPr>
      <w:sz w:val="16"/>
      <w:szCs w:val="16"/>
    </w:rPr>
  </w:style>
  <w:style w:type="paragraph" w:styleId="27">
    <w:name w:val="toc 2"/>
    <w:basedOn w:val="1"/>
    <w:next w:val="1"/>
    <w:qFormat/>
    <w:uiPriority w:val="39"/>
    <w:pPr>
      <w:tabs>
        <w:tab w:val="right" w:leader="dot" w:pos="8296"/>
      </w:tabs>
      <w:ind w:left="420" w:leftChars="200"/>
    </w:pPr>
  </w:style>
  <w:style w:type="paragraph" w:styleId="28">
    <w:name w:val="Normal (Web)"/>
    <w:basedOn w:val="1"/>
    <w:qFormat/>
    <w:uiPriority w:val="0"/>
    <w:pPr>
      <w:spacing w:beforeAutospacing="1" w:afterAutospacing="1"/>
      <w:jc w:val="left"/>
    </w:pPr>
    <w:rPr>
      <w:kern w:val="0"/>
      <w:sz w:val="24"/>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rPr>
  </w:style>
  <w:style w:type="character" w:styleId="33">
    <w:name w:val="page number"/>
    <w:qFormat/>
    <w:uiPriority w:val="99"/>
  </w:style>
  <w:style w:type="character" w:styleId="34">
    <w:name w:val="Emphasis"/>
    <w:basedOn w:val="31"/>
    <w:qFormat/>
    <w:uiPriority w:val="0"/>
    <w:rPr>
      <w:i/>
    </w:rPr>
  </w:style>
  <w:style w:type="character" w:styleId="35">
    <w:name w:val="Hyperlink"/>
    <w:qFormat/>
    <w:uiPriority w:val="99"/>
    <w:rPr>
      <w:color w:val="0000FF"/>
      <w:u w:val="single"/>
    </w:rPr>
  </w:style>
  <w:style w:type="paragraph" w:customStyle="1" w:styleId="36">
    <w:name w:val="_Style 3"/>
    <w:basedOn w:val="1"/>
    <w:qFormat/>
    <w:uiPriority w:val="0"/>
    <w:pPr>
      <w:ind w:firstLine="420" w:firstLineChars="200"/>
    </w:pPr>
    <w:rPr>
      <w:sz w:val="20"/>
    </w:rPr>
  </w:style>
  <w:style w:type="paragraph" w:customStyle="1" w:styleId="37">
    <w:name w:val="表格文字"/>
    <w:basedOn w:val="38"/>
    <w:qFormat/>
    <w:uiPriority w:val="0"/>
    <w:pPr>
      <w:spacing w:before="25" w:after="25"/>
      <w:jc w:val="left"/>
    </w:pPr>
    <w:rPr>
      <w:bCs/>
      <w:spacing w:val="10"/>
      <w:kern w:val="0"/>
      <w:sz w:val="24"/>
      <w:szCs w:val="20"/>
    </w:rPr>
  </w:style>
  <w:style w:type="paragraph" w:customStyle="1" w:styleId="38">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9">
    <w:name w:val="font01"/>
    <w:qFormat/>
    <w:uiPriority w:val="0"/>
    <w:rPr>
      <w:rFonts w:hint="eastAsia" w:ascii="宋体" w:hAnsi="宋体" w:eastAsia="宋体" w:cs="宋体"/>
      <w:color w:val="0000FF"/>
      <w:sz w:val="22"/>
      <w:szCs w:val="22"/>
      <w:u w:val="none"/>
    </w:rPr>
  </w:style>
  <w:style w:type="paragraph" w:customStyle="1" w:styleId="40">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41">
    <w:name w:val="正文缩进1"/>
    <w:basedOn w:val="1"/>
    <w:qFormat/>
    <w:uiPriority w:val="0"/>
    <w:pPr>
      <w:widowControl/>
      <w:ind w:firstLine="420"/>
      <w:jc w:val="left"/>
    </w:pPr>
    <w:rPr>
      <w:rFonts w:ascii="Calibri" w:hAnsi="Calibri"/>
      <w:kern w:val="0"/>
    </w:rPr>
  </w:style>
  <w:style w:type="paragraph" w:customStyle="1" w:styleId="42">
    <w:name w:val="Table Paragraph"/>
    <w:basedOn w:val="1"/>
    <w:qFormat/>
    <w:uiPriority w:val="1"/>
    <w:rPr>
      <w:rFonts w:ascii="宋体" w:hAnsi="宋体" w:cs="宋体"/>
      <w:lang w:val="zh-CN" w:bidi="zh-CN"/>
    </w:rPr>
  </w:style>
  <w:style w:type="paragraph" w:styleId="43">
    <w:name w:val="List Paragraph"/>
    <w:basedOn w:val="1"/>
    <w:link w:val="54"/>
    <w:qFormat/>
    <w:uiPriority w:val="34"/>
    <w:pPr>
      <w:widowControl/>
      <w:ind w:firstLine="420" w:firstLineChars="200"/>
      <w:jc w:val="left"/>
    </w:pPr>
    <w:rPr>
      <w:kern w:val="0"/>
      <w:sz w:val="20"/>
      <w:szCs w:val="20"/>
    </w:rPr>
  </w:style>
  <w:style w:type="paragraph" w:customStyle="1" w:styleId="44">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5">
    <w:name w:val="font11"/>
    <w:basedOn w:val="31"/>
    <w:qFormat/>
    <w:uiPriority w:val="0"/>
    <w:rPr>
      <w:rFonts w:hint="eastAsia" w:ascii="宋体" w:hAnsi="宋体" w:eastAsia="宋体" w:cs="宋体"/>
      <w:color w:val="000000"/>
      <w:sz w:val="21"/>
      <w:szCs w:val="21"/>
      <w:u w:val="none"/>
    </w:rPr>
  </w:style>
  <w:style w:type="character" w:customStyle="1" w:styleId="46">
    <w:name w:val="font21"/>
    <w:basedOn w:val="31"/>
    <w:qFormat/>
    <w:uiPriority w:val="0"/>
    <w:rPr>
      <w:rFonts w:hint="eastAsia" w:ascii="宋体" w:hAnsi="宋体" w:eastAsia="宋体" w:cs="宋体"/>
      <w:b/>
      <w:bCs/>
      <w:color w:val="000000"/>
      <w:sz w:val="18"/>
      <w:szCs w:val="18"/>
      <w:u w:val="none"/>
    </w:rPr>
  </w:style>
  <w:style w:type="character" w:customStyle="1" w:styleId="47">
    <w:name w:val="title"/>
    <w:qFormat/>
    <w:uiPriority w:val="0"/>
  </w:style>
  <w:style w:type="character" w:customStyle="1" w:styleId="48">
    <w:name w:val="正文文本缩进 3 Char"/>
    <w:basedOn w:val="31"/>
    <w:link w:val="26"/>
    <w:qFormat/>
    <w:uiPriority w:val="0"/>
    <w:rPr>
      <w:kern w:val="2"/>
      <w:sz w:val="16"/>
      <w:szCs w:val="16"/>
    </w:rPr>
  </w:style>
  <w:style w:type="paragraph" w:customStyle="1" w:styleId="49">
    <w:name w:val="SZF项目正文"/>
    <w:basedOn w:val="1"/>
    <w:qFormat/>
    <w:uiPriority w:val="0"/>
    <w:pPr>
      <w:spacing w:line="300" w:lineRule="auto"/>
      <w:ind w:firstLine="480" w:firstLineChars="200"/>
    </w:pPr>
    <w:rPr>
      <w:rFonts w:ascii="宋体" w:hAnsi="宋体"/>
      <w:kern w:val="0"/>
      <w:sz w:val="24"/>
    </w:rPr>
  </w:style>
  <w:style w:type="character" w:customStyle="1" w:styleId="50">
    <w:name w:val="批注框文本 Char"/>
    <w:basedOn w:val="31"/>
    <w:link w:val="22"/>
    <w:qFormat/>
    <w:uiPriority w:val="0"/>
    <w:rPr>
      <w:kern w:val="2"/>
      <w:sz w:val="18"/>
      <w:szCs w:val="18"/>
    </w:rPr>
  </w:style>
  <w:style w:type="paragraph" w:customStyle="1" w:styleId="51">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2">
    <w:name w:val="纯文本 Char"/>
    <w:link w:val="20"/>
    <w:qFormat/>
    <w:uiPriority w:val="0"/>
    <w:rPr>
      <w:rFonts w:ascii="宋体" w:hAnsi="Courier New"/>
      <w:kern w:val="2"/>
      <w:sz w:val="21"/>
    </w:rPr>
  </w:style>
  <w:style w:type="paragraph" w:customStyle="1" w:styleId="53">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4">
    <w:name w:val="列出段落 Char"/>
    <w:link w:val="43"/>
    <w:qFormat/>
    <w:uiPriority w:val="34"/>
  </w:style>
  <w:style w:type="table" w:customStyle="1" w:styleId="55">
    <w:name w:val="Table Normal"/>
    <w:semiHidden/>
    <w:unhideWhenUsed/>
    <w:qFormat/>
    <w:uiPriority w:val="0"/>
    <w:tblPr>
      <w:tblCellMar>
        <w:top w:w="0" w:type="dxa"/>
        <w:left w:w="0" w:type="dxa"/>
        <w:bottom w:w="0" w:type="dxa"/>
        <w:right w:w="0" w:type="dxa"/>
      </w:tblCellMar>
    </w:tblPr>
  </w:style>
  <w:style w:type="paragraph" w:customStyle="1" w:styleId="56">
    <w:name w:val="文二"/>
    <w:basedOn w:val="1"/>
    <w:qFormat/>
    <w:uiPriority w:val="0"/>
    <w:pPr>
      <w:jc w:val="left"/>
    </w:pPr>
    <w:rPr>
      <w:rFonts w:ascii="宋体" w:hAnsi="宋体"/>
      <w:szCs w:val="21"/>
    </w:rPr>
  </w:style>
  <w:style w:type="paragraph" w:customStyle="1" w:styleId="57">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8">
    <w:name w:val="font41"/>
    <w:basedOn w:val="31"/>
    <w:qFormat/>
    <w:uiPriority w:val="0"/>
    <w:rPr>
      <w:rFonts w:hint="eastAsia" w:ascii="宋体" w:hAnsi="宋体" w:eastAsia="宋体" w:cs="宋体"/>
      <w:color w:val="000000"/>
      <w:sz w:val="22"/>
      <w:szCs w:val="22"/>
      <w:u w:val="none"/>
    </w:rPr>
  </w:style>
  <w:style w:type="character" w:customStyle="1" w:styleId="59">
    <w:name w:val="font61"/>
    <w:basedOn w:val="31"/>
    <w:qFormat/>
    <w:uiPriority w:val="0"/>
    <w:rPr>
      <w:rFonts w:ascii="Calibri" w:hAnsi="Calibri" w:cs="Calibri"/>
      <w:color w:val="000000"/>
      <w:sz w:val="22"/>
      <w:szCs w:val="22"/>
      <w:u w:val="none"/>
    </w:rPr>
  </w:style>
  <w:style w:type="character" w:customStyle="1" w:styleId="60">
    <w:name w:val="ca-12"/>
    <w:qFormat/>
    <w:uiPriority w:val="0"/>
    <w:rPr>
      <w:rFonts w:eastAsia="宋体" w:cs="Times New Roman"/>
      <w:kern w:val="2"/>
      <w:sz w:val="24"/>
      <w:szCs w:val="24"/>
      <w:lang w:val="en-US" w:eastAsia="zh-CN" w:bidi="ar-SA"/>
    </w:rPr>
  </w:style>
  <w:style w:type="paragraph" w:customStyle="1" w:styleId="61">
    <w:name w:val="null3"/>
    <w:hidden/>
    <w:qFormat/>
    <w:uiPriority w:val="0"/>
    <w:rPr>
      <w:rFonts w:hint="eastAsia" w:asciiTheme="minorHAnsi" w:hAnsiTheme="minorHAnsi" w:eastAsiaTheme="minorEastAsia" w:cstheme="minorBidi"/>
      <w:lang w:val="en-US" w:eastAsia="zh-Hans"/>
    </w:rPr>
  </w:style>
  <w:style w:type="character" w:customStyle="1" w:styleId="62">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115</Pages>
  <Words>9485</Words>
  <Characters>9981</Characters>
  <Lines>371</Lines>
  <Paragraphs>104</Paragraphs>
  <TotalTime>11</TotalTime>
  <ScaleCrop>false</ScaleCrop>
  <LinksUpToDate>false</LinksUpToDate>
  <CharactersWithSpaces>10581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2025-07-29T07:12:00Z</cp:lastPrinted>
  <dcterms:modified xsi:type="dcterms:W3CDTF">2025-10-29T01:34:45Z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