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DF7EA">
      <w:pPr>
        <w:pStyle w:val="4"/>
        <w:spacing w:before="156" w:beforeLines="50" w:after="156" w:afterLines="50" w:line="377" w:lineRule="auto"/>
        <w:jc w:val="center"/>
        <w:rPr>
          <w:rFonts w:hint="eastAsia" w:ascii="宋体" w:hAnsi="宋体" w:eastAsia="宋体"/>
          <w:color w:val="auto"/>
        </w:rPr>
      </w:pPr>
      <w:bookmarkStart w:id="0" w:name="选择性条款_包组数量_多包组_14"/>
      <w:r>
        <w:rPr>
          <w:rFonts w:hint="eastAsia" w:ascii="宋体" w:hAnsi="宋体" w:eastAsia="宋体"/>
        </w:rPr>
        <w:t>商</w:t>
      </w:r>
      <w:r>
        <w:rPr>
          <w:rFonts w:hint="eastAsia" w:ascii="宋体" w:hAnsi="宋体" w:eastAsia="宋体"/>
          <w:color w:val="auto"/>
        </w:rPr>
        <w:t>务</w:t>
      </w:r>
      <w:r>
        <w:rPr>
          <w:rFonts w:hint="eastAsia" w:ascii="宋体" w:hAnsi="宋体" w:eastAsia="宋体"/>
          <w:color w:val="auto"/>
          <w:lang w:eastAsia="zh-CN"/>
        </w:rPr>
        <w:t>服务</w:t>
      </w:r>
      <w:r>
        <w:rPr>
          <w:rFonts w:hint="eastAsia" w:ascii="宋体" w:hAnsi="宋体" w:eastAsia="宋体"/>
          <w:color w:val="auto"/>
        </w:rPr>
        <w:t>评分表</w:t>
      </w:r>
      <w:bookmarkEnd w:id="0"/>
    </w:p>
    <w:tbl>
      <w:tblPr>
        <w:tblStyle w:val="14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252"/>
        <w:gridCol w:w="7318"/>
        <w:gridCol w:w="847"/>
      </w:tblGrid>
      <w:tr w14:paraId="5E7FDA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419" w:type="pct"/>
            <w:vAlign w:val="center"/>
          </w:tcPr>
          <w:p w14:paraId="287CB9A1">
            <w:pPr>
              <w:snapToGrid w:val="0"/>
              <w:spacing w:line="264" w:lineRule="auto"/>
              <w:ind w:left="-89" w:leftChars="-37" w:right="-84" w:rightChars="-35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bookmarkStart w:id="1" w:name="敏感词检测_综合评分表_1"/>
            <w:bookmarkStart w:id="2" w:name="方案_综合评分表_1"/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609" w:type="pct"/>
            <w:vAlign w:val="center"/>
          </w:tcPr>
          <w:p w14:paraId="53EA255C">
            <w:pPr>
              <w:snapToGrid w:val="0"/>
              <w:spacing w:line="264" w:lineRule="auto"/>
              <w:ind w:left="-89" w:leftChars="-37" w:right="-84" w:rightChars="-35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评审因素</w:t>
            </w:r>
          </w:p>
        </w:tc>
        <w:tc>
          <w:tcPr>
            <w:tcW w:w="3559" w:type="pct"/>
            <w:vAlign w:val="center"/>
          </w:tcPr>
          <w:p w14:paraId="58A82C63">
            <w:pPr>
              <w:snapToGrid w:val="0"/>
              <w:spacing w:line="264" w:lineRule="auto"/>
              <w:ind w:left="-89" w:leftChars="-37" w:right="-84" w:rightChars="-35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评分细则</w:t>
            </w:r>
          </w:p>
        </w:tc>
        <w:tc>
          <w:tcPr>
            <w:tcW w:w="412" w:type="pct"/>
            <w:vAlign w:val="center"/>
          </w:tcPr>
          <w:p w14:paraId="46BBB65E">
            <w:pPr>
              <w:snapToGrid w:val="0"/>
              <w:spacing w:line="264" w:lineRule="auto"/>
              <w:ind w:left="-89" w:leftChars="-37" w:right="-84" w:rightChars="-35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分值（分）</w:t>
            </w:r>
          </w:p>
        </w:tc>
      </w:tr>
      <w:tr w14:paraId="1F9C24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419" w:type="pct"/>
            <w:vAlign w:val="center"/>
          </w:tcPr>
          <w:p w14:paraId="69E2B336">
            <w:pPr>
              <w:snapToGrid w:val="0"/>
              <w:spacing w:line="264" w:lineRule="auto"/>
              <w:ind w:left="-89" w:leftChars="-37" w:right="-84" w:rightChars="-35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一</w:t>
            </w:r>
          </w:p>
        </w:tc>
        <w:tc>
          <w:tcPr>
            <w:tcW w:w="4580" w:type="pct"/>
            <w:gridSpan w:val="3"/>
            <w:vAlign w:val="center"/>
          </w:tcPr>
          <w:p w14:paraId="44C98D36">
            <w:pPr>
              <w:snapToGrid w:val="0"/>
              <w:spacing w:line="360" w:lineRule="auto"/>
              <w:ind w:left="-89" w:leftChars="-37" w:right="-84" w:rightChars="-35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1"/>
                <w:sz w:val="24"/>
                <w:szCs w:val="24"/>
                <w:highlight w:val="none"/>
              </w:rPr>
              <w:t>商务</w:t>
            </w:r>
            <w:r>
              <w:rPr>
                <w:rFonts w:hint="eastAsia" w:ascii="仿宋" w:hAnsi="仿宋" w:eastAsia="仿宋" w:cs="仿宋"/>
                <w:b/>
                <w:color w:val="000000"/>
                <w:kern w:val="1"/>
                <w:sz w:val="24"/>
                <w:szCs w:val="24"/>
                <w:highlight w:val="none"/>
                <w:lang w:eastAsia="zh-CN"/>
              </w:rPr>
              <w:t>部分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（合计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 xml:space="preserve">分） </w:t>
            </w:r>
          </w:p>
        </w:tc>
      </w:tr>
      <w:tr w14:paraId="600D1D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419" w:type="pct"/>
            <w:vAlign w:val="center"/>
          </w:tcPr>
          <w:p w14:paraId="141B0074">
            <w:pPr>
              <w:pStyle w:val="18"/>
              <w:numPr>
                <w:ilvl w:val="0"/>
                <w:numId w:val="1"/>
              </w:numPr>
              <w:snapToGrid w:val="0"/>
              <w:spacing w:line="264" w:lineRule="auto"/>
              <w:ind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3" w:name="回填数据_技术评分_标准分值_1" w:colFirst="3" w:colLast="3"/>
            <w:bookmarkStart w:id="4" w:name="回填数据_技术评分_序号_自动生成_1" w:colFirst="0" w:colLast="0"/>
            <w:bookmarkStart w:id="5" w:name="回填数据_技术评分_评审项目_1" w:colFirst="1" w:colLast="1"/>
            <w:bookmarkStart w:id="6" w:name="回填数据_技术评分_评审规则_1" w:colFirst="2" w:colLast="2"/>
            <w:bookmarkStart w:id="7" w:name="回填数据_技术评分_权重_1" w:colFirst="4" w:colLast="4"/>
          </w:p>
        </w:tc>
        <w:tc>
          <w:tcPr>
            <w:tcW w:w="609" w:type="pct"/>
            <w:shd w:val="clear" w:color="auto" w:fill="auto"/>
            <w:vAlign w:val="center"/>
          </w:tcPr>
          <w:p w14:paraId="6AED14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同类项目业绩</w:t>
            </w:r>
          </w:p>
        </w:tc>
        <w:tc>
          <w:tcPr>
            <w:tcW w:w="3559" w:type="pct"/>
            <w:shd w:val="clear" w:color="auto" w:fill="auto"/>
            <w:vAlign w:val="center"/>
          </w:tcPr>
          <w:p w14:paraId="31A07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根据供应商自202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年1月1日以来，具有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同类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项目业绩进行评分。每提供一份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记录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，得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分，满分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分。同一客户单位合同不重复计分。</w:t>
            </w:r>
          </w:p>
          <w:p w14:paraId="28C97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注：须体现项目具体服务内容和采购数量。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3B120906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</w:tr>
      <w:bookmarkEnd w:id="3"/>
      <w:bookmarkEnd w:id="4"/>
      <w:bookmarkEnd w:id="5"/>
      <w:bookmarkEnd w:id="6"/>
      <w:bookmarkEnd w:id="7"/>
      <w:tr w14:paraId="2E9E75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19" w:type="pct"/>
            <w:vAlign w:val="center"/>
          </w:tcPr>
          <w:p w14:paraId="5796FD94">
            <w:pPr>
              <w:snapToGrid w:val="0"/>
              <w:spacing w:line="264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二</w:t>
            </w:r>
          </w:p>
        </w:tc>
        <w:tc>
          <w:tcPr>
            <w:tcW w:w="4580" w:type="pct"/>
            <w:gridSpan w:val="3"/>
            <w:vAlign w:val="center"/>
          </w:tcPr>
          <w:p w14:paraId="448A7F0B">
            <w:pPr>
              <w:snapToGrid w:val="0"/>
              <w:spacing w:line="360" w:lineRule="auto"/>
              <w:ind w:left="-89" w:leftChars="-37" w:right="-84" w:rightChars="-35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部分（合计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 xml:space="preserve">分） </w:t>
            </w:r>
          </w:p>
        </w:tc>
      </w:tr>
      <w:tr w14:paraId="42C509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419" w:type="pct"/>
            <w:vAlign w:val="center"/>
          </w:tcPr>
          <w:p w14:paraId="16C437E9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420" w:leftChars="0" w:hanging="42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8" w:name="回填数据_商务评分_评审项目_1" w:colFirst="1" w:colLast="1"/>
            <w:bookmarkStart w:id="9" w:name="回填数据_商务评分_评审规则_1" w:colFirst="2" w:colLast="2"/>
            <w:bookmarkStart w:id="10" w:name="回填数据_商务评分_权重_1" w:colFirst="4" w:colLast="4"/>
            <w:bookmarkStart w:id="11" w:name="回填数据_商务评分_序号_自动生成_1" w:colFirst="0" w:colLast="0"/>
            <w:bookmarkStart w:id="12" w:name="回填数据_商务评分_标准分值_1" w:colFirst="3" w:colLast="3"/>
          </w:p>
        </w:tc>
        <w:tc>
          <w:tcPr>
            <w:tcW w:w="609" w:type="pct"/>
            <w:shd w:val="clear" w:color="auto" w:fill="auto"/>
            <w:vAlign w:val="center"/>
          </w:tcPr>
          <w:p w14:paraId="00A1A770">
            <w:pPr>
              <w:keepNext w:val="0"/>
              <w:keepLines w:val="0"/>
              <w:pageBreakBefore w:val="0"/>
              <w:wordWrap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 w:bidi="ar"/>
              </w:rPr>
              <w:t>整体实施计划</w:t>
            </w:r>
          </w:p>
        </w:tc>
        <w:tc>
          <w:tcPr>
            <w:tcW w:w="3559" w:type="pct"/>
            <w:shd w:val="clear" w:color="auto" w:fill="auto"/>
            <w:vAlign w:val="center"/>
          </w:tcPr>
          <w:p w14:paraId="7E730E83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napToGrid w:val="0"/>
              <w:spacing w:line="24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 w:bidi="ar"/>
              </w:rPr>
              <w:t>根据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 w:bidi="ar"/>
              </w:rPr>
              <w:t>人提供的项目整体实施计划进行综合评价，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 w:bidi="ar"/>
              </w:rPr>
              <w:t>方案包括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 w:bidi="ar"/>
              </w:rPr>
              <w:t>：人力物力的安排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 w:bidi="ar"/>
              </w:rPr>
              <w:t>印刷制作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 w:bidi="ar"/>
              </w:rPr>
              <w:t>货物配送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 w:bidi="ar"/>
              </w:rPr>
              <w:t>质量保证措施等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7A9016D9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napToGrid w:val="0"/>
              <w:spacing w:line="240" w:lineRule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注：内容表述完整、科学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合理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、全面且具针对性，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完全满足或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优于采购需求的得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分；若提供的内容能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较好地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满足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需求，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个别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内容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表述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有瑕疵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或不足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的每项得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分；若提供的内容只能基本满足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需求，内容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表述欠缺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或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明显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有瑕疵的每项得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分。不提供方案的不得分。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7DDCAF1A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bidi="zh-CN"/>
              </w:rPr>
              <w:t>10</w:t>
            </w:r>
          </w:p>
        </w:tc>
      </w:tr>
      <w:tr w14:paraId="1F4D32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419" w:type="pct"/>
            <w:vAlign w:val="center"/>
          </w:tcPr>
          <w:p w14:paraId="31D8DBFD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420" w:leftChars="0" w:hanging="42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14:paraId="16FE90D6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售后及应急处置</w:t>
            </w:r>
          </w:p>
        </w:tc>
        <w:tc>
          <w:tcPr>
            <w:tcW w:w="3559" w:type="pct"/>
            <w:shd w:val="clear" w:color="auto" w:fill="auto"/>
            <w:vAlign w:val="center"/>
          </w:tcPr>
          <w:p w14:paraId="023B6143">
            <w:pPr>
              <w:pStyle w:val="19"/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响应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人结合对本项目的理解与采购人的实际需求提供售后及应急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处置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方案，方案包括:快速的退换货机制进行阐述，若出现漏配、错配等问题情况；应急处理；临时配送需求等。</w:t>
            </w:r>
          </w:p>
          <w:p w14:paraId="2055F5BC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napToGrid w:val="0"/>
              <w:spacing w:line="240" w:lineRule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注：内容表述完整、科学、全面且具针对性，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完全满足或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优于采购需求的得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分；若提供的内容能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较好地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满足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需求，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个别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内容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表述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有瑕疵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或不足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的每项得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分；若提供的内容只能基本满足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需求，内容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表述欠缺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或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明显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有瑕疵的每项得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分。不提供方案的不得分。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013AC01D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bidi="zh-CN"/>
              </w:rPr>
              <w:t>10</w:t>
            </w:r>
          </w:p>
        </w:tc>
      </w:tr>
      <w:tr w14:paraId="1AF2D8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419" w:type="pct"/>
            <w:vAlign w:val="center"/>
          </w:tcPr>
          <w:p w14:paraId="194EEB3B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420" w:leftChars="0" w:hanging="42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14:paraId="23D9A22E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 w:bidi="ar"/>
              </w:rPr>
              <w:t>样品的纸张质量、印刷质量、印刷方式等情况</w:t>
            </w:r>
          </w:p>
        </w:tc>
        <w:tc>
          <w:tcPr>
            <w:tcW w:w="3559" w:type="pct"/>
            <w:shd w:val="clear" w:color="auto" w:fill="auto"/>
            <w:vAlign w:val="center"/>
          </w:tcPr>
          <w:p w14:paraId="16C11D6B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 w:bidi="ar"/>
              </w:rPr>
              <w:t>根据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 w:bidi="ar"/>
              </w:rPr>
              <w:t>人提供的样品情况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  <w:lang w:val="en-US" w:eastAsia="zh-CN" w:bidi="ar"/>
              </w:rPr>
              <w:t>2个样品:数码印刷A4(21×29.7CM),200g铜版纸,骑马钉(16</w:t>
            </w:r>
            <w:bookmarkStart w:id="13" w:name="_GoBack"/>
            <w:bookmarkEnd w:id="13"/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  <w:lang w:val="en-US" w:eastAsia="zh-CN" w:bidi="ar"/>
              </w:rPr>
              <w:t>P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  <w:lang w:eastAsia="zh-CN" w:bidi="ar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 w:bidi="ar"/>
              </w:rPr>
              <w:t>进行综合评审：</w:t>
            </w:r>
          </w:p>
          <w:p w14:paraId="5A78ED27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 w:bidi="ar"/>
              </w:rPr>
              <w:t>①提供样品切口平直光滑，无刀花，无压痕、无毛边，印刷颜色墨色饱满均匀，线条、文字、图案及底纹清晰，印刷无断线、断划、掉字的现象，印刷质量高，纸张质量优良、无杂质，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 w:bidi="ar"/>
              </w:rPr>
              <w:t>每一项样品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 w:bidi="ar"/>
              </w:rPr>
              <w:t>得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 w:bidi="ar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 w:bidi="ar"/>
              </w:rPr>
              <w:t xml:space="preserve">分； </w:t>
            </w:r>
          </w:p>
          <w:p w14:paraId="74EE990D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 w:bidi="ar"/>
              </w:rPr>
              <w:t>②提供样品切口较为平直光滑，无刀花，无压痕、无毛边，印刷颜色墨色比较饱满均匀，线条、文字、图案及底纹比较清晰，印刷无断线、断划、掉字的现象，印刷质量较高，纸张质量较好、无杂质，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 w:bidi="ar"/>
              </w:rPr>
              <w:t>每一项样品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 w:bidi="ar"/>
              </w:rPr>
              <w:t>得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 w:bidi="ar"/>
              </w:rPr>
              <w:t>分；</w:t>
            </w:r>
          </w:p>
          <w:p w14:paraId="606342CA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 w:bidi="ar"/>
              </w:rPr>
              <w:t>③提供样品纸张质量、印刷质量、印刷方式存在明显缺陷，生产技术工艺有待提高，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 w:bidi="ar"/>
              </w:rPr>
              <w:t>每一项样品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 w:bidi="ar"/>
              </w:rPr>
              <w:t>得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 w:bidi="ar"/>
              </w:rPr>
              <w:t>分；</w:t>
            </w:r>
          </w:p>
          <w:p w14:paraId="45CAE60C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napToGrid w:val="0"/>
              <w:spacing w:line="240" w:lineRule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 w:bidi="ar"/>
              </w:rPr>
              <w:t>④没有提供样品不得分。如果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 w:bidi="ar"/>
              </w:rPr>
              <w:t>样品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 w:bidi="ar"/>
              </w:rPr>
              <w:t>实物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 w:bidi="ar"/>
              </w:rPr>
              <w:t>与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  <w:lang w:eastAsia="zh-CN"/>
              </w:rPr>
              <w:t>采购需求中的技术参数(规格、克数、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技术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  <w:lang w:eastAsia="zh-CN"/>
              </w:rPr>
              <w:t>工艺、纸色、印色)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 w:bidi="ar"/>
              </w:rPr>
              <w:t>不符的，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 w:bidi="ar"/>
              </w:rPr>
              <w:t>不得分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 w:bidi="ar"/>
              </w:rPr>
              <w:t>。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7647486C">
            <w:pPr>
              <w:keepNext w:val="0"/>
              <w:keepLines w:val="0"/>
              <w:pageBreakBefore w:val="0"/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bidi="zh-CN"/>
              </w:rPr>
              <w:t>20</w:t>
            </w:r>
          </w:p>
        </w:tc>
      </w:tr>
      <w:bookmarkEnd w:id="8"/>
      <w:bookmarkEnd w:id="9"/>
      <w:bookmarkEnd w:id="10"/>
      <w:bookmarkEnd w:id="11"/>
      <w:bookmarkEnd w:id="12"/>
      <w:tr w14:paraId="370CAE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587" w:type="pct"/>
            <w:gridSpan w:val="3"/>
            <w:vAlign w:val="center"/>
          </w:tcPr>
          <w:p w14:paraId="57FF838A">
            <w:pPr>
              <w:snapToGrid w:val="0"/>
              <w:spacing w:line="264" w:lineRule="auto"/>
              <w:ind w:left="-89" w:leftChars="-37" w:right="-84" w:rightChars="-35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合计</w:t>
            </w:r>
          </w:p>
        </w:tc>
        <w:tc>
          <w:tcPr>
            <w:tcW w:w="412" w:type="pct"/>
            <w:vAlign w:val="center"/>
          </w:tcPr>
          <w:p w14:paraId="0066172F">
            <w:pPr>
              <w:snapToGrid w:val="0"/>
              <w:spacing w:line="264" w:lineRule="auto"/>
              <w:ind w:left="-89" w:leftChars="-37" w:right="-84" w:rightChars="-35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70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分 </w:t>
            </w:r>
          </w:p>
        </w:tc>
      </w:tr>
      <w:bookmarkEnd w:id="1"/>
      <w:bookmarkEnd w:id="2"/>
    </w:tbl>
    <w:p w14:paraId="529843ED">
      <w:pPr>
        <w:snapToGrid w:val="0"/>
        <w:spacing w:line="360" w:lineRule="auto"/>
        <w:rPr>
          <w:rFonts w:ascii="宋体" w:cs="宋体"/>
          <w:snapToGrid w:val="0"/>
        </w:rPr>
      </w:pPr>
    </w:p>
    <w:p w14:paraId="0E9A2FC8">
      <w:pPr>
        <w:snapToGrid w:val="0"/>
        <w:spacing w:line="360" w:lineRule="auto"/>
        <w:rPr>
          <w:rFonts w:hint="eastAsia" w:ascii="宋体" w:hAnsi="宋体"/>
          <w:bCs/>
          <w:color w:val="FF0000"/>
        </w:rPr>
      </w:pPr>
    </w:p>
    <w:p w14:paraId="4C27BA56">
      <w:pPr>
        <w:snapToGrid w:val="0"/>
        <w:spacing w:line="360" w:lineRule="auto"/>
        <w:ind w:left="240" w:leftChars="100"/>
        <w:rPr>
          <w:rFonts w:hint="eastAsia" w:ascii="宋体" w:hAnsi="宋体"/>
          <w:bCs/>
          <w:color w:val="FF0000"/>
        </w:rPr>
      </w:pPr>
    </w:p>
    <w:p w14:paraId="4F31B2FE">
      <w:pPr>
        <w:bidi w:val="0"/>
        <w:rPr>
          <w:rFonts w:hint="eastAsia" w:ascii="Times New Roman" w:hAnsi="Times New Roman" w:eastAsia="宋体" w:cs="Times New Roman"/>
          <w:sz w:val="24"/>
          <w:szCs w:val="21"/>
          <w:lang w:val="en-US" w:eastAsia="zh-CN" w:bidi="ar-SA"/>
        </w:rPr>
      </w:pPr>
    </w:p>
    <w:p w14:paraId="7674C81F">
      <w:pPr>
        <w:bidi w:val="0"/>
        <w:rPr>
          <w:rFonts w:hint="eastAsia"/>
          <w:lang w:val="en-US" w:eastAsia="zh-CN"/>
        </w:rPr>
      </w:pPr>
    </w:p>
    <w:p w14:paraId="61BBA5B0">
      <w:pPr>
        <w:pStyle w:val="4"/>
        <w:spacing w:before="156" w:beforeLines="50" w:after="156" w:afterLines="50" w:line="377" w:lineRule="auto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价格评分表</w:t>
      </w:r>
    </w:p>
    <w:p w14:paraId="59FFE967">
      <w:pPr>
        <w:spacing w:line="360" w:lineRule="auto"/>
        <w:ind w:left="588"/>
        <w:jc w:val="center"/>
        <w:rPr>
          <w:rFonts w:hint="eastAsia" w:ascii="仿宋" w:hAnsi="仿宋" w:eastAsia="仿宋" w:cs="仿宋"/>
          <w:b/>
          <w:color w:val="auto"/>
        </w:rPr>
      </w:pPr>
      <w:r>
        <w:rPr>
          <w:rFonts w:hint="eastAsia" w:ascii="仿宋" w:hAnsi="仿宋" w:eastAsia="仿宋" w:cs="仿宋"/>
          <w:b/>
          <w:color w:val="auto"/>
          <w:lang w:val="en-US" w:eastAsia="zh-CN"/>
        </w:rPr>
        <w:t>（30</w:t>
      </w:r>
      <w:r>
        <w:rPr>
          <w:rFonts w:hint="eastAsia" w:ascii="仿宋" w:hAnsi="仿宋" w:eastAsia="仿宋" w:cs="仿宋"/>
          <w:b/>
          <w:color w:val="auto"/>
        </w:rPr>
        <w:t>分</w:t>
      </w:r>
      <w:r>
        <w:rPr>
          <w:rFonts w:hint="eastAsia" w:ascii="仿宋" w:hAnsi="仿宋" w:eastAsia="仿宋" w:cs="仿宋"/>
          <w:b/>
          <w:color w:val="auto"/>
          <w:lang w:val="en-US" w:eastAsia="zh-CN"/>
        </w:rPr>
        <w:t>）</w:t>
      </w:r>
    </w:p>
    <w:p w14:paraId="1F4E5D23">
      <w:pPr>
        <w:numPr>
          <w:ilvl w:val="0"/>
          <w:numId w:val="0"/>
        </w:numPr>
        <w:autoSpaceDE/>
        <w:autoSpaceDN/>
        <w:adjustRightInd/>
        <w:snapToGrid w:val="0"/>
        <w:spacing w:line="360" w:lineRule="auto"/>
        <w:ind w:leftChars="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价格评分：以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>总价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作为价格评分的评审依据。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即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金额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最低的为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评审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基准折扣，其价格分为满分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分。其他供应商的价格分统一按照下列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公式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计算： </w:t>
      </w:r>
    </w:p>
    <w:p w14:paraId="66B62997"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lang w:val="en-US" w:eastAsia="zh-CN"/>
        </w:rPr>
        <w:sectPr>
          <w:pgSz w:w="11906" w:h="16838"/>
          <w:pgMar w:top="567" w:right="851" w:bottom="1440" w:left="992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报价得分＝（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所有报价中最低价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/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单个供应商报价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）×100%×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30</w:t>
      </w:r>
    </w:p>
    <w:p w14:paraId="270215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A61FC5"/>
    <w:multiLevelType w:val="multilevel"/>
    <w:tmpl w:val="46A61FC5"/>
    <w:lvl w:ilvl="0" w:tentative="0">
      <w:start w:val="1"/>
      <w:numFmt w:val="chineseCountingThousand"/>
      <w:lvlText w:val="(%1)"/>
      <w:lvlJc w:val="left"/>
      <w:pPr>
        <w:ind w:left="660" w:hanging="420"/>
      </w:pPr>
      <w:rPr>
        <w:rFonts w:hint="default" w:ascii="宋体" w:hAnsi="宋体" w:eastAsia="宋体"/>
        <w:b w:val="0"/>
        <w:bCs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C73457C"/>
    <w:multiLevelType w:val="multilevel"/>
    <w:tmpl w:val="6C73457C"/>
    <w:lvl w:ilvl="0" w:tentative="0">
      <w:start w:val="1"/>
      <w:numFmt w:val="chineseCountingThousand"/>
      <w:lvlText w:val="(%1)"/>
      <w:lvlJc w:val="left"/>
      <w:pPr>
        <w:ind w:left="420" w:hanging="420"/>
      </w:pPr>
      <w:rPr>
        <w:rFonts w:hint="default" w:ascii="宋体" w:hAnsi="宋体" w:eastAsia="宋体"/>
        <w:b w:val="0"/>
        <w:bCs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9414D1"/>
    <w:rsid w:val="08F14A19"/>
    <w:rsid w:val="09BD5BA6"/>
    <w:rsid w:val="0B687618"/>
    <w:rsid w:val="0BF9701B"/>
    <w:rsid w:val="0CA37E2C"/>
    <w:rsid w:val="10401C27"/>
    <w:rsid w:val="149414D1"/>
    <w:rsid w:val="22FA00AC"/>
    <w:rsid w:val="25EE4DC5"/>
    <w:rsid w:val="2B25203D"/>
    <w:rsid w:val="320B6956"/>
    <w:rsid w:val="33391BFE"/>
    <w:rsid w:val="3CE143BF"/>
    <w:rsid w:val="461A7A21"/>
    <w:rsid w:val="46A3725C"/>
    <w:rsid w:val="471F1BDF"/>
    <w:rsid w:val="49B111F1"/>
    <w:rsid w:val="55594C6A"/>
    <w:rsid w:val="568850AA"/>
    <w:rsid w:val="580012C3"/>
    <w:rsid w:val="5E7742CA"/>
    <w:rsid w:val="5FD300A1"/>
    <w:rsid w:val="626A0AFC"/>
    <w:rsid w:val="6BBF45AB"/>
    <w:rsid w:val="6F1F1923"/>
    <w:rsid w:val="7521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sz w:val="24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widowControl/>
      <w:autoSpaceDE/>
      <w:autoSpaceDN/>
      <w:adjustRightInd/>
      <w:outlineLvl w:val="0"/>
    </w:pPr>
    <w:rPr>
      <w:b/>
      <w:bCs/>
      <w:szCs w:val="24"/>
      <w:lang w:val="zh-CN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widowControl/>
      <w:autoSpaceDE/>
      <w:autoSpaceDN/>
      <w:adjustRightInd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  <w:lang w:val="zh-CN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rPr>
      <w:sz w:val="20"/>
      <w:szCs w:val="20"/>
    </w:rPr>
  </w:style>
  <w:style w:type="paragraph" w:styleId="6">
    <w:name w:val="Body Text"/>
    <w:basedOn w:val="1"/>
    <w:qFormat/>
    <w:uiPriority w:val="0"/>
    <w:pPr>
      <w:spacing w:line="360" w:lineRule="auto"/>
    </w:pPr>
    <w:rPr>
      <w:szCs w:val="20"/>
    </w:rPr>
  </w:style>
  <w:style w:type="paragraph" w:styleId="7">
    <w:name w:val="Body Text Indent"/>
    <w:basedOn w:val="1"/>
    <w:next w:val="8"/>
    <w:qFormat/>
    <w:uiPriority w:val="0"/>
    <w:pPr>
      <w:ind w:firstLine="570"/>
    </w:pPr>
    <w:rPr>
      <w:rFonts w:ascii="宋体" w:hAnsi="宋体"/>
      <w:sz w:val="28"/>
      <w:szCs w:val="20"/>
    </w:rPr>
  </w:style>
  <w:style w:type="paragraph" w:customStyle="1" w:styleId="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  <w:lang w:val="zh-CN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 2"/>
    <w:basedOn w:val="7"/>
    <w:qFormat/>
    <w:uiPriority w:val="0"/>
    <w:pPr>
      <w:ind w:firstLine="420" w:firstLineChars="200"/>
    </w:p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qFormat/>
    <w:uiPriority w:val="0"/>
  </w:style>
  <w:style w:type="paragraph" w:styleId="18">
    <w:name w:val="List Paragraph"/>
    <w:basedOn w:val="1"/>
    <w:qFormat/>
    <w:uiPriority w:val="99"/>
    <w:pPr>
      <w:autoSpaceDE/>
      <w:autoSpaceDN/>
      <w:adjustRightInd/>
      <w:ind w:firstLine="420" w:firstLineChars="200"/>
      <w:jc w:val="both"/>
    </w:pPr>
    <w:rPr>
      <w:rFonts w:eastAsia="黑体"/>
      <w:bCs/>
      <w:kern w:val="2"/>
      <w:sz w:val="30"/>
      <w:szCs w:val="30"/>
    </w:rPr>
  </w:style>
  <w:style w:type="paragraph" w:customStyle="1" w:styleId="19">
    <w:name w:val="_Style 3"/>
    <w:basedOn w:val="1"/>
    <w:next w:val="11"/>
    <w:qFormat/>
    <w:uiPriority w:val="0"/>
    <w:pPr>
      <w:ind w:firstLine="420" w:firstLineChars="200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969</Words>
  <Characters>1006</Characters>
  <Lines>0</Lines>
  <Paragraphs>0</Paragraphs>
  <TotalTime>8</TotalTime>
  <ScaleCrop>false</ScaleCrop>
  <LinksUpToDate>false</LinksUpToDate>
  <CharactersWithSpaces>1011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2025-09-28T01:27:00Z</dcterms:created>
  <dc:creator>古皓</dc:creator>
  <cp:lastModifiedBy>LZY</cp:lastModifiedBy>
  <dcterms:modified xsi:type="dcterms:W3CDTF">2025-10-21T09:57:59Z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7C334FD1F5D747E7B36B315E4B5599E5_13</vt:lpwstr>
  </property>
  <property fmtid="{D5CDD505-2E9C-101B-9397-08002B2CF9AE}" pid="4" name="KSOTemplateDocerSaveRecord">
    <vt:lpwstr>eyJoZGlkIjoiNDUxMTYwZjg4OGZiODZlZjI2NTc5MzU4MTg3Zjc4MjAiLCJ1c2VySWQiOiI1ODEwOTY1MTUifQ==</vt:lpwstr>
  </property>
</Properties>
</file>