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C363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right="0" w:rightChars="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4C7A567">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14:paraId="6AC07D1F">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4212C7D7">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779B2F11">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083605E5">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57366BB4">
      <w:pPr>
        <w:keepNext w:val="0"/>
        <w:keepLines w:val="0"/>
        <w:widowControl/>
        <w:suppressLineNumbers w:val="0"/>
        <w:jc w:val="left"/>
        <w:rPr>
          <w:b/>
          <w:bCs/>
          <w:color w:val="000000"/>
          <w:highlight w:val="none"/>
        </w:rPr>
      </w:pPr>
    </w:p>
    <w:p w14:paraId="57A719BD">
      <w:pPr>
        <w:pStyle w:val="7"/>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采购项目内容</w:t>
      </w:r>
    </w:p>
    <w:tbl>
      <w:tblPr>
        <w:tblStyle w:val="5"/>
        <w:tblW w:w="428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48"/>
        <w:gridCol w:w="1341"/>
        <w:gridCol w:w="1759"/>
        <w:gridCol w:w="1759"/>
      </w:tblGrid>
      <w:tr w14:paraId="077F7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61CF53">
            <w:pPr>
              <w:keepNext w:val="0"/>
              <w:keepLines w:val="0"/>
              <w:pageBreakBefore w:val="0"/>
              <w:widowControl/>
              <w:suppressLineNumbers w:val="0"/>
              <w:kinsoku/>
              <w:wordWrap/>
              <w:overflowPunct/>
              <w:topLinePunct w:val="0"/>
              <w:bidi w:val="0"/>
              <w:spacing w:before="0" w:beforeAutospacing="0" w:after="0" w:afterAutospacing="0" w:line="400" w:lineRule="exact"/>
              <w:ind w:right="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采购内容</w:t>
            </w:r>
          </w:p>
        </w:tc>
        <w:tc>
          <w:tcPr>
            <w:tcW w:w="91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4D3F48">
            <w:pPr>
              <w:keepNext w:val="0"/>
              <w:keepLines w:val="0"/>
              <w:pageBreakBefore w:val="0"/>
              <w:widowControl/>
              <w:suppressLineNumbers w:val="0"/>
              <w:kinsoku/>
              <w:wordWrap/>
              <w:overflowPunct/>
              <w:topLinePunct w:val="0"/>
              <w:bidi w:val="0"/>
              <w:spacing w:before="0" w:beforeAutospacing="0" w:after="0" w:afterAutospacing="0" w:line="400" w:lineRule="exact"/>
              <w:ind w:right="0"/>
              <w:jc w:val="center"/>
              <w:textAlignment w:val="top"/>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采购预算（最高限价）</w:t>
            </w:r>
          </w:p>
        </w:tc>
        <w:tc>
          <w:tcPr>
            <w:tcW w:w="120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8E8187">
            <w:pPr>
              <w:keepNext w:val="0"/>
              <w:keepLines w:val="0"/>
              <w:pageBreakBefore w:val="0"/>
              <w:widowControl/>
              <w:suppressLineNumbers w:val="0"/>
              <w:kinsoku/>
              <w:wordWrap/>
              <w:overflowPunct/>
              <w:topLinePunct w:val="0"/>
              <w:bidi w:val="0"/>
              <w:spacing w:before="0" w:beforeAutospacing="0" w:after="0" w:afterAutospacing="0" w:line="400" w:lineRule="exact"/>
              <w:ind w:right="0"/>
              <w:jc w:val="center"/>
              <w:textAlignment w:val="top"/>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单价限价</w:t>
            </w:r>
          </w:p>
        </w:tc>
        <w:tc>
          <w:tcPr>
            <w:tcW w:w="120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59A71F">
            <w:pPr>
              <w:keepNext w:val="0"/>
              <w:keepLines w:val="0"/>
              <w:pageBreakBefore w:val="0"/>
              <w:widowControl/>
              <w:suppressLineNumbers w:val="0"/>
              <w:kinsoku/>
              <w:wordWrap/>
              <w:overflowPunct/>
              <w:topLinePunct w:val="0"/>
              <w:bidi w:val="0"/>
              <w:spacing w:before="0" w:beforeAutospacing="0" w:after="0" w:afterAutospacing="0" w:line="400" w:lineRule="exact"/>
              <w:ind w:right="0"/>
              <w:jc w:val="center"/>
              <w:textAlignment w:val="top"/>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预估数量</w:t>
            </w:r>
          </w:p>
        </w:tc>
      </w:tr>
      <w:tr w14:paraId="606E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jc w:val="center"/>
        </w:trPr>
        <w:tc>
          <w:tcPr>
            <w:tcW w:w="1675" w:type="pct"/>
            <w:tcBorders>
              <w:top w:val="nil"/>
              <w:left w:val="single" w:color="000000" w:sz="8" w:space="0"/>
              <w:bottom w:val="single" w:color="000000" w:sz="8" w:space="0"/>
              <w:right w:val="single" w:color="000000" w:sz="8" w:space="0"/>
            </w:tcBorders>
            <w:shd w:val="clear" w:color="auto" w:fill="auto"/>
            <w:vAlign w:val="center"/>
          </w:tcPr>
          <w:p w14:paraId="082205B5">
            <w:pPr>
              <w:keepNext w:val="0"/>
              <w:keepLines w:val="0"/>
              <w:widowControl/>
              <w:suppressLineNumbers w:val="0"/>
              <w:jc w:val="left"/>
              <w:rPr>
                <w:rFonts w:hint="eastAsia" w:ascii="仿宋" w:hAnsi="仿宋" w:eastAsia="仿宋" w:cs="仿宋"/>
                <w:i w:val="0"/>
                <w:iCs w:val="0"/>
                <w:color w:val="000000" w:themeColor="text1"/>
                <w:sz w:val="24"/>
                <w:szCs w:val="24"/>
                <w:highlight w:val="yellow"/>
                <w:u w:val="none"/>
                <w:lang w:val="en-US" w:eastAsia="zh-CN"/>
                <w14:textFill>
                  <w14:solidFill>
                    <w14:schemeClr w14:val="tx1"/>
                  </w14:solidFill>
                </w14:textFill>
              </w:rPr>
            </w:pPr>
            <w:r>
              <w:rPr>
                <w:rFonts w:hint="eastAsia" w:ascii="仿宋" w:hAnsi="仿宋" w:eastAsia="仿宋" w:cs="仿宋"/>
                <w:color w:val="000000"/>
                <w:kern w:val="0"/>
                <w:sz w:val="21"/>
                <w:szCs w:val="21"/>
                <w:lang w:val="en-US" w:eastAsia="zh-CN" w:bidi="ar"/>
              </w:rPr>
              <w:t>HR+/HER2-辅助内分泌治疗后复发晚期乳腺癌中国人群基因图谱及生存现状真实世界研究的肿瘤全外显子测序检测试剂采购项目（科研用，非临床用）</w:t>
            </w:r>
          </w:p>
        </w:tc>
        <w:tc>
          <w:tcPr>
            <w:tcW w:w="917" w:type="pct"/>
            <w:tcBorders>
              <w:top w:val="nil"/>
              <w:left w:val="single" w:color="000000" w:sz="8" w:space="0"/>
              <w:bottom w:val="single" w:color="000000" w:sz="8" w:space="0"/>
              <w:right w:val="single" w:color="000000" w:sz="8" w:space="0"/>
            </w:tcBorders>
            <w:shd w:val="clear" w:color="auto" w:fill="auto"/>
            <w:vAlign w:val="center"/>
          </w:tcPr>
          <w:p w14:paraId="390ABF2F">
            <w:pPr>
              <w:keepNext w:val="0"/>
              <w:keepLines w:val="0"/>
              <w:pageBreakBefore w:val="0"/>
              <w:widowControl/>
              <w:suppressLineNumbers w:val="0"/>
              <w:kinsoku/>
              <w:wordWrap/>
              <w:overflowPunct/>
              <w:topLinePunct w:val="0"/>
              <w:bidi w:val="0"/>
              <w:spacing w:before="0" w:beforeAutospacing="0" w:after="0" w:afterAutospacing="0" w:line="400" w:lineRule="exact"/>
              <w:ind w:right="0"/>
              <w:jc w:val="center"/>
              <w:textAlignment w:val="center"/>
              <w:rPr>
                <w:rFonts w:hint="eastAsia" w:ascii="仿宋" w:hAnsi="仿宋" w:eastAsia="仿宋" w:cs="仿宋"/>
                <w:i w:val="0"/>
                <w:iCs w:val="0"/>
                <w:color w:val="000000" w:themeColor="text1"/>
                <w:sz w:val="24"/>
                <w:szCs w:val="24"/>
                <w:highlight w:val="yellow"/>
                <w:u w:val="none"/>
                <w:lang w:val="en-US" w:eastAsia="zh-CN"/>
                <w14:textFill>
                  <w14:solidFill>
                    <w14:schemeClr w14:val="tx1"/>
                  </w14:solidFill>
                </w14:textFill>
              </w:rPr>
            </w:pPr>
            <w:r>
              <w:rPr>
                <w:rFonts w:hint="eastAsia" w:ascii="仿宋" w:hAnsi="仿宋" w:eastAsia="仿宋" w:cs="仿宋"/>
                <w:i w:val="0"/>
                <w:iCs w:val="0"/>
                <w:color w:val="FF0000"/>
                <w:sz w:val="24"/>
                <w:szCs w:val="24"/>
                <w:highlight w:val="yellow"/>
                <w:u w:val="none"/>
                <w:lang w:val="en-US" w:eastAsia="zh-CN"/>
              </w:rPr>
              <w:t>260000</w:t>
            </w:r>
          </w:p>
        </w:tc>
        <w:tc>
          <w:tcPr>
            <w:tcW w:w="1203" w:type="pct"/>
            <w:tcBorders>
              <w:top w:val="nil"/>
              <w:left w:val="single" w:color="000000" w:sz="8" w:space="0"/>
              <w:bottom w:val="single" w:color="000000" w:sz="8" w:space="0"/>
              <w:right w:val="single" w:color="000000" w:sz="8" w:space="0"/>
            </w:tcBorders>
            <w:shd w:val="clear" w:color="auto" w:fill="auto"/>
            <w:vAlign w:val="center"/>
          </w:tcPr>
          <w:p w14:paraId="422A1CAF">
            <w:pPr>
              <w:keepNext w:val="0"/>
              <w:keepLines w:val="0"/>
              <w:pageBreakBefore w:val="0"/>
              <w:widowControl/>
              <w:suppressLineNumbers w:val="0"/>
              <w:kinsoku/>
              <w:wordWrap/>
              <w:overflowPunct/>
              <w:topLinePunct w:val="0"/>
              <w:bidi w:val="0"/>
              <w:spacing w:before="0" w:beforeAutospacing="0" w:after="0" w:afterAutospacing="0" w:line="400" w:lineRule="exact"/>
              <w:ind w:right="0"/>
              <w:jc w:val="center"/>
              <w:textAlignment w:val="center"/>
              <w:rPr>
                <w:rFonts w:hint="default" w:ascii="仿宋" w:hAnsi="仿宋" w:eastAsia="仿宋" w:cs="仿宋"/>
                <w:i w:val="0"/>
                <w:iCs w:val="0"/>
                <w:color w:val="000000" w:themeColor="text1"/>
                <w:kern w:val="0"/>
                <w:sz w:val="24"/>
                <w:szCs w:val="24"/>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yellow"/>
                <w:u w:val="none"/>
                <w:lang w:val="en-US" w:eastAsia="zh-CN" w:bidi="ar"/>
                <w14:textFill>
                  <w14:solidFill>
                    <w14:schemeClr w14:val="tx1"/>
                  </w14:solidFill>
                </w14:textFill>
              </w:rPr>
              <w:t>130000元/套</w:t>
            </w:r>
          </w:p>
        </w:tc>
        <w:tc>
          <w:tcPr>
            <w:tcW w:w="1203" w:type="pct"/>
            <w:tcBorders>
              <w:top w:val="nil"/>
              <w:left w:val="single" w:color="000000" w:sz="8" w:space="0"/>
              <w:bottom w:val="single" w:color="000000" w:sz="8" w:space="0"/>
              <w:right w:val="single" w:color="000000" w:sz="8" w:space="0"/>
            </w:tcBorders>
            <w:shd w:val="clear" w:color="auto" w:fill="auto"/>
            <w:vAlign w:val="center"/>
          </w:tcPr>
          <w:p w14:paraId="45006901">
            <w:pPr>
              <w:keepNext w:val="0"/>
              <w:keepLines w:val="0"/>
              <w:pageBreakBefore w:val="0"/>
              <w:widowControl/>
              <w:suppressLineNumbers w:val="0"/>
              <w:kinsoku/>
              <w:wordWrap/>
              <w:overflowPunct/>
              <w:topLinePunct w:val="0"/>
              <w:bidi w:val="0"/>
              <w:spacing w:before="0" w:beforeAutospacing="0" w:after="0" w:afterAutospacing="0" w:line="400" w:lineRule="exact"/>
              <w:ind w:right="0"/>
              <w:jc w:val="center"/>
              <w:textAlignment w:val="center"/>
              <w:rPr>
                <w:rFonts w:hint="eastAsia" w:ascii="仿宋" w:hAnsi="仿宋" w:eastAsia="仿宋" w:cs="仿宋"/>
                <w:i w:val="0"/>
                <w:iCs w:val="0"/>
                <w:color w:val="000000" w:themeColor="text1"/>
                <w:kern w:val="0"/>
                <w:sz w:val="24"/>
                <w:szCs w:val="24"/>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yellow"/>
                <w:u w:val="none"/>
                <w:lang w:val="en-US" w:eastAsia="zh-CN" w:bidi="ar"/>
                <w14:textFill>
                  <w14:solidFill>
                    <w14:schemeClr w14:val="tx1"/>
                  </w14:solidFill>
                </w14:textFill>
              </w:rPr>
              <w:t>2</w:t>
            </w:r>
          </w:p>
        </w:tc>
      </w:tr>
    </w:tbl>
    <w:p w14:paraId="4D957D3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必须对本项目的全部内容进行响应报价，如有缺漏或超出采购预算（最高限价），将导致响应无效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487693F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jc w:val="left"/>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本项目采购的试剂仅用于科研方面，非用于临床检验。</w:t>
      </w:r>
    </w:p>
    <w:p w14:paraId="2BCBBFDA">
      <w:pPr>
        <w:pStyle w:val="7"/>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项目概况</w:t>
      </w:r>
    </w:p>
    <w:p w14:paraId="76A659E1">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项目背景</w:t>
      </w:r>
    </w:p>
    <w:p w14:paraId="0E78D074">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rPr>
        <w:t>乳腺癌是全球女性最常见的癌症。据估计，2022年全球新发乳腺癌估计约5230万，居第二位，中国乳腺癌新发病例数约为35.7万，新发人数居全球第一。在中国诊断为乳腺癌的平均年龄为45~55岁，与西方女性相比，是非常年轻的，57.4%的女性患者在诊断乳腺癌时不到 50 岁前，62.9%的女性在诊断乳腺癌时处于绝经前。在所有乳腺癌类型中，激素受体阳性，人类表皮生长因子受体2阴性（HR+HER2-）是最常见的亚型，占70%左右。</w:t>
      </w:r>
      <w:r>
        <w:rPr>
          <w:rFonts w:hint="eastAsia" w:ascii="仿宋" w:hAnsi="仿宋" w:eastAsia="仿宋" w:cs="仿宋"/>
          <w:sz w:val="24"/>
          <w:lang w:val="en-US" w:eastAsia="zh-CN"/>
        </w:rPr>
        <w:t>尽管辅助内分泌治疗显著降低了复发风险，但仍有20%-30%的患者出现复发转移，晚期患者5年生存率不足50%，临床预后亟待改善。</w:t>
      </w:r>
    </w:p>
    <w:p w14:paraId="48DC2763">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近年来，新型靶向药物（如PI3K抑制剂、口服SERD等）的涌现为内分泌耐药患者带来了显著临床获益。基于循证医学证据，国内外权威指南共识一致推荐对晚期复发HR+/HER2-乳腺癌患者进行基因检测，以指导精准治疗决策。在"健康中国2030"战略指引下，我国亟需优化诊疗策略，提升患者生存质量和长期预后。当前，基因检测技术已广泛普及，靶向药物实现中外同步上市，为我国乳腺癌精准诊疗创造了历史性机遇</w:t>
      </w:r>
    </w:p>
    <w:p w14:paraId="13DF333C">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2025年4月4日，美国国立卫生研究院（NIH）一纸禁令，切断了中国科研人员对SEER、TCGA、dbGaP等核心生物医学数据库的访问权限。这场以“国家安全”为名的数据封锁，不仅让无数科研项目陷入停滞，更揭示了科技博弈的深层裂痕——当数据成为战略武器，“科学无国界”的理想正被现实击碎。在国际数据共享受限的背景下，中国医学界更应把握这一战略机遇期，通过多中心协同创新，加快建立本土化生物医学共享数据库。这将为中国精准医学的自主创新发展提供核心支撑，最终实现从"跟跑"到"领跑"的跨越式发展。</w:t>
      </w:r>
    </w:p>
    <w:p w14:paraId="796E84AD">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项目目标</w:t>
      </w:r>
    </w:p>
    <w:p w14:paraId="678B79E0">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本项目致力于打造中国人自己的乳腺癌生物医学共享数据库，以打破国际科学数据库对中国研究者的使用壁垒。</w:t>
      </w:r>
    </w:p>
    <w:p w14:paraId="22BABA5A">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项目采购方式及地点</w:t>
      </w:r>
    </w:p>
    <w:p w14:paraId="2895198D">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本项目计划采用院内公开采购的方式确定一名供应商，提供“</w:t>
      </w:r>
      <w:r>
        <w:rPr>
          <w:rFonts w:hint="eastAsia" w:ascii="仿宋" w:hAnsi="仿宋" w:eastAsia="仿宋" w:cs="仿宋"/>
          <w:color w:val="000000"/>
          <w:sz w:val="24"/>
          <w:highlight w:val="none"/>
          <w:lang w:val="en-US" w:eastAsia="zh-CN"/>
        </w:rPr>
        <w:t>HR+/HER2-辅助内分泌治疗后复发晚期乳腺癌中国人群基因图谱及生存现状真实世界研究的肿瘤全外显子测序检测试剂</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w:t>
      </w:r>
    </w:p>
    <w:p w14:paraId="12FC9E54">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项目地点：广州市越秀区沿江西路107号中山大学孙逸仙纪念医院</w:t>
      </w:r>
    </w:p>
    <w:p w14:paraId="18EA2CAD">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项目预算/最高限价:人民币</w:t>
      </w:r>
      <w:r>
        <w:rPr>
          <w:rFonts w:hint="eastAsia" w:ascii="仿宋" w:hAnsi="仿宋" w:eastAsia="仿宋" w:cs="仿宋"/>
          <w:i w:val="0"/>
          <w:iCs w:val="0"/>
          <w:color w:val="FF0000"/>
          <w:sz w:val="24"/>
          <w:szCs w:val="24"/>
          <w:highlight w:val="yellow"/>
          <w:u w:val="none"/>
          <w:lang w:val="en-US" w:eastAsia="zh-CN"/>
        </w:rPr>
        <w:t>260000</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元。</w:t>
      </w:r>
    </w:p>
    <w:p w14:paraId="25F2072A">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服务期限: </w:t>
      </w:r>
    </w:p>
    <w:p w14:paraId="35B799D4">
      <w:pPr>
        <w:pStyle w:val="7"/>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 w:val="24"/>
          <w:szCs w:val="24"/>
          <w:highlight w:val="none"/>
        </w:rPr>
        <w:t>若因不可抗力、项目重大调整等合理且必要的原因，采购人需提前终止服务期的，应提前1个月以书面形式通知成交供应商，自通知载明的终止日期起，服务期终止。同时，双方应就提前终止服务期后的相关事宜，如已提供服务的结算、未完成工作的交接等，进行协商处理</w:t>
      </w:r>
      <w:r>
        <w:rPr>
          <w:rFonts w:hint="eastAsia" w:ascii="仿宋" w:hAnsi="仿宋" w:eastAsia="仿宋" w:cs="仿宋"/>
          <w:color w:val="000000"/>
          <w:sz w:val="24"/>
          <w:szCs w:val="24"/>
          <w:highlight w:val="none"/>
          <w:lang w:eastAsia="zh-CN"/>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采购人不承担任何的违约责任。</w:t>
      </w:r>
    </w:p>
    <w:p w14:paraId="6DD1E795">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按实结算，采购人对于项目所涉及的预估数量以及预算金额均不作任何承诺。供应商在参与本项目前，需充分、全面地自行评估可能面临的风险。同时，供应商应作出明确承诺，不得以采购人实际所需开展的项目例数过少为由，拒绝提供相关服务，务必确保所提供服务的稳定性与可靠性。</w:t>
      </w:r>
    </w:p>
    <w:p w14:paraId="19410C61">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p>
    <w:p w14:paraId="7DBC3AB7">
      <w:pPr>
        <w:pStyle w:val="7"/>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技术、服务要求</w:t>
      </w:r>
    </w:p>
    <w:p w14:paraId="131B6650">
      <w:pPr>
        <w:pStyle w:val="7"/>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▲响应人具备试剂供应与技术支持的专业能力，包括但不限于：</w:t>
      </w:r>
    </w:p>
    <w:p w14:paraId="454CE061">
      <w:pPr>
        <w:pStyle w:val="7"/>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i w:val="0"/>
          <w:iCs w:val="0"/>
          <w:caps w:val="0"/>
          <w:color w:val="24292F"/>
          <w:spacing w:val="0"/>
          <w:sz w:val="24"/>
          <w:szCs w:val="24"/>
          <w:highlight w:val="none"/>
          <w:shd w:val="clear" w:fill="FFFFFF"/>
        </w:rPr>
      </w:pPr>
      <w:r>
        <w:rPr>
          <w:rFonts w:hint="eastAsia" w:ascii="仿宋" w:hAnsi="仿宋" w:eastAsia="仿宋" w:cs="仿宋"/>
          <w:i w:val="0"/>
          <w:iCs w:val="0"/>
          <w:caps w:val="0"/>
          <w:color w:val="24292F"/>
          <w:spacing w:val="0"/>
          <w:sz w:val="24"/>
          <w:szCs w:val="24"/>
          <w:highlight w:val="none"/>
          <w:shd w:val="clear" w:fill="FFFFFF"/>
        </w:rPr>
        <w:t>具备医疗器械经营</w:t>
      </w:r>
      <w:r>
        <w:rPr>
          <w:rFonts w:hint="eastAsia" w:ascii="仿宋" w:hAnsi="仿宋" w:eastAsia="仿宋" w:cs="仿宋"/>
          <w:i w:val="0"/>
          <w:iCs w:val="0"/>
          <w:caps w:val="0"/>
          <w:color w:val="24292F"/>
          <w:spacing w:val="0"/>
          <w:sz w:val="24"/>
          <w:szCs w:val="24"/>
          <w:highlight w:val="none"/>
          <w:shd w:val="clear" w:fill="FFFFFF"/>
          <w:lang w:val="en-US" w:eastAsia="zh-CN"/>
        </w:rPr>
        <w:t>许可证</w:t>
      </w:r>
    </w:p>
    <w:p w14:paraId="141180DD">
      <w:pPr>
        <w:pStyle w:val="7"/>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i w:val="0"/>
          <w:iCs w:val="0"/>
          <w:caps w:val="0"/>
          <w:color w:val="24292F"/>
          <w:spacing w:val="0"/>
          <w:sz w:val="24"/>
          <w:szCs w:val="24"/>
          <w:highlight w:val="none"/>
          <w:shd w:val="clear" w:fill="FFFFFF"/>
        </w:rPr>
      </w:pPr>
      <w:r>
        <w:rPr>
          <w:rFonts w:hint="eastAsia" w:ascii="仿宋" w:hAnsi="仿宋" w:eastAsia="仿宋" w:cs="仿宋"/>
          <w:i w:val="0"/>
          <w:iCs w:val="0"/>
          <w:caps w:val="0"/>
          <w:color w:val="24292F"/>
          <w:spacing w:val="0"/>
          <w:sz w:val="24"/>
          <w:szCs w:val="24"/>
          <w:highlight w:val="none"/>
          <w:shd w:val="clear" w:fill="FFFFFF"/>
        </w:rPr>
        <w:t>团队成员具备良好的沟通协调能力，能够与研究机构、研究者等进行有效沟通。</w:t>
      </w:r>
    </w:p>
    <w:p w14:paraId="0903FA35">
      <w:pPr>
        <w:pStyle w:val="7"/>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24292F"/>
          <w:spacing w:val="0"/>
          <w:sz w:val="24"/>
          <w:szCs w:val="24"/>
          <w:highlight w:val="none"/>
          <w:shd w:val="clear" w:fill="FFFFFF"/>
          <w:lang w:val="en-US" w:eastAsia="zh-CN"/>
        </w:rPr>
        <w:t>响应人应</w:t>
      </w:r>
      <w:r>
        <w:rPr>
          <w:rFonts w:hint="eastAsia" w:ascii="仿宋" w:hAnsi="仿宋" w:eastAsia="仿宋" w:cs="仿宋"/>
          <w:color w:val="24292F"/>
          <w:sz w:val="24"/>
          <w:highlight w:val="none"/>
          <w:shd w:val="clear" w:fill="FFFFFF"/>
        </w:rPr>
        <w:t>保障公司管理规范、合规</w:t>
      </w:r>
      <w:r>
        <w:rPr>
          <w:rFonts w:hint="eastAsia" w:ascii="仿宋" w:hAnsi="仿宋" w:eastAsia="仿宋" w:cs="仿宋"/>
          <w:color w:val="24292F"/>
          <w:sz w:val="24"/>
          <w:highlight w:val="none"/>
          <w:shd w:val="clear" w:fill="FFFFFF"/>
          <w:lang w:eastAsia="zh-CN"/>
        </w:rPr>
        <w:t>，</w:t>
      </w:r>
      <w:r>
        <w:rPr>
          <w:rFonts w:hint="eastAsia" w:ascii="仿宋" w:hAnsi="仿宋" w:eastAsia="仿宋" w:cs="仿宋"/>
          <w:color w:val="24292F"/>
          <w:sz w:val="24"/>
          <w:highlight w:val="none"/>
          <w:shd w:val="clear" w:fill="FFFFFF"/>
        </w:rPr>
        <w:t>以提供长期、稳定、安全的服务。</w:t>
      </w:r>
    </w:p>
    <w:p w14:paraId="655F440D">
      <w:pPr>
        <w:pStyle w:val="7"/>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ind w:left="420" w:leftChars="200" w:firstLine="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p>
    <w:p w14:paraId="76329109">
      <w:pPr>
        <w:pStyle w:val="7"/>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cyan"/>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cyan"/>
          <w:lang w:val="en-US" w:eastAsia="zh-CN"/>
          <w14:textFill>
            <w14:solidFill>
              <w14:schemeClr w14:val="tx1"/>
            </w14:solidFill>
          </w14:textFill>
        </w:rPr>
        <w:t>工作内容及具体要求：</w:t>
      </w:r>
    </w:p>
    <w:p w14:paraId="60980DC3">
      <w:pPr>
        <w:pStyle w:val="7"/>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sz w:val="24"/>
          <w:szCs w:val="24"/>
          <w:highlight w:val="cyan"/>
          <w:lang w:val="en-US" w:eastAsia="zh-CN"/>
        </w:rPr>
      </w:pPr>
      <w:r>
        <w:rPr>
          <w:rFonts w:hint="eastAsia" w:ascii="仿宋" w:hAnsi="仿宋" w:eastAsia="仿宋" w:cs="仿宋"/>
          <w:i w:val="0"/>
          <w:iCs w:val="0"/>
          <w:caps w:val="0"/>
          <w:color w:val="24292F"/>
          <w:spacing w:val="0"/>
          <w:sz w:val="24"/>
          <w:szCs w:val="24"/>
          <w:highlight w:val="cyan"/>
          <w:shd w:val="clear" w:fill="FFFFFF"/>
          <w:lang w:val="en-US" w:eastAsia="zh-CN"/>
        </w:rPr>
        <w:t>供货内容:肿瘤全外显子组测序配套试剂，含核酸提取试剂、文库构建试剂、捕获探针、杂交缓冲液、质控品、对照品、测序芯片等全套配套试剂。</w:t>
      </w:r>
    </w:p>
    <w:p w14:paraId="7FE8C0BF">
      <w:pPr>
        <w:pStyle w:val="7"/>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sz w:val="24"/>
          <w:szCs w:val="24"/>
          <w:highlight w:val="cyan"/>
          <w:lang w:val="en-US" w:eastAsia="zh-CN"/>
        </w:rPr>
      </w:pPr>
      <w:r>
        <w:rPr>
          <w:rFonts w:hint="eastAsia" w:ascii="仿宋" w:hAnsi="仿宋" w:eastAsia="仿宋" w:cs="仿宋"/>
          <w:sz w:val="24"/>
          <w:szCs w:val="24"/>
          <w:highlight w:val="cyan"/>
          <w:lang w:val="en-US" w:eastAsia="zh-CN"/>
        </w:rPr>
        <w:t>试剂质量要求:</w:t>
      </w:r>
    </w:p>
    <w:p w14:paraId="0412EFC1">
      <w:pPr>
        <w:pStyle w:val="7"/>
        <w:keepNext w:val="0"/>
        <w:keepLines w:val="0"/>
        <w:pageBreakBefore w:val="0"/>
        <w:widowControl w:val="0"/>
        <w:numPr>
          <w:ilvl w:val="1"/>
          <w:numId w:val="6"/>
        </w:numPr>
        <w:kinsoku/>
        <w:wordWrap/>
        <w:overflowPunct/>
        <w:topLinePunct w:val="0"/>
        <w:autoSpaceDE/>
        <w:autoSpaceDN/>
        <w:bidi w:val="0"/>
        <w:adjustRightInd w:val="0"/>
        <w:snapToGrid w:val="0"/>
        <w:spacing w:line="400" w:lineRule="exact"/>
        <w:ind w:left="420" w:leftChars="0" w:firstLine="480" w:firstLineChars="200"/>
        <w:textAlignment w:val="auto"/>
        <w:rPr>
          <w:rFonts w:hint="eastAsia" w:ascii="仿宋" w:hAnsi="仿宋" w:eastAsia="仿宋" w:cs="仿宋"/>
          <w:sz w:val="24"/>
          <w:szCs w:val="24"/>
          <w:highlight w:val="cyan"/>
          <w:lang w:val="en-US" w:eastAsia="zh-CN"/>
        </w:rPr>
      </w:pPr>
      <w:r>
        <w:rPr>
          <w:rFonts w:hint="eastAsia" w:ascii="仿宋" w:hAnsi="仿宋" w:eastAsia="仿宋" w:cs="仿宋"/>
          <w:sz w:val="24"/>
          <w:szCs w:val="24"/>
          <w:highlight w:val="cyan"/>
          <w:lang w:val="en-US" w:eastAsia="zh-CN"/>
        </w:rPr>
        <w:t>检测方法：联合探针锚定聚合测序法。</w:t>
      </w:r>
    </w:p>
    <w:p w14:paraId="1E25EBA1">
      <w:pPr>
        <w:pStyle w:val="7"/>
        <w:keepNext w:val="0"/>
        <w:keepLines w:val="0"/>
        <w:pageBreakBefore w:val="0"/>
        <w:widowControl w:val="0"/>
        <w:numPr>
          <w:ilvl w:val="1"/>
          <w:numId w:val="6"/>
        </w:numPr>
        <w:kinsoku/>
        <w:wordWrap/>
        <w:overflowPunct/>
        <w:topLinePunct w:val="0"/>
        <w:autoSpaceDE/>
        <w:autoSpaceDN/>
        <w:bidi w:val="0"/>
        <w:adjustRightInd w:val="0"/>
        <w:snapToGrid w:val="0"/>
        <w:spacing w:line="400" w:lineRule="exact"/>
        <w:ind w:left="420" w:leftChars="0" w:firstLine="480" w:firstLineChars="200"/>
        <w:textAlignment w:val="auto"/>
        <w:rPr>
          <w:rFonts w:hint="eastAsia" w:ascii="仿宋" w:hAnsi="仿宋" w:eastAsia="仿宋" w:cs="仿宋"/>
          <w:sz w:val="24"/>
          <w:szCs w:val="24"/>
          <w:highlight w:val="cyan"/>
          <w:lang w:val="en-US" w:eastAsia="zh-CN"/>
        </w:rPr>
      </w:pPr>
      <w:r>
        <w:rPr>
          <w:rFonts w:hint="eastAsia" w:ascii="仿宋" w:hAnsi="仿宋" w:eastAsia="仿宋" w:cs="仿宋"/>
          <w:sz w:val="24"/>
          <w:szCs w:val="24"/>
          <w:highlight w:val="cyan"/>
          <w:lang w:val="en-US" w:eastAsia="zh-CN"/>
        </w:rPr>
        <w:t>可检测大于680个与肿瘤诊断、治疗和预后密切相关的肿瘤核心基因、免疫治疗相关基因（包括TMB、MSI、免疫疗效相关基因、PD-L1）等。</w:t>
      </w:r>
    </w:p>
    <w:p w14:paraId="16A7FEC9">
      <w:pPr>
        <w:pStyle w:val="7"/>
        <w:keepNext w:val="0"/>
        <w:keepLines w:val="0"/>
        <w:pageBreakBefore w:val="0"/>
        <w:widowControl w:val="0"/>
        <w:numPr>
          <w:ilvl w:val="1"/>
          <w:numId w:val="6"/>
        </w:numPr>
        <w:kinsoku/>
        <w:wordWrap/>
        <w:overflowPunct/>
        <w:topLinePunct w:val="0"/>
        <w:autoSpaceDE/>
        <w:autoSpaceDN/>
        <w:bidi w:val="0"/>
        <w:adjustRightInd w:val="0"/>
        <w:snapToGrid w:val="0"/>
        <w:spacing w:line="400" w:lineRule="exact"/>
        <w:ind w:left="420" w:leftChars="0" w:firstLine="480" w:firstLineChars="200"/>
        <w:textAlignment w:val="auto"/>
        <w:rPr>
          <w:rFonts w:hint="eastAsia" w:ascii="仿宋" w:hAnsi="仿宋" w:eastAsia="仿宋" w:cs="仿宋"/>
          <w:sz w:val="24"/>
          <w:szCs w:val="24"/>
          <w:highlight w:val="cyan"/>
          <w:lang w:val="en-US" w:eastAsia="zh-CN"/>
        </w:rPr>
      </w:pPr>
      <w:r>
        <w:rPr>
          <w:rFonts w:hint="eastAsia" w:ascii="仿宋" w:hAnsi="仿宋" w:eastAsia="仿宋" w:cs="仿宋"/>
          <w:sz w:val="24"/>
          <w:szCs w:val="24"/>
          <w:highlight w:val="cyan"/>
          <w:lang w:val="en-US" w:eastAsia="zh-CN"/>
        </w:rPr>
        <w:t>检测的突变类型包括体细胞突变和胚系突变，突变类型包括单核苷酸变异SNV、小片段插入/缺失InDel、拷贝数变异CNV、基因融合。</w:t>
      </w:r>
    </w:p>
    <w:p w14:paraId="14EAD995">
      <w:pPr>
        <w:pStyle w:val="7"/>
        <w:keepNext w:val="0"/>
        <w:keepLines w:val="0"/>
        <w:pageBreakBefore w:val="0"/>
        <w:widowControl w:val="0"/>
        <w:numPr>
          <w:ilvl w:val="1"/>
          <w:numId w:val="6"/>
        </w:numPr>
        <w:kinsoku/>
        <w:wordWrap/>
        <w:overflowPunct/>
        <w:topLinePunct w:val="0"/>
        <w:autoSpaceDE/>
        <w:autoSpaceDN/>
        <w:bidi w:val="0"/>
        <w:adjustRightInd w:val="0"/>
        <w:snapToGrid w:val="0"/>
        <w:spacing w:line="400" w:lineRule="exact"/>
        <w:ind w:left="420" w:leftChars="0" w:firstLine="480" w:firstLineChars="200"/>
        <w:textAlignment w:val="auto"/>
        <w:rPr>
          <w:rFonts w:hint="eastAsia" w:ascii="仿宋" w:hAnsi="仿宋" w:eastAsia="仿宋" w:cs="仿宋"/>
          <w:sz w:val="24"/>
          <w:szCs w:val="24"/>
          <w:highlight w:val="cyan"/>
          <w:lang w:val="en-US" w:eastAsia="zh-CN"/>
        </w:rPr>
      </w:pPr>
      <w:r>
        <w:rPr>
          <w:rFonts w:hint="eastAsia" w:ascii="仿宋" w:hAnsi="仿宋" w:eastAsia="仿宋" w:cs="仿宋"/>
          <w:sz w:val="24"/>
          <w:szCs w:val="24"/>
          <w:highlight w:val="cyan"/>
          <w:lang w:val="en-US" w:eastAsia="zh-CN"/>
        </w:rPr>
        <w:t>捕获探针覆盖近2万个基因的全部外显子区域，捕获区域大于39M。</w:t>
      </w:r>
    </w:p>
    <w:p w14:paraId="65B4B6AD">
      <w:pPr>
        <w:pStyle w:val="7"/>
        <w:keepNext w:val="0"/>
        <w:keepLines w:val="0"/>
        <w:pageBreakBefore w:val="0"/>
        <w:widowControl w:val="0"/>
        <w:numPr>
          <w:ilvl w:val="1"/>
          <w:numId w:val="6"/>
        </w:numPr>
        <w:kinsoku/>
        <w:wordWrap/>
        <w:overflowPunct/>
        <w:topLinePunct w:val="0"/>
        <w:autoSpaceDE/>
        <w:autoSpaceDN/>
        <w:bidi w:val="0"/>
        <w:adjustRightInd w:val="0"/>
        <w:snapToGrid w:val="0"/>
        <w:spacing w:line="400" w:lineRule="exact"/>
        <w:ind w:left="420" w:leftChars="0" w:firstLine="480" w:firstLineChars="200"/>
        <w:textAlignment w:val="auto"/>
        <w:rPr>
          <w:rFonts w:hint="eastAsia" w:ascii="仿宋" w:hAnsi="仿宋" w:eastAsia="仿宋" w:cs="仿宋"/>
          <w:sz w:val="24"/>
          <w:szCs w:val="24"/>
          <w:highlight w:val="cyan"/>
          <w:lang w:val="en-US" w:eastAsia="zh-CN"/>
        </w:rPr>
      </w:pPr>
      <w:r>
        <w:rPr>
          <w:rFonts w:hint="eastAsia" w:ascii="仿宋" w:hAnsi="仿宋" w:eastAsia="仿宋" w:cs="仿宋"/>
          <w:sz w:val="24"/>
          <w:szCs w:val="24"/>
          <w:highlight w:val="cyan"/>
          <w:lang w:val="en-US" w:eastAsia="zh-CN"/>
        </w:rPr>
        <w:t>质控要求：平均测序深度：组织≥400X，对照血≥60X。</w:t>
      </w:r>
    </w:p>
    <w:p w14:paraId="05817641">
      <w:pPr>
        <w:pStyle w:val="4"/>
        <w:keepNext w:val="0"/>
        <w:keepLines w:val="0"/>
        <w:pageBreakBefore w:val="0"/>
        <w:kinsoku/>
        <w:wordWrap/>
        <w:overflowPunct/>
        <w:topLinePunct w:val="0"/>
        <w:autoSpaceDE/>
        <w:autoSpaceDN/>
        <w:bidi w:val="0"/>
        <w:adjustRightInd w:val="0"/>
        <w:snapToGrid w:val="0"/>
        <w:spacing w:after="0" w:line="400" w:lineRule="exact"/>
        <w:ind w:left="0" w:leftChars="0" w:firstLine="0" w:firstLineChars="0"/>
        <w:jc w:val="left"/>
        <w:textAlignment w:val="auto"/>
        <w:rPr>
          <w:rFonts w:hint="eastAsia" w:ascii="仿宋" w:hAnsi="仿宋" w:eastAsia="仿宋" w:cs="仿宋"/>
          <w:color w:val="000000"/>
          <w:sz w:val="24"/>
          <w:szCs w:val="24"/>
          <w:highlight w:val="none"/>
          <w:lang w:val="zh-TW"/>
        </w:rPr>
      </w:pPr>
    </w:p>
    <w:p w14:paraId="7647AAE7">
      <w:pPr>
        <w:pStyle w:val="7"/>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cyan"/>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cyan"/>
          <w:lang w:val="zh-TW" w:eastAsia="zh-CN"/>
          <w14:textFill>
            <w14:solidFill>
              <w14:schemeClr w14:val="tx1"/>
            </w14:solidFill>
          </w14:textFill>
        </w:rPr>
        <w:t>★</w:t>
      </w:r>
      <w:r>
        <w:rPr>
          <w:rFonts w:hint="eastAsia" w:ascii="仿宋" w:hAnsi="仿宋" w:eastAsia="仿宋" w:cs="仿宋"/>
          <w:b w:val="0"/>
          <w:bCs/>
          <w:color w:val="000000" w:themeColor="text1"/>
          <w:sz w:val="24"/>
          <w:szCs w:val="24"/>
          <w:highlight w:val="cyan"/>
          <w:lang w:val="en-US" w:eastAsia="zh-CN"/>
          <w14:textFill>
            <w14:solidFill>
              <w14:schemeClr w14:val="tx1"/>
            </w14:solidFill>
          </w14:textFill>
        </w:rPr>
        <w:t>项目预计于</w:t>
      </w:r>
      <w:r>
        <w:rPr>
          <w:rFonts w:hint="eastAsia" w:ascii="仿宋" w:hAnsi="仿宋" w:eastAsia="仿宋" w:cs="仿宋"/>
          <w:b w:val="0"/>
          <w:bCs/>
          <w:color w:val="FF0000"/>
          <w:sz w:val="24"/>
          <w:szCs w:val="24"/>
          <w:highlight w:val="cyan"/>
          <w:lang w:val="en-US" w:eastAsia="zh-CN"/>
        </w:rPr>
        <w:t>24个月</w:t>
      </w:r>
      <w:r>
        <w:rPr>
          <w:rFonts w:hint="eastAsia" w:ascii="仿宋" w:hAnsi="仿宋" w:eastAsia="仿宋" w:cs="仿宋"/>
          <w:b w:val="0"/>
          <w:bCs/>
          <w:color w:val="000000" w:themeColor="text1"/>
          <w:sz w:val="24"/>
          <w:szCs w:val="24"/>
          <w:highlight w:val="cyan"/>
          <w:lang w:val="en-US" w:eastAsia="zh-CN"/>
          <w14:textFill>
            <w14:solidFill>
              <w14:schemeClr w14:val="tx1"/>
            </w14:solidFill>
          </w14:textFill>
        </w:rPr>
        <w:t>后完成全部试剂供应,如遇特殊情况，</w:t>
      </w:r>
      <w:r>
        <w:rPr>
          <w:rFonts w:hint="eastAsia" w:ascii="仿宋" w:hAnsi="仿宋" w:eastAsia="仿宋" w:cs="仿宋"/>
          <w:b w:val="0"/>
          <w:bCs/>
          <w:color w:val="000000" w:themeColor="text1"/>
          <w:sz w:val="24"/>
          <w:szCs w:val="24"/>
          <w:highlight w:val="cyan"/>
          <w:lang w:val="zh-TW" w:eastAsia="zh-CN"/>
          <w14:textFill>
            <w14:solidFill>
              <w14:schemeClr w14:val="tx1"/>
            </w14:solidFill>
          </w14:textFill>
        </w:rPr>
        <w:t>成交供应商</w:t>
      </w:r>
      <w:r>
        <w:rPr>
          <w:rFonts w:hint="eastAsia" w:ascii="仿宋" w:hAnsi="仿宋" w:eastAsia="仿宋" w:cs="仿宋"/>
          <w:b w:val="0"/>
          <w:bCs/>
          <w:color w:val="000000" w:themeColor="text1"/>
          <w:sz w:val="24"/>
          <w:szCs w:val="24"/>
          <w:highlight w:val="cyan"/>
          <w:lang w:val="en-US" w:eastAsia="zh-CN"/>
          <w14:textFill>
            <w14:solidFill>
              <w14:schemeClr w14:val="tx1"/>
            </w14:solidFill>
          </w14:textFill>
        </w:rPr>
        <w:t>可以以书面方式向采购人申请，经采购人同意后可适当延长，但最多不得超过15个工作日。</w:t>
      </w:r>
    </w:p>
    <w:p w14:paraId="323F820B">
      <w:pPr>
        <w:pStyle w:val="7"/>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pPr>
      <w:bookmarkStart w:id="0" w:name="_GoBack"/>
      <w:bookmarkEnd w:id="0"/>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采购人将</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供货、质量、售后等问题及时反馈，成交供应商应及时整改</w:t>
      </w:r>
    </w:p>
    <w:p w14:paraId="4289D196">
      <w:pPr>
        <w:pStyle w:val="7"/>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保密要求：</w:t>
      </w:r>
    </w:p>
    <w:p w14:paraId="2C83A4A1">
      <w:pPr>
        <w:pStyle w:val="7"/>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0" w:leftChars="0" w:firstLine="480"/>
        <w:jc w:val="left"/>
        <w:textAlignment w:val="auto"/>
        <w:rPr>
          <w:rFonts w:hint="eastAsia" w:ascii="仿宋" w:hAnsi="仿宋" w:eastAsia="仿宋" w:cs="仿宋"/>
          <w:bCs/>
          <w:color w:val="000000" w:themeColor="text1"/>
          <w:sz w:val="24"/>
          <w:highlight w:val="none"/>
          <w:lang w:val="zh-TW"/>
          <w14:textFill>
            <w14:solidFill>
              <w14:schemeClr w14:val="tx1"/>
            </w14:solidFill>
          </w14:textFill>
        </w:rPr>
      </w:pP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成交供应商</w:t>
      </w:r>
      <w:r>
        <w:rPr>
          <w:rFonts w:hint="eastAsia" w:ascii="仿宋" w:hAnsi="仿宋" w:eastAsia="仿宋" w:cs="仿宋"/>
          <w:bCs/>
          <w:color w:val="000000" w:themeColor="text1"/>
          <w:sz w:val="24"/>
          <w:highlight w:val="none"/>
          <w:lang w:val="zh-TW"/>
          <w14:textFill>
            <w14:solidFill>
              <w14:schemeClr w14:val="tx1"/>
            </w14:solidFill>
          </w14:textFill>
        </w:rPr>
        <w:t>需严格遵守相关保密制度。</w:t>
      </w:r>
    </w:p>
    <w:p w14:paraId="4F5C1458">
      <w:pPr>
        <w:pStyle w:val="7"/>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0" w:leftChars="0" w:firstLine="480"/>
        <w:jc w:val="left"/>
        <w:textAlignment w:val="auto"/>
        <w:rPr>
          <w:rFonts w:hint="eastAsia" w:ascii="仿宋" w:hAnsi="仿宋" w:eastAsia="仿宋" w:cs="仿宋"/>
          <w:bCs/>
          <w:color w:val="000000" w:themeColor="text1"/>
          <w:sz w:val="24"/>
          <w:highlight w:val="none"/>
          <w:lang w:val="zh-TW"/>
          <w14:textFill>
            <w14:solidFill>
              <w14:schemeClr w14:val="tx1"/>
            </w14:solidFill>
          </w14:textFill>
        </w:rPr>
      </w:pPr>
      <w:r>
        <w:rPr>
          <w:rFonts w:hint="eastAsia" w:ascii="仿宋" w:hAnsi="仿宋" w:eastAsia="仿宋" w:cs="仿宋"/>
          <w:bCs/>
          <w:color w:val="000000" w:themeColor="text1"/>
          <w:sz w:val="24"/>
          <w:highlight w:val="none"/>
          <w:lang w:val="zh-TW"/>
          <w14:textFill>
            <w14:solidFill>
              <w14:schemeClr w14:val="tx1"/>
            </w14:solidFill>
          </w14:textFill>
        </w:rPr>
        <w:t>严格执行保密制度，成交供应商必须做好保密工作。具体保密措施包括但不限于：</w:t>
      </w:r>
    </w:p>
    <w:p w14:paraId="5544E062">
      <w:pPr>
        <w:pStyle w:val="7"/>
        <w:keepNext w:val="0"/>
        <w:keepLines w:val="0"/>
        <w:pageBreakBefore w:val="0"/>
        <w:widowControl w:val="0"/>
        <w:numPr>
          <w:ilvl w:val="0"/>
          <w:numId w:val="8"/>
        </w:numPr>
        <w:kinsoku/>
        <w:wordWrap/>
        <w:overflowPunct/>
        <w:topLinePunct w:val="0"/>
        <w:autoSpaceDE/>
        <w:autoSpaceDN/>
        <w:bidi w:val="0"/>
        <w:adjustRightInd w:val="0"/>
        <w:snapToGrid w:val="0"/>
        <w:spacing w:line="400" w:lineRule="exact"/>
        <w:ind w:left="0" w:firstLine="480" w:firstLineChars="200"/>
        <w:jc w:val="both"/>
        <w:textAlignment w:val="auto"/>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保密内容：成交供应商实施本项目过程中知悉的与项目有关的任何及所有信息、数据和材料，包括但不限于临床研究信息、患者信息以及任何其它未公开或不为公众所知的信息、数据和材料。</w:t>
      </w:r>
      <w:r>
        <w:rPr>
          <w:rFonts w:hint="eastAsia" w:ascii="仿宋" w:hAnsi="仿宋" w:eastAsia="仿宋" w:cs="仿宋"/>
          <w:bCs/>
          <w:color w:val="000000" w:themeColor="text1"/>
          <w:sz w:val="24"/>
          <w:highlight w:val="none"/>
          <w14:textFill>
            <w14:solidFill>
              <w14:schemeClr w14:val="tx1"/>
            </w14:solidFill>
          </w14:textFill>
        </w:rPr>
        <w:t>成交供应商不得以任何形式（复印、扫描、照相、转抄等）向第三方泄密。</w:t>
      </w:r>
    </w:p>
    <w:p w14:paraId="50A153FE">
      <w:pPr>
        <w:pStyle w:val="7"/>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0" w:leftChars="0" w:firstLine="480"/>
        <w:jc w:val="left"/>
        <w:textAlignment w:val="auto"/>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pPr>
      <w:r>
        <w:rPr>
          <w:rFonts w:hint="eastAsia" w:ascii="仿宋" w:hAnsi="仿宋" w:eastAsia="仿宋" w:cs="仿宋"/>
          <w:bCs/>
          <w:color w:val="000000" w:themeColor="text1"/>
          <w:sz w:val="24"/>
          <w:highlight w:val="none"/>
          <w:lang w:val="zh-TW"/>
          <w14:textFill>
            <w14:solidFill>
              <w14:schemeClr w14:val="tx1"/>
            </w14:solidFill>
          </w14:textFill>
        </w:rPr>
        <w:t>本次</w:t>
      </w:r>
      <w:r>
        <w:rPr>
          <w:rFonts w:hint="eastAsia" w:ascii="仿宋" w:hAnsi="仿宋" w:eastAsia="仿宋" w:cs="仿宋"/>
          <w:bCs/>
          <w:color w:val="000000" w:themeColor="text1"/>
          <w:sz w:val="24"/>
          <w:highlight w:val="none"/>
          <w:lang w:val="en-US" w:eastAsia="zh-CN"/>
          <w14:textFill>
            <w14:solidFill>
              <w14:schemeClr w14:val="tx1"/>
            </w14:solidFill>
          </w14:textFill>
        </w:rPr>
        <w:t>检测</w:t>
      </w:r>
      <w:r>
        <w:rPr>
          <w:rFonts w:hint="eastAsia" w:ascii="仿宋" w:hAnsi="仿宋" w:eastAsia="仿宋" w:cs="仿宋"/>
          <w:bCs/>
          <w:color w:val="000000" w:themeColor="text1"/>
          <w:sz w:val="24"/>
          <w:highlight w:val="none"/>
          <w:lang w:val="zh-TW"/>
          <w14:textFill>
            <w14:solidFill>
              <w14:schemeClr w14:val="tx1"/>
            </w14:solidFill>
          </w14:textFill>
        </w:rPr>
        <w:t>服务过程所产生的资料（包括但不限于纸质资料、电子资料等），所有权归属采购人。成交供应商在项目结束时都必须完整移交采购人，并确保资料无损坏、无缺失。</w:t>
      </w:r>
    </w:p>
    <w:p w14:paraId="070A92C0">
      <w:pPr>
        <w:pStyle w:val="7"/>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bCs w:val="0"/>
          <w:color w:val="000000" w:themeColor="text1"/>
          <w:sz w:val="24"/>
          <w:szCs w:val="24"/>
          <w:highlight w:val="none"/>
          <w:lang w:val="zh-TW"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zh-TW" w:eastAsia="zh-CN"/>
          <w14:textFill>
            <w14:solidFill>
              <w14:schemeClr w14:val="tx1"/>
            </w14:solidFill>
          </w14:textFill>
        </w:rPr>
        <w:t>商务</w:t>
      </w: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要求</w:t>
      </w:r>
      <w:r>
        <w:rPr>
          <w:rFonts w:hint="eastAsia" w:ascii="仿宋" w:hAnsi="仿宋" w:eastAsia="仿宋" w:cs="仿宋"/>
          <w:b/>
          <w:bCs w:val="0"/>
          <w:color w:val="000000" w:themeColor="text1"/>
          <w:sz w:val="24"/>
          <w:szCs w:val="24"/>
          <w:highlight w:val="none"/>
          <w:lang w:val="zh-TW" w:eastAsia="zh-CN"/>
          <w14:textFill>
            <w14:solidFill>
              <w14:schemeClr w14:val="tx1"/>
            </w14:solidFill>
          </w14:textFill>
        </w:rPr>
        <w:t xml:space="preserve"> </w:t>
      </w:r>
    </w:p>
    <w:p w14:paraId="05CE7534">
      <w:pPr>
        <w:pStyle w:val="7"/>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pPr>
      <w:r>
        <w:rPr>
          <w:rFonts w:hint="eastAsia" w:ascii="宋体" w:hAnsi="宋体" w:cs="宋体"/>
          <w:color w:val="000000"/>
          <w:sz w:val="24"/>
          <w:highlight w:val="none"/>
          <w:lang w:val="zh-TW" w:bidi="ar"/>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本次采购量</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无法事先约定，采购人有权根据项目实际进行调整。</w:t>
      </w:r>
    </w:p>
    <w:p w14:paraId="7BB93323">
      <w:pPr>
        <w:pStyle w:val="7"/>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合作期限内，采购人能够在院内开展/生产所委托的服务时，本协议可提前终止，采购人不承担任何的违约责任。</w:t>
      </w:r>
    </w:p>
    <w:p w14:paraId="33A0D415">
      <w:pPr>
        <w:pStyle w:val="7"/>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少报漏报的内容，均已包含在</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综合单价</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内，成交供应商不得以任何的形式向采购人索要追加任何的费用。</w:t>
      </w:r>
      <w:r>
        <w:rPr>
          <w:rFonts w:hint="eastAsia" w:ascii="仿宋" w:hAnsi="仿宋" w:eastAsia="仿宋" w:cs="仿宋"/>
          <w:bCs/>
          <w:color w:val="000000" w:themeColor="text1"/>
          <w:sz w:val="24"/>
          <w:highlight w:val="none"/>
          <w:lang w:val="zh-TW"/>
          <w14:textFill>
            <w14:solidFill>
              <w14:schemeClr w14:val="tx1"/>
            </w14:solidFill>
          </w14:textFill>
        </w:rPr>
        <w:t>综合单价报价应涵盖本项目所需的所有服务内容，包括但不限于人员费用、设备使用费用、</w:t>
      </w:r>
      <w:r>
        <w:rPr>
          <w:rFonts w:hint="eastAsia" w:ascii="仿宋" w:hAnsi="仿宋" w:eastAsia="仿宋" w:cs="仿宋"/>
          <w:bCs/>
          <w:color w:val="000000" w:themeColor="text1"/>
          <w:sz w:val="24"/>
          <w:highlight w:val="none"/>
          <w:lang w:val="en-US" w:eastAsia="zh-CN"/>
          <w14:textFill>
            <w14:solidFill>
              <w14:schemeClr w14:val="tx1"/>
            </w14:solidFill>
          </w14:textFill>
        </w:rPr>
        <w:t>试剂费</w:t>
      </w:r>
      <w:r>
        <w:rPr>
          <w:rFonts w:hint="eastAsia" w:ascii="仿宋" w:hAnsi="仿宋" w:eastAsia="仿宋" w:cs="仿宋"/>
          <w:bCs/>
          <w:color w:val="000000" w:themeColor="text1"/>
          <w:sz w:val="24"/>
          <w:highlight w:val="none"/>
          <w:lang w:val="zh-TW"/>
          <w14:textFill>
            <w14:solidFill>
              <w14:schemeClr w14:val="tx1"/>
            </w14:solidFill>
          </w14:textFill>
        </w:rPr>
        <w:t>等。</w:t>
      </w:r>
    </w:p>
    <w:p w14:paraId="7A3E745F">
      <w:pPr>
        <w:pStyle w:val="7"/>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经验要求：响应人企业在经营范围内报价，且近年来资信良好，履约能力强，没有违法记录。</w:t>
      </w:r>
    </w:p>
    <w:p w14:paraId="1C43F906">
      <w:pPr>
        <w:pStyle w:val="7"/>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报价要求：响应人对本项目提供综合单价报价，其综合单价报价须控制在单价最高限价以下（即报价≤</w:t>
      </w:r>
      <w:r>
        <w:rPr>
          <w:rFonts w:hint="eastAsia" w:ascii="仿宋" w:hAnsi="仿宋" w:eastAsia="仿宋" w:cs="仿宋"/>
          <w:b w:val="0"/>
          <w:bCs/>
          <w:color w:val="FF0000"/>
          <w:sz w:val="24"/>
          <w:szCs w:val="24"/>
          <w:highlight w:val="yellow"/>
          <w:lang w:val="en-US" w:eastAsia="zh-CN"/>
        </w:rPr>
        <w:t>130000</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元/套），否则将导致报价无效，</w:t>
      </w:r>
      <w:r>
        <w:rPr>
          <w:rFonts w:hint="eastAsia" w:ascii="仿宋" w:hAnsi="仿宋" w:eastAsia="仿宋" w:cs="仿宋"/>
          <w:b w:val="0"/>
          <w:bCs/>
          <w:color w:val="auto"/>
          <w:sz w:val="24"/>
          <w:szCs w:val="24"/>
          <w:highlight w:val="none"/>
          <w:lang w:val="en-US" w:eastAsia="zh-CN"/>
        </w:rPr>
        <w:t>如果评审委员会发现响应人的报价明显低于其他通过符合性审查响应人的报价，有可能影响产品质量或者不能诚信履约的，响应人必须要出具详细的成本清单、包含响应人的利润分析、成本分析等，且经所有评委一致认可有效，否则按无效报价处理。</w:t>
      </w:r>
    </w:p>
    <w:p w14:paraId="487A80C3">
      <w:pPr>
        <w:pStyle w:val="7"/>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bCs/>
          <w:color w:val="000000" w:themeColor="text1"/>
          <w:sz w:val="24"/>
          <w:highlight w:val="none"/>
          <w14:textFill>
            <w14:solidFill>
              <w14:schemeClr w14:val="tx1"/>
            </w14:solidFill>
          </w14:textFill>
        </w:rPr>
        <w:t>应在充分考虑可能发生的突发状况的基础上合理报价，在合同执行期间保持不变，</w:t>
      </w:r>
      <w:r>
        <w:rPr>
          <w:rFonts w:hint="eastAsia" w:ascii="仿宋" w:hAnsi="仿宋" w:eastAsia="仿宋" w:cs="仿宋"/>
          <w:bCs/>
          <w:color w:val="000000" w:themeColor="text1"/>
          <w:sz w:val="24"/>
          <w:highlight w:val="none"/>
          <w:lang w:val="en-US" w:eastAsia="zh-CN"/>
          <w14:textFill>
            <w14:solidFill>
              <w14:schemeClr w14:val="tx1"/>
            </w14:solidFill>
          </w14:textFill>
        </w:rPr>
        <w:t>成交供应商</w:t>
      </w:r>
      <w:r>
        <w:rPr>
          <w:rFonts w:hint="eastAsia" w:ascii="仿宋" w:hAnsi="仿宋" w:eastAsia="仿宋" w:cs="仿宋"/>
          <w:bCs/>
          <w:color w:val="000000" w:themeColor="text1"/>
          <w:sz w:val="24"/>
          <w:highlight w:val="none"/>
          <w14:textFill>
            <w14:solidFill>
              <w14:schemeClr w14:val="tx1"/>
            </w14:solidFill>
          </w14:textFill>
        </w:rPr>
        <w:t>不得再以其它任何形式向</w:t>
      </w:r>
      <w:r>
        <w:rPr>
          <w:rFonts w:hint="eastAsia" w:ascii="仿宋" w:hAnsi="仿宋" w:eastAsia="仿宋" w:cs="仿宋"/>
          <w:bCs/>
          <w:color w:val="000000" w:themeColor="text1"/>
          <w:sz w:val="24"/>
          <w:highlight w:val="none"/>
          <w:lang w:val="en-US" w:eastAsia="zh-CN"/>
          <w14:textFill>
            <w14:solidFill>
              <w14:schemeClr w14:val="tx1"/>
            </w14:solidFill>
          </w14:textFill>
        </w:rPr>
        <w:t>采购人</w:t>
      </w:r>
      <w:r>
        <w:rPr>
          <w:rFonts w:hint="eastAsia" w:ascii="仿宋" w:hAnsi="仿宋" w:eastAsia="仿宋" w:cs="仿宋"/>
          <w:bCs/>
          <w:color w:val="000000" w:themeColor="text1"/>
          <w:sz w:val="24"/>
          <w:highlight w:val="none"/>
          <w14:textFill>
            <w14:solidFill>
              <w14:schemeClr w14:val="tx1"/>
            </w14:solidFill>
          </w14:textFill>
        </w:rPr>
        <w:t>索要增加任何的费用。</w:t>
      </w:r>
    </w:p>
    <w:p w14:paraId="29E622FF">
      <w:pPr>
        <w:pStyle w:val="7"/>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如采购人提出超出服务内容的额外服务而导致研究费用发生改变的，双方应另行约定并签署纸质补充协议，由此产生的相关费用由采购人和</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成交供应商</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通过友好协商另行约定。</w:t>
      </w:r>
    </w:p>
    <w:p w14:paraId="40BF47CB">
      <w:pPr>
        <w:pStyle w:val="7"/>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结算方式</w:t>
      </w:r>
    </w:p>
    <w:p w14:paraId="74EF2AB4">
      <w:pPr>
        <w:pStyle w:val="7"/>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auto"/>
          <w:sz w:val="24"/>
          <w:szCs w:val="24"/>
          <w:highlight w:val="none"/>
          <w:lang w:val="zh-TW" w:eastAsia="zh-CN"/>
        </w:rPr>
      </w:pPr>
      <w:r>
        <w:rPr>
          <w:rFonts w:hint="eastAsia" w:ascii="仿宋" w:hAnsi="仿宋" w:eastAsia="仿宋" w:cs="仿宋"/>
          <w:b w:val="0"/>
          <w:bCs/>
          <w:color w:val="auto"/>
          <w:sz w:val="24"/>
          <w:szCs w:val="24"/>
          <w:highlight w:val="none"/>
          <w:lang w:val="zh-TW" w:eastAsia="zh-CN"/>
        </w:rPr>
        <w:t>本项目使用中国医药卫生事业发展基金会提供的横向经费支付。</w:t>
      </w:r>
    </w:p>
    <w:p w14:paraId="685AA90E">
      <w:pPr>
        <w:pStyle w:val="7"/>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按照</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试剂下单验收后</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，经采购人审核确认后，凭成交人开具的正规发票在30个工作日内完成结算。</w:t>
      </w:r>
    </w:p>
    <w:p w14:paraId="32651976">
      <w:pPr>
        <w:pStyle w:val="7"/>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合同终止时间为：支付达到合同总金额的100%或采购人提前1个月通知成交供应商或合同到期自动终止</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w:t>
      </w:r>
    </w:p>
    <w:p w14:paraId="5BE02B46">
      <w:pPr>
        <w:pStyle w:val="7"/>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付款方式：采用</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银行转账等非现金</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形式。</w:t>
      </w:r>
    </w:p>
    <w:p w14:paraId="0980BE67">
      <w:pPr>
        <w:pStyle w:val="7"/>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因财政国库资金支付程序不同于上述支付方式的，按最终用户与供应商协商后的实际支付方式为准。</w:t>
      </w:r>
    </w:p>
    <w:p w14:paraId="7732DBDB">
      <w:pPr>
        <w:pStyle w:val="7"/>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违约责任</w:t>
      </w:r>
    </w:p>
    <w:p w14:paraId="180D0BB1">
      <w:pPr>
        <w:pStyle w:val="8"/>
        <w:keepNext w:val="0"/>
        <w:keepLines w:val="0"/>
        <w:pageBreakBefore w:val="0"/>
        <w:widowControl/>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检测</w:t>
      </w:r>
      <w:r>
        <w:rPr>
          <w:rFonts w:hint="eastAsia" w:ascii="仿宋" w:hAnsi="仿宋" w:eastAsia="仿宋" w:cs="仿宋"/>
          <w:sz w:val="24"/>
          <w:szCs w:val="24"/>
          <w:highlight w:val="none"/>
        </w:rPr>
        <w:t>服务过程中，如任何一方违反本合同（协议）项下所</w:t>
      </w:r>
      <w:r>
        <w:rPr>
          <w:rFonts w:hint="eastAsia" w:ascii="仿宋" w:hAnsi="仿宋" w:eastAsia="仿宋" w:cs="仿宋"/>
          <w:sz w:val="24"/>
          <w:szCs w:val="24"/>
          <w:highlight w:val="none"/>
          <w:lang w:eastAsia="zh-CN"/>
        </w:rPr>
        <w:t>做</w:t>
      </w:r>
      <w:r>
        <w:rPr>
          <w:rFonts w:hint="eastAsia" w:ascii="仿宋" w:hAnsi="仿宋" w:eastAsia="仿宋" w:cs="仿宋"/>
          <w:sz w:val="24"/>
          <w:szCs w:val="24"/>
          <w:highlight w:val="none"/>
        </w:rPr>
        <w:t>的任何一项约定或未履行本合同（协议）项下任何服务或义务的行为均构成违约。守约方有权要求违约方在合理期限内纠正或采取补救措施。若违约方在合理期限内或在守约方书面通知违约方并提出改正要求后十日内仍未纠正或采取补救措施，守约方有权通过书面通知立即终止本合同（协议）。</w:t>
      </w:r>
    </w:p>
    <w:p w14:paraId="7DFCE09A">
      <w:pPr>
        <w:pStyle w:val="8"/>
        <w:keepNext w:val="0"/>
        <w:keepLines w:val="0"/>
        <w:pageBreakBefore w:val="0"/>
        <w:widowControl/>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违约方</w:t>
      </w:r>
      <w:r>
        <w:rPr>
          <w:rFonts w:hint="eastAsia" w:ascii="仿宋" w:hAnsi="仿宋" w:eastAsia="仿宋" w:cs="仿宋"/>
          <w:sz w:val="24"/>
          <w:szCs w:val="24"/>
          <w:highlight w:val="none"/>
          <w:lang w:val="en-US" w:eastAsia="zh-CN"/>
        </w:rPr>
        <w:t>应</w:t>
      </w:r>
      <w:r>
        <w:rPr>
          <w:rFonts w:hint="eastAsia" w:ascii="仿宋" w:hAnsi="仿宋" w:eastAsia="仿宋" w:cs="仿宋"/>
          <w:sz w:val="24"/>
          <w:szCs w:val="24"/>
          <w:highlight w:val="none"/>
        </w:rPr>
        <w:t>赔偿其违约行为给守约方造成的一切损失和费用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包括但不限于诉讼费、律师费、保全费、执行费等。</w:t>
      </w:r>
    </w:p>
    <w:p w14:paraId="7A853FD7">
      <w:pPr>
        <w:pStyle w:val="7"/>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双方有一方无法继续履行合同的（因</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成交供应商</w:t>
      </w:r>
      <w:r>
        <w:rPr>
          <w:rFonts w:hint="eastAsia" w:ascii="仿宋" w:hAnsi="仿宋" w:eastAsia="仿宋" w:cs="仿宋"/>
          <w:b w:val="0"/>
          <w:bCs/>
          <w:color w:val="000000"/>
          <w:sz w:val="24"/>
          <w:szCs w:val="24"/>
          <w:highlight w:val="none"/>
          <w:lang w:eastAsia="zh-CN"/>
        </w:rPr>
        <w:t>未能按约定履约导致采购人主动解约的情况除外），应当提前30天正式通知另一方，并向对方支付该项目合同费用总金额</w:t>
      </w:r>
      <w:r>
        <w:rPr>
          <w:rFonts w:hint="eastAsia" w:ascii="仿宋" w:hAnsi="仿宋" w:eastAsia="仿宋" w:cs="仿宋"/>
          <w:b w:val="0"/>
          <w:bCs/>
          <w:color w:val="000000"/>
          <w:sz w:val="24"/>
          <w:szCs w:val="24"/>
          <w:highlight w:val="none"/>
          <w:lang w:val="en-US" w:eastAsia="zh-CN"/>
        </w:rPr>
        <w:t>2</w:t>
      </w:r>
      <w:r>
        <w:rPr>
          <w:rFonts w:hint="eastAsia" w:ascii="仿宋" w:hAnsi="仿宋" w:eastAsia="仿宋" w:cs="仿宋"/>
          <w:b w:val="0"/>
          <w:bCs/>
          <w:color w:val="000000"/>
          <w:sz w:val="24"/>
          <w:szCs w:val="24"/>
          <w:highlight w:val="none"/>
          <w:lang w:eastAsia="zh-CN"/>
        </w:rPr>
        <w:t>0%的违约金。</w:t>
      </w:r>
      <w:r>
        <w:rPr>
          <w:rFonts w:hint="eastAsia" w:ascii="仿宋" w:hAnsi="仿宋" w:eastAsia="仿宋" w:cs="仿宋"/>
          <w:bCs/>
          <w:color w:val="000000"/>
          <w:sz w:val="24"/>
          <w:highlight w:val="none"/>
        </w:rPr>
        <w:t>违约金比例根据项目重要性和预期损失设定，如违约情节较轻，经双方协商一致可适当调整。</w:t>
      </w:r>
    </w:p>
    <w:p w14:paraId="6249A9E8">
      <w:pPr>
        <w:pStyle w:val="7"/>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若</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成交供应商</w:t>
      </w:r>
      <w:r>
        <w:rPr>
          <w:rFonts w:hint="eastAsia" w:ascii="仿宋" w:hAnsi="仿宋" w:eastAsia="仿宋" w:cs="仿宋"/>
          <w:b w:val="0"/>
          <w:bCs/>
          <w:color w:val="000000"/>
          <w:sz w:val="24"/>
          <w:szCs w:val="24"/>
          <w:highlight w:val="none"/>
          <w:lang w:eastAsia="zh-CN"/>
        </w:rPr>
        <w:t>未能按照合同规定时间内完成本项目</w:t>
      </w:r>
      <w:r>
        <w:rPr>
          <w:rFonts w:hint="eastAsia" w:ascii="仿宋" w:hAnsi="仿宋" w:eastAsia="仿宋" w:cs="仿宋"/>
          <w:b w:val="0"/>
          <w:bCs/>
          <w:color w:val="000000"/>
          <w:sz w:val="24"/>
          <w:szCs w:val="24"/>
          <w:highlight w:val="none"/>
          <w:lang w:val="en-US" w:eastAsia="zh-CN"/>
        </w:rPr>
        <w:t>需求</w:t>
      </w:r>
      <w:r>
        <w:rPr>
          <w:rFonts w:hint="eastAsia" w:ascii="仿宋" w:hAnsi="仿宋" w:eastAsia="仿宋" w:cs="仿宋"/>
          <w:b w:val="0"/>
          <w:bCs/>
          <w:color w:val="000000"/>
          <w:sz w:val="24"/>
          <w:szCs w:val="24"/>
          <w:highlight w:val="none"/>
          <w:lang w:eastAsia="zh-CN"/>
        </w:rPr>
        <w:t>的，</w:t>
      </w:r>
      <w:r>
        <w:rPr>
          <w:rFonts w:hint="eastAsia" w:ascii="仿宋" w:hAnsi="仿宋" w:eastAsia="仿宋" w:cs="仿宋"/>
          <w:b w:val="0"/>
          <w:bCs/>
          <w:color w:val="000000"/>
          <w:sz w:val="24"/>
          <w:szCs w:val="24"/>
          <w:highlight w:val="none"/>
          <w:lang w:val="en-US" w:eastAsia="zh-CN"/>
        </w:rPr>
        <w:t>且未提前向采购人申请延期的，</w:t>
      </w:r>
      <w:r>
        <w:rPr>
          <w:rFonts w:hint="eastAsia" w:ascii="仿宋" w:hAnsi="仿宋" w:eastAsia="仿宋" w:cs="仿宋"/>
          <w:b w:val="0"/>
          <w:bCs/>
          <w:color w:val="000000"/>
          <w:sz w:val="24"/>
          <w:szCs w:val="24"/>
          <w:highlight w:val="none"/>
          <w:lang w:eastAsia="zh-CN"/>
        </w:rPr>
        <w:t>超出规定时间的，</w:t>
      </w:r>
      <w:r>
        <w:rPr>
          <w:rFonts w:hint="eastAsia" w:ascii="仿宋" w:hAnsi="仿宋" w:eastAsia="仿宋" w:cs="仿宋"/>
          <w:bCs/>
          <w:color w:val="000000"/>
          <w:sz w:val="24"/>
          <w:highlight w:val="none"/>
        </w:rPr>
        <w:t>每逾期一个自然日，</w:t>
      </w:r>
      <w:r>
        <w:rPr>
          <w:rFonts w:hint="eastAsia" w:ascii="仿宋" w:hAnsi="仿宋" w:eastAsia="仿宋" w:cs="仿宋"/>
          <w:b w:val="0"/>
          <w:bCs/>
          <w:color w:val="000000"/>
          <w:sz w:val="24"/>
          <w:szCs w:val="24"/>
          <w:highlight w:val="none"/>
          <w:lang w:eastAsia="zh-CN"/>
        </w:rPr>
        <w:t>按合同总金额的</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％向采购人支付违约金。</w:t>
      </w:r>
    </w:p>
    <w:p w14:paraId="3A54F180">
      <w:pPr>
        <w:pStyle w:val="7"/>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若</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成交供应商</w:t>
      </w:r>
      <w:r>
        <w:rPr>
          <w:rFonts w:hint="eastAsia" w:ascii="仿宋" w:hAnsi="仿宋" w:eastAsia="仿宋" w:cs="仿宋"/>
          <w:b w:val="0"/>
          <w:bCs/>
          <w:color w:val="000000"/>
          <w:sz w:val="24"/>
          <w:szCs w:val="24"/>
          <w:highlight w:val="none"/>
          <w:lang w:eastAsia="zh-CN"/>
        </w:rPr>
        <w:t>在合同期内发生未按合同规定的服务要求完成相关服务，经采购人3次提醒或警告不改正，且造成采购人损失情况的，由</w:t>
      </w:r>
      <w:r>
        <w:rPr>
          <w:rFonts w:hint="eastAsia" w:ascii="仿宋" w:hAnsi="仿宋" w:eastAsia="仿宋" w:cs="仿宋"/>
          <w:b w:val="0"/>
          <w:bCs/>
          <w:color w:val="000000" w:themeColor="text1"/>
          <w:sz w:val="24"/>
          <w:szCs w:val="24"/>
          <w:highlight w:val="none"/>
          <w:lang w:val="zh-TW" w:eastAsia="zh-CN"/>
          <w14:textFill>
            <w14:solidFill>
              <w14:schemeClr w14:val="tx1"/>
            </w14:solidFill>
          </w14:textFill>
        </w:rPr>
        <w:t>成交供应商</w:t>
      </w:r>
      <w:r>
        <w:rPr>
          <w:rFonts w:hint="eastAsia" w:ascii="仿宋" w:hAnsi="仿宋" w:eastAsia="仿宋" w:cs="仿宋"/>
          <w:b w:val="0"/>
          <w:bCs/>
          <w:color w:val="000000"/>
          <w:sz w:val="24"/>
          <w:szCs w:val="24"/>
          <w:highlight w:val="none"/>
          <w:lang w:eastAsia="zh-CN"/>
        </w:rPr>
        <w:t>承担全部责任，且赔偿采购人一切损失</w:t>
      </w:r>
      <w:r>
        <w:rPr>
          <w:rFonts w:hint="eastAsia" w:ascii="仿宋" w:hAnsi="仿宋" w:eastAsia="仿宋" w:cs="仿宋"/>
          <w:bCs/>
          <w:color w:val="000000"/>
          <w:sz w:val="24"/>
          <w:highlight w:val="none"/>
        </w:rPr>
        <w:t>（损失范围同上述一般处理规定），且</w:t>
      </w:r>
      <w:r>
        <w:rPr>
          <w:rFonts w:hint="eastAsia" w:ascii="仿宋" w:hAnsi="仿宋" w:eastAsia="仿宋" w:cs="仿宋"/>
          <w:b w:val="0"/>
          <w:bCs/>
          <w:color w:val="000000"/>
          <w:sz w:val="24"/>
          <w:szCs w:val="24"/>
          <w:highlight w:val="none"/>
          <w:lang w:eastAsia="zh-CN"/>
        </w:rPr>
        <w:t>采购人同时享有单方解除合同的权利。</w:t>
      </w:r>
    </w:p>
    <w:p w14:paraId="0B2CF971">
      <w:pPr>
        <w:pStyle w:val="7"/>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sz w:val="24"/>
          <w:highlight w:val="none"/>
        </w:rPr>
      </w:pPr>
      <w:r>
        <w:rPr>
          <w:rFonts w:hint="eastAsia" w:ascii="仿宋" w:hAnsi="仿宋" w:eastAsia="仿宋" w:cs="仿宋"/>
          <w:b w:val="0"/>
          <w:bCs/>
          <w:color w:val="000000"/>
          <w:sz w:val="24"/>
          <w:szCs w:val="24"/>
          <w:highlight w:val="none"/>
          <w:lang w:eastAsia="zh-CN"/>
        </w:rPr>
        <w:t>若其中一方违约，对方有权提前解除本合同并追索相应之损失。</w:t>
      </w:r>
    </w:p>
    <w:p w14:paraId="63F17DA3">
      <w:pPr>
        <w:pStyle w:val="7"/>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 w:val="0"/>
          <w:bCs/>
          <w:color w:val="000000"/>
          <w:sz w:val="24"/>
          <w:szCs w:val="24"/>
          <w:highlight w:val="none"/>
          <w:lang w:eastAsia="zh-CN"/>
        </w:rPr>
        <w:t>其它违约责任按合同其他条款约定及《中华人民共和国民法典》规定处理。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6437A"/>
    <w:multiLevelType w:val="multilevel"/>
    <w:tmpl w:val="85A6437A"/>
    <w:lvl w:ilvl="0" w:tentative="0">
      <w:start w:val="1"/>
      <w:numFmt w:val="decimal"/>
      <w:suff w:val="space"/>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A60E7D85"/>
    <w:multiLevelType w:val="singleLevel"/>
    <w:tmpl w:val="A60E7D85"/>
    <w:lvl w:ilvl="0" w:tentative="0">
      <w:start w:val="1"/>
      <w:numFmt w:val="decimal"/>
      <w:lvlText w:val="%1."/>
      <w:lvlJc w:val="left"/>
      <w:pPr>
        <w:ind w:left="425" w:hanging="425"/>
      </w:pPr>
      <w:rPr>
        <w:rFonts w:hint="default"/>
      </w:rPr>
    </w:lvl>
  </w:abstractNum>
  <w:abstractNum w:abstractNumId="2">
    <w:nsid w:val="E27AA4CE"/>
    <w:multiLevelType w:val="singleLevel"/>
    <w:tmpl w:val="E27AA4CE"/>
    <w:lvl w:ilvl="0" w:tentative="0">
      <w:start w:val="1"/>
      <w:numFmt w:val="decimal"/>
      <w:suff w:val="space"/>
      <w:lvlText w:val="(%1)"/>
      <w:lvlJc w:val="left"/>
      <w:pPr>
        <w:ind w:left="425" w:hanging="425"/>
      </w:pPr>
      <w:rPr>
        <w:rFonts w:hint="default"/>
      </w:rPr>
    </w:lvl>
  </w:abstractNum>
  <w:abstractNum w:abstractNumId="3">
    <w:nsid w:val="F70EDAE0"/>
    <w:multiLevelType w:val="singleLevel"/>
    <w:tmpl w:val="F70EDAE0"/>
    <w:lvl w:ilvl="0" w:tentative="0">
      <w:start w:val="1"/>
      <w:numFmt w:val="decimal"/>
      <w:suff w:val="space"/>
      <w:lvlText w:val="(%1)"/>
      <w:lvlJc w:val="left"/>
      <w:pPr>
        <w:ind w:left="425" w:hanging="425"/>
      </w:pPr>
      <w:rPr>
        <w:rFonts w:hint="default"/>
      </w:rPr>
    </w:lvl>
  </w:abstractNum>
  <w:abstractNum w:abstractNumId="4">
    <w:nsid w:val="00000000"/>
    <w:multiLevelType w:val="singleLevel"/>
    <w:tmpl w:val="00000000"/>
    <w:lvl w:ilvl="0" w:tentative="0">
      <w:start w:val="1"/>
      <w:numFmt w:val="chineseCounting"/>
      <w:suff w:val="nothing"/>
      <w:lvlText w:val="%1、"/>
      <w:lvlJc w:val="left"/>
      <w:rPr>
        <w:rFonts w:hint="eastAsia"/>
      </w:rPr>
    </w:lvl>
  </w:abstractNum>
  <w:abstractNum w:abstractNumId="5">
    <w:nsid w:val="19A72034"/>
    <w:multiLevelType w:val="singleLevel"/>
    <w:tmpl w:val="19A72034"/>
    <w:lvl w:ilvl="0" w:tentative="0">
      <w:start w:val="1"/>
      <w:numFmt w:val="decimal"/>
      <w:suff w:val="space"/>
      <w:lvlText w:val="(%1)"/>
      <w:lvlJc w:val="left"/>
      <w:pPr>
        <w:ind w:left="425" w:hanging="425"/>
      </w:pPr>
      <w:rPr>
        <w:rFonts w:hint="default"/>
      </w:rPr>
    </w:lvl>
  </w:abstractNum>
  <w:abstractNum w:abstractNumId="6">
    <w:nsid w:val="24D1DE49"/>
    <w:multiLevelType w:val="singleLevel"/>
    <w:tmpl w:val="24D1DE49"/>
    <w:lvl w:ilvl="0" w:tentative="0">
      <w:start w:val="1"/>
      <w:numFmt w:val="decimal"/>
      <w:suff w:val="space"/>
      <w:lvlText w:val="(%1)"/>
      <w:lvlJc w:val="left"/>
      <w:pPr>
        <w:ind w:left="425" w:hanging="425"/>
      </w:pPr>
      <w:rPr>
        <w:rFonts w:hint="default"/>
      </w:rPr>
    </w:lvl>
  </w:abstractNum>
  <w:abstractNum w:abstractNumId="7">
    <w:nsid w:val="282C1254"/>
    <w:multiLevelType w:val="singleLevel"/>
    <w:tmpl w:val="282C1254"/>
    <w:lvl w:ilvl="0" w:tentative="0">
      <w:start w:val="1"/>
      <w:numFmt w:val="decimal"/>
      <w:suff w:val="space"/>
      <w:lvlText w:val="(%1)"/>
      <w:lvlJc w:val="left"/>
      <w:pPr>
        <w:ind w:left="425" w:hanging="425"/>
      </w:pPr>
      <w:rPr>
        <w:rFonts w:hint="default"/>
      </w:rPr>
    </w:lvl>
  </w:abstractNum>
  <w:abstractNum w:abstractNumId="8">
    <w:nsid w:val="3955EB88"/>
    <w:multiLevelType w:val="singleLevel"/>
    <w:tmpl w:val="3955EB88"/>
    <w:lvl w:ilvl="0" w:tentative="0">
      <w:start w:val="1"/>
      <w:numFmt w:val="decimal"/>
      <w:suff w:val="space"/>
      <w:lvlText w:val="%1."/>
      <w:lvlJc w:val="left"/>
      <w:pPr>
        <w:ind w:left="425" w:hanging="425"/>
      </w:pPr>
      <w:rPr>
        <w:rFonts w:hint="default"/>
      </w:rPr>
    </w:lvl>
  </w:abstractNum>
  <w:abstractNum w:abstractNumId="9">
    <w:nsid w:val="6CC283C9"/>
    <w:multiLevelType w:val="singleLevel"/>
    <w:tmpl w:val="6CC283C9"/>
    <w:lvl w:ilvl="0" w:tentative="0">
      <w:start w:val="1"/>
      <w:numFmt w:val="decimal"/>
      <w:lvlText w:val="%1."/>
      <w:lvlJc w:val="left"/>
      <w:pPr>
        <w:ind w:left="425" w:hanging="425"/>
      </w:pPr>
      <w:rPr>
        <w:rFonts w:hint="default"/>
      </w:rPr>
    </w:lvl>
  </w:abstractNum>
  <w:abstractNum w:abstractNumId="10">
    <w:nsid w:val="7AA0C3E5"/>
    <w:multiLevelType w:val="singleLevel"/>
    <w:tmpl w:val="7AA0C3E5"/>
    <w:lvl w:ilvl="0" w:tentative="0">
      <w:start w:val="1"/>
      <w:numFmt w:val="decimal"/>
      <w:lvlText w:val="%1."/>
      <w:lvlJc w:val="left"/>
      <w:pPr>
        <w:ind w:left="425" w:hanging="425"/>
      </w:pPr>
      <w:rPr>
        <w:rFonts w:hint="default"/>
      </w:rPr>
    </w:lvl>
  </w:abstractNum>
  <w:num w:numId="1">
    <w:abstractNumId w:val="4"/>
  </w:num>
  <w:num w:numId="2">
    <w:abstractNumId w:val="9"/>
  </w:num>
  <w:num w:numId="3">
    <w:abstractNumId w:val="3"/>
  </w:num>
  <w:num w:numId="4">
    <w:abstractNumId w:val="8"/>
  </w:num>
  <w:num w:numId="5">
    <w:abstractNumId w:val="7"/>
  </w:num>
  <w:num w:numId="6">
    <w:abstractNumId w:val="0"/>
  </w:num>
  <w:num w:numId="7">
    <w:abstractNumId w:val="1"/>
  </w:num>
  <w:num w:numId="8">
    <w:abstractNumId w:val="6"/>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452B4"/>
    <w:rsid w:val="080C603B"/>
    <w:rsid w:val="0D307327"/>
    <w:rsid w:val="14BB1D16"/>
    <w:rsid w:val="15E452B4"/>
    <w:rsid w:val="1B0237FB"/>
    <w:rsid w:val="1D137488"/>
    <w:rsid w:val="1ECD6B66"/>
    <w:rsid w:val="21B37ADD"/>
    <w:rsid w:val="24AD3205"/>
    <w:rsid w:val="250C6E4E"/>
    <w:rsid w:val="26855CDA"/>
    <w:rsid w:val="27CD7B34"/>
    <w:rsid w:val="2CCA2E9C"/>
    <w:rsid w:val="314522DC"/>
    <w:rsid w:val="335313EB"/>
    <w:rsid w:val="34036835"/>
    <w:rsid w:val="35D55ABD"/>
    <w:rsid w:val="3A145353"/>
    <w:rsid w:val="3C2079E7"/>
    <w:rsid w:val="3C5F02FB"/>
    <w:rsid w:val="41B8336F"/>
    <w:rsid w:val="4333190D"/>
    <w:rsid w:val="43577A5F"/>
    <w:rsid w:val="473C5639"/>
    <w:rsid w:val="4770243A"/>
    <w:rsid w:val="47F677A9"/>
    <w:rsid w:val="480E12FD"/>
    <w:rsid w:val="48EB17F8"/>
    <w:rsid w:val="4C323F1E"/>
    <w:rsid w:val="4E8D5680"/>
    <w:rsid w:val="4EA149C4"/>
    <w:rsid w:val="56CA1443"/>
    <w:rsid w:val="59DE4C32"/>
    <w:rsid w:val="5E7F6E53"/>
    <w:rsid w:val="5F3D78F9"/>
    <w:rsid w:val="60F0561E"/>
    <w:rsid w:val="61062E83"/>
    <w:rsid w:val="627C678B"/>
    <w:rsid w:val="633A772C"/>
    <w:rsid w:val="65B35039"/>
    <w:rsid w:val="66087207"/>
    <w:rsid w:val="672F3346"/>
    <w:rsid w:val="6B2E0161"/>
    <w:rsid w:val="6FF972EA"/>
    <w:rsid w:val="71D273B6"/>
    <w:rsid w:val="72BA3060"/>
    <w:rsid w:val="755A5C92"/>
    <w:rsid w:val="76CA77DE"/>
    <w:rsid w:val="7B736519"/>
    <w:rsid w:val="7CD46ADE"/>
    <w:rsid w:val="7F581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rPr>
      <w:sz w:val="24"/>
    </w:rPr>
  </w:style>
  <w:style w:type="paragraph" w:styleId="4">
    <w:name w:val="Body Text First Indent"/>
    <w:basedOn w:val="3"/>
    <w:qFormat/>
    <w:uiPriority w:val="99"/>
    <w:pPr>
      <w:spacing w:after="120"/>
      <w:ind w:firstLine="420" w:firstLineChars="100"/>
    </w:pPr>
    <w:rPr>
      <w:sz w:val="21"/>
    </w:rPr>
  </w:style>
  <w:style w:type="paragraph" w:customStyle="1" w:styleId="7">
    <w:name w:val="_Style 3"/>
    <w:basedOn w:val="1"/>
    <w:qFormat/>
    <w:uiPriority w:val="0"/>
    <w:pPr>
      <w:ind w:firstLine="420" w:firstLineChars="200"/>
    </w:pPr>
    <w:rPr>
      <w:sz w:val="20"/>
    </w:rPr>
  </w:style>
  <w:style w:type="paragraph" w:customStyle="1" w:styleId="8">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3620</Words>
  <Characters>3769</Characters>
  <Lines>0</Lines>
  <Paragraphs>0</Paragraphs>
  <TotalTime>0</TotalTime>
  <ScaleCrop>false</ScaleCrop>
  <LinksUpToDate>false</LinksUpToDate>
  <CharactersWithSpaces>3776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2026-01-21T02:21:00Z</dcterms:created>
  <dc:creator>林经纬</dc:creator>
  <cp:lastModifiedBy>林经纬</cp:lastModifiedBy>
  <dcterms:modified xsi:type="dcterms:W3CDTF">2026-05-20T08:08:31Z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983CD14442A34CAB95F388EB9A4C15D5_13</vt:lpwstr>
  </property>
  <property fmtid="{D5CDD505-2E9C-101B-9397-08002B2CF9AE}" pid="4" name="KSOTemplateDocerSaveRecord">
    <vt:lpwstr>eyJoZGlkIjoiZjZmNmRmZjQ5ZGQ2NzQ4OGY2Yzc5MWY3YWQxNTRjNjIiLCJ1c2VySWQiOiI5NDI3ODEyNzAifQ==</vt:lpwstr>
  </property>
</Properties>
</file>