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AB4F3">
      <w:pPr>
        <w:pStyle w:val="21"/>
        <w:rPr>
          <w:rFonts w:hint="eastAsia" w:ascii="仿宋_GB2312" w:hAnsi="仿宋_GB2312" w:eastAsia="仿宋_GB2312" w:cs="仿宋_GB2312"/>
          <w:sz w:val="28"/>
          <w:szCs w:val="32"/>
        </w:rPr>
      </w:pPr>
    </w:p>
    <w:p w14:paraId="29B3408D">
      <w:pPr>
        <w:pStyle w:val="21"/>
        <w:rPr>
          <w:rFonts w:hint="eastAsia" w:ascii="仿宋_GB2312" w:hAnsi="仿宋_GB2312" w:eastAsia="仿宋_GB2312" w:cs="仿宋_GB2312"/>
          <w:sz w:val="28"/>
          <w:szCs w:val="32"/>
        </w:rPr>
      </w:pPr>
    </w:p>
    <w:p w14:paraId="4CBEE896">
      <w:pPr>
        <w:rPr>
          <w:rFonts w:hint="eastAsia"/>
        </w:rPr>
      </w:pPr>
    </w:p>
    <w:p w14:paraId="58CBF4BE">
      <w:pPr>
        <w:rPr>
          <w:rFonts w:hint="eastAsia"/>
        </w:rPr>
      </w:pPr>
    </w:p>
    <w:p w14:paraId="73E174A4">
      <w:pPr>
        <w:ind w:left="0" w:leftChars="0" w:firstLine="0" w:firstLineChars="0"/>
        <w:jc w:val="center"/>
        <w:rPr>
          <w:rFonts w:hint="eastAsia" w:ascii="宋体" w:hAnsi="宋体" w:eastAsia="宋体" w:cs="宋体"/>
          <w:b/>
          <w:bCs/>
          <w:sz w:val="84"/>
          <w:szCs w:val="84"/>
        </w:rPr>
      </w:pPr>
      <w:r>
        <w:rPr>
          <w:rFonts w:hint="eastAsia" w:ascii="宋体" w:hAnsi="宋体" w:eastAsia="宋体" w:cs="宋体"/>
          <w:b/>
          <w:bCs/>
          <w:sz w:val="84"/>
          <w:szCs w:val="84"/>
        </w:rPr>
        <w:t>用户需求书</w:t>
      </w:r>
    </w:p>
    <w:p w14:paraId="2B44AB32">
      <w:pPr>
        <w:ind w:firstLine="640"/>
        <w:rPr>
          <w:rFonts w:hint="eastAsia" w:ascii="仿宋_GB2312" w:hAnsi="仿宋_GB2312" w:eastAsia="仿宋_GB2312" w:cs="仿宋_GB2312"/>
          <w:sz w:val="32"/>
          <w:szCs w:val="32"/>
        </w:rPr>
      </w:pPr>
    </w:p>
    <w:p w14:paraId="04685B22">
      <w:pPr>
        <w:ind w:firstLine="640"/>
        <w:rPr>
          <w:rFonts w:hint="eastAsia" w:ascii="仿宋_GB2312" w:hAnsi="仿宋_GB2312" w:eastAsia="仿宋_GB2312" w:cs="仿宋_GB2312"/>
          <w:sz w:val="32"/>
          <w:szCs w:val="32"/>
        </w:rPr>
      </w:pPr>
    </w:p>
    <w:p w14:paraId="6730121B">
      <w:pPr>
        <w:pStyle w:val="5"/>
        <w:rPr>
          <w:rFonts w:hint="eastAsia" w:ascii="仿宋_GB2312" w:hAnsi="仿宋_GB2312" w:eastAsia="仿宋_GB2312" w:cs="仿宋_GB2312"/>
          <w:sz w:val="32"/>
          <w:szCs w:val="32"/>
        </w:rPr>
      </w:pPr>
    </w:p>
    <w:p w14:paraId="2E24CFE2">
      <w:pPr>
        <w:pStyle w:val="15"/>
        <w:rPr>
          <w:rFonts w:hint="eastAsia" w:ascii="仿宋_GB2312" w:hAnsi="仿宋_GB2312" w:eastAsia="仿宋_GB2312" w:cs="仿宋_GB2312"/>
          <w:sz w:val="32"/>
          <w:szCs w:val="32"/>
        </w:rPr>
      </w:pPr>
    </w:p>
    <w:p w14:paraId="2CD5C0D6">
      <w:pPr>
        <w:rPr>
          <w:rFonts w:hint="eastAsia"/>
        </w:rPr>
      </w:pPr>
    </w:p>
    <w:p w14:paraId="327CE325">
      <w:pPr>
        <w:ind w:firstLine="643"/>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项目编号： </w:t>
      </w:r>
      <w:r>
        <w:rPr>
          <w:rFonts w:hint="eastAsia" w:ascii="微软雅黑" w:hAnsi="微软雅黑" w:eastAsia="微软雅黑" w:cs="微软雅黑"/>
          <w:b/>
          <w:bCs/>
          <w:color w:val="333333"/>
          <w:kern w:val="0"/>
          <w:szCs w:val="21"/>
          <w:shd w:val="clear" w:color="auto" w:fill="FFFFFF"/>
          <w:lang w:val="en-US" w:eastAsia="zh-CN" w:bidi="ar"/>
        </w:rPr>
        <w:t>ZWK-LY20260615</w:t>
      </w:r>
    </w:p>
    <w:p w14:paraId="7C22DA54">
      <w:pPr>
        <w:ind w:firstLine="643"/>
        <w:rPr>
          <w:rFonts w:hint="eastAsia" w:ascii="仿宋_GB2312" w:hAnsi="仿宋_GB2312" w:eastAsia="仿宋_GB2312" w:cs="仿宋_GB2312"/>
          <w:b/>
          <w:bCs/>
          <w:sz w:val="32"/>
          <w:szCs w:val="32"/>
        </w:rPr>
      </w:pPr>
    </w:p>
    <w:p w14:paraId="601ECB30">
      <w:pPr>
        <w:ind w:firstLine="643"/>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采购项目名称：中山大学孙逸仙纪念医院医用手腕识别带采购及配送服务项目</w:t>
      </w:r>
    </w:p>
    <w:p w14:paraId="1865E840">
      <w:pPr>
        <w:widowControl/>
        <w:ind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188BA3BD">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目      录</w:t>
      </w:r>
    </w:p>
    <w:p w14:paraId="40153DE3">
      <w:pPr>
        <w:ind w:firstLine="640"/>
        <w:jc w:val="center"/>
        <w:rPr>
          <w:rFonts w:hint="eastAsia" w:ascii="仿宋_GB2312" w:hAnsi="仿宋_GB2312" w:eastAsia="仿宋_GB2312" w:cs="仿宋_GB2312"/>
          <w:sz w:val="32"/>
          <w:szCs w:val="32"/>
        </w:rPr>
      </w:pPr>
    </w:p>
    <w:p w14:paraId="4A216577">
      <w:pPr>
        <w:pStyle w:val="13"/>
        <w:rPr>
          <w:rFonts w:hint="eastAsia"/>
        </w:rPr>
      </w:pPr>
    </w:p>
    <w:p w14:paraId="09F3F819">
      <w:pPr>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第一部分  采购项目内容</w:t>
      </w:r>
    </w:p>
    <w:p w14:paraId="6F818742">
      <w:pPr>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第二部分  </w:t>
      </w:r>
      <w:r>
        <w:rPr>
          <w:rFonts w:hint="eastAsia" w:cs="仿宋_GB2312"/>
          <w:sz w:val="32"/>
          <w:szCs w:val="32"/>
          <w:lang w:val="en-US" w:eastAsia="zh-CN"/>
        </w:rPr>
        <w:t>评审</w:t>
      </w:r>
      <w:r>
        <w:rPr>
          <w:rFonts w:hint="eastAsia" w:ascii="仿宋_GB2312" w:hAnsi="仿宋_GB2312" w:eastAsia="仿宋_GB2312" w:cs="仿宋_GB2312"/>
          <w:sz w:val="32"/>
          <w:szCs w:val="32"/>
        </w:rPr>
        <w:t>标准</w:t>
      </w:r>
    </w:p>
    <w:p w14:paraId="572EE74F">
      <w:pPr>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第三部分  合同格式</w:t>
      </w:r>
    </w:p>
    <w:p w14:paraId="0511BA52">
      <w:pPr>
        <w:widowControl/>
        <w:ind w:firstLine="0" w:firstLineChars="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br w:type="page"/>
      </w:r>
    </w:p>
    <w:p w14:paraId="0EB99F37">
      <w:pPr>
        <w:pStyle w:val="3"/>
        <w:bidi w:val="0"/>
        <w:rPr>
          <w:rFonts w:hint="eastAsia"/>
        </w:rPr>
      </w:pPr>
      <w:r>
        <w:rPr>
          <w:rFonts w:hint="eastAsia"/>
        </w:rPr>
        <w:t>采购项目内容</w:t>
      </w:r>
    </w:p>
    <w:p w14:paraId="41CBE872">
      <w:pPr>
        <w:rPr>
          <w:rFonts w:hint="eastAsia"/>
        </w:rPr>
      </w:pPr>
    </w:p>
    <w:p w14:paraId="0F36C42A">
      <w:pPr>
        <w:pStyle w:val="2"/>
        <w:bidi w:val="0"/>
        <w:rPr>
          <w:rFonts w:hint="eastAsia"/>
        </w:rPr>
      </w:pPr>
      <w:r>
        <w:rPr>
          <w:rFonts w:hint="eastAsia"/>
        </w:rPr>
        <w:t>一、项目概况</w:t>
      </w:r>
    </w:p>
    <w:p w14:paraId="60A186B8">
      <w:pPr>
        <w:bidi w:val="0"/>
        <w:rPr>
          <w:rFonts w:hint="eastAsia"/>
        </w:rPr>
      </w:pPr>
      <w:r>
        <w:rPr>
          <w:rFonts w:hint="eastAsia"/>
        </w:rPr>
        <w:t>为满足</w:t>
      </w:r>
      <w:r>
        <w:rPr>
          <w:rFonts w:hint="eastAsia"/>
          <w:lang w:val="en-US" w:eastAsia="zh-CN"/>
        </w:rPr>
        <w:t>采购人临床科室对于</w:t>
      </w:r>
      <w:r>
        <w:rPr>
          <w:rFonts w:hint="eastAsia"/>
        </w:rPr>
        <w:t>患者身份识别</w:t>
      </w:r>
      <w:r>
        <w:rPr>
          <w:rFonts w:hint="eastAsia"/>
          <w:lang w:eastAsia="zh-CN"/>
        </w:rPr>
        <w:t>、</w:t>
      </w:r>
      <w:r>
        <w:rPr>
          <w:rFonts w:hint="eastAsia"/>
        </w:rPr>
        <w:t>特殊检查、药物过敏提示、治疗</w:t>
      </w:r>
      <w:r>
        <w:rPr>
          <w:rFonts w:hint="eastAsia"/>
          <w:lang w:val="en-US" w:eastAsia="zh-CN"/>
        </w:rPr>
        <w:t>及护理</w:t>
      </w:r>
      <w:r>
        <w:rPr>
          <w:rFonts w:hint="eastAsia"/>
        </w:rPr>
        <w:t>过程中的安全需求，采购人需要定期采购大量的</w:t>
      </w:r>
      <w:r>
        <w:rPr>
          <w:rFonts w:hint="eastAsia"/>
          <w:lang w:val="en-US" w:eastAsia="zh-CN"/>
        </w:rPr>
        <w:t>医用识别</w:t>
      </w:r>
      <w:r>
        <w:rPr>
          <w:rFonts w:hint="eastAsia"/>
        </w:rPr>
        <w:t>手腕带。现通过</w:t>
      </w:r>
      <w:r>
        <w:rPr>
          <w:rFonts w:hint="eastAsia"/>
          <w:lang w:val="en-US" w:eastAsia="zh-CN"/>
        </w:rPr>
        <w:t>公开挂网采购</w:t>
      </w:r>
      <w:r>
        <w:rPr>
          <w:rFonts w:hint="eastAsia"/>
        </w:rPr>
        <w:t>方式，选择符合要求的供应商，按照采购人各类</w:t>
      </w:r>
      <w:r>
        <w:rPr>
          <w:rFonts w:hint="eastAsia"/>
          <w:lang w:val="en-US" w:eastAsia="zh-CN"/>
        </w:rPr>
        <w:t>医用识别</w:t>
      </w:r>
      <w:r>
        <w:rPr>
          <w:rFonts w:hint="eastAsia"/>
        </w:rPr>
        <w:t>手腕带的实际使用量需求，提供</w:t>
      </w:r>
      <w:r>
        <w:rPr>
          <w:rFonts w:hint="eastAsia"/>
          <w:lang w:val="en-US" w:eastAsia="zh-CN"/>
        </w:rPr>
        <w:t>医用识别</w:t>
      </w:r>
      <w:r>
        <w:rPr>
          <w:rFonts w:hint="eastAsia"/>
        </w:rPr>
        <w:t>手腕带的采购及配送服务。</w:t>
      </w:r>
    </w:p>
    <w:p w14:paraId="16A91BFE">
      <w:pPr>
        <w:bidi w:val="0"/>
        <w:rPr>
          <w:rFonts w:hint="eastAsia"/>
        </w:rPr>
      </w:pPr>
      <w:r>
        <w:rPr>
          <w:rFonts w:hint="eastAsia"/>
        </w:rPr>
        <w:t>项目预算/最高限价：人民币</w:t>
      </w:r>
      <w:r>
        <w:rPr>
          <w:rFonts w:hint="eastAsia"/>
          <w:lang w:val="en-US" w:eastAsia="zh-CN"/>
        </w:rPr>
        <w:t>134528</w:t>
      </w:r>
      <w:r>
        <w:rPr>
          <w:rFonts w:hint="eastAsia"/>
        </w:rPr>
        <w:t>元/</w:t>
      </w:r>
      <w:r>
        <w:rPr>
          <w:rFonts w:hint="eastAsia"/>
          <w:lang w:val="en-US" w:eastAsia="zh-CN"/>
        </w:rPr>
        <w:t>1</w:t>
      </w:r>
      <w:r>
        <w:rPr>
          <w:rFonts w:hint="eastAsia"/>
        </w:rPr>
        <w:t xml:space="preserve">年。 </w:t>
      </w:r>
    </w:p>
    <w:p w14:paraId="3739CED7">
      <w:pPr>
        <w:bidi w:val="0"/>
        <w:rPr>
          <w:rFonts w:hint="eastAsia"/>
        </w:rPr>
      </w:pPr>
      <w:r>
        <w:rPr>
          <w:rFonts w:hint="eastAsia"/>
        </w:rPr>
        <w:t>服务期：自合同生效之日起</w:t>
      </w:r>
      <w:r>
        <w:rPr>
          <w:rFonts w:hint="eastAsia"/>
          <w:lang w:eastAsia="zh-CN"/>
        </w:rPr>
        <w:t>1</w:t>
      </w:r>
      <w:r>
        <w:rPr>
          <w:rFonts w:hint="eastAsia"/>
        </w:rPr>
        <w:t>年或累计实际结算款项达到</w:t>
      </w:r>
      <w:r>
        <w:rPr>
          <w:rFonts w:hint="eastAsia"/>
          <w:lang w:val="en-US" w:eastAsia="zh-CN"/>
        </w:rPr>
        <w:t>采购</w:t>
      </w:r>
      <w:r>
        <w:rPr>
          <w:rFonts w:hint="eastAsia"/>
        </w:rPr>
        <w:t>金额上限，以先到者为准。</w:t>
      </w:r>
    </w:p>
    <w:p w14:paraId="71F22A92">
      <w:pPr>
        <w:bidi w:val="0"/>
        <w:rPr>
          <w:rFonts w:hint="eastAsia"/>
        </w:rPr>
      </w:pPr>
      <w:r>
        <w:rPr>
          <w:rFonts w:hint="eastAsia"/>
        </w:rPr>
        <w:t>本项目按实结算，且采购人对订单数量或金额不作承诺，</w:t>
      </w:r>
      <w:r>
        <w:rPr>
          <w:rFonts w:hint="eastAsia"/>
          <w:lang w:eastAsia="zh-CN"/>
        </w:rPr>
        <w:t>响应人</w:t>
      </w:r>
      <w:r>
        <w:rPr>
          <w:rFonts w:hint="eastAsia"/>
        </w:rPr>
        <w:t>须自行评估投标风险。</w:t>
      </w:r>
    </w:p>
    <w:p w14:paraId="0929F4BF">
      <w:pPr>
        <w:pStyle w:val="5"/>
        <w:spacing w:line="240" w:lineRule="auto"/>
        <w:ind w:left="0" w:leftChars="0" w:firstLine="0" w:firstLineChars="0"/>
        <w:rPr>
          <w:rFonts w:hint="eastAsia" w:ascii="仿宋_GB2312" w:hAnsi="仿宋_GB2312" w:eastAsia="仿宋_GB2312" w:cs="仿宋_GB2312"/>
          <w:b w:val="0"/>
          <w:bCs w:val="0"/>
          <w:color w:val="000000"/>
          <w:spacing w:val="0"/>
          <w:kern w:val="0"/>
          <w:sz w:val="28"/>
          <w:szCs w:val="32"/>
          <w:highlight w:val="none"/>
          <w:lang w:val="en-US" w:eastAsia="zh-CN"/>
        </w:rPr>
      </w:pPr>
    </w:p>
    <w:p w14:paraId="0B8BEBDD">
      <w:pPr>
        <w:pStyle w:val="2"/>
        <w:bidi w:val="0"/>
        <w:rPr>
          <w:rFonts w:hint="eastAsia"/>
          <w:lang w:val="en-US" w:eastAsia="zh-CN"/>
        </w:rPr>
      </w:pPr>
      <w:r>
        <w:rPr>
          <w:rFonts w:hint="eastAsia"/>
          <w:lang w:val="en-US" w:eastAsia="zh-CN"/>
        </w:rPr>
        <w:t>二、配送清单及预估数量</w:t>
      </w:r>
    </w:p>
    <w:tbl>
      <w:tblPr>
        <w:tblStyle w:val="24"/>
        <w:tblW w:w="81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41"/>
        <w:gridCol w:w="1520"/>
        <w:gridCol w:w="1094"/>
        <w:gridCol w:w="1607"/>
        <w:gridCol w:w="1219"/>
      </w:tblGrid>
      <w:tr w14:paraId="30674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4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D26D05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Cs w:val="0"/>
                <w:color w:val="000000"/>
                <w:spacing w:val="0"/>
                <w:kern w:val="0"/>
                <w:sz w:val="24"/>
                <w:szCs w:val="24"/>
                <w:highlight w:val="none"/>
                <w:lang w:val="en-US" w:eastAsia="zh-CN" w:bidi="ar-SA"/>
                <w14:ligatures w14:val="standardContextual"/>
              </w:rPr>
            </w:pPr>
            <w:r>
              <w:rPr>
                <w:rFonts w:hint="eastAsia" w:ascii="宋体" w:hAnsi="宋体" w:eastAsia="宋体" w:cs="宋体"/>
                <w:bCs w:val="0"/>
                <w:color w:val="000000"/>
                <w:spacing w:val="0"/>
                <w:kern w:val="0"/>
                <w:sz w:val="24"/>
                <w:szCs w:val="24"/>
                <w:highlight w:val="none"/>
                <w:lang w:val="en-US" w:eastAsia="zh-CN" w:bidi="ar-SA"/>
                <w14:ligatures w14:val="standardContextual"/>
              </w:rPr>
              <w:t>名称</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AC643">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Cs w:val="0"/>
                <w:color w:val="000000"/>
                <w:spacing w:val="0"/>
                <w:kern w:val="0"/>
                <w:sz w:val="24"/>
                <w:szCs w:val="24"/>
                <w:highlight w:val="none"/>
                <w:lang w:val="en-US" w:eastAsia="zh-CN" w:bidi="ar-SA"/>
                <w14:ligatures w14:val="standardContextual"/>
              </w:rPr>
            </w:pPr>
            <w:r>
              <w:rPr>
                <w:rFonts w:hint="eastAsia" w:ascii="宋体" w:hAnsi="宋体" w:eastAsia="宋体" w:cs="宋体"/>
                <w:bCs w:val="0"/>
                <w:color w:val="000000"/>
                <w:spacing w:val="0"/>
                <w:kern w:val="0"/>
                <w:sz w:val="24"/>
                <w:szCs w:val="24"/>
                <w:highlight w:val="none"/>
                <w:lang w:val="en-US" w:eastAsia="zh-CN" w:bidi="ar-SA"/>
                <w14:ligatures w14:val="standardContextual"/>
              </w:rPr>
              <w:t>使用参考用量</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7B2FF">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Cs w:val="0"/>
                <w:color w:val="000000"/>
                <w:spacing w:val="0"/>
                <w:kern w:val="0"/>
                <w:sz w:val="24"/>
                <w:szCs w:val="24"/>
                <w:highlight w:val="none"/>
                <w:lang w:val="en-US" w:eastAsia="zh-CN" w:bidi="ar-SA"/>
                <w14:ligatures w14:val="standardContextual"/>
              </w:rPr>
            </w:pPr>
            <w:r>
              <w:rPr>
                <w:rFonts w:hint="eastAsia" w:ascii="宋体" w:hAnsi="宋体" w:eastAsia="宋体" w:cs="宋体"/>
                <w:bCs w:val="0"/>
                <w:color w:val="000000"/>
                <w:spacing w:val="0"/>
                <w:kern w:val="0"/>
                <w:sz w:val="24"/>
                <w:szCs w:val="24"/>
                <w:highlight w:val="none"/>
                <w:lang w:val="en-US" w:eastAsia="zh-CN" w:bidi="ar-SA"/>
                <w14:ligatures w14:val="standardContextual"/>
              </w:rPr>
              <w:t>计量单位</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2FD8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Cs w:val="0"/>
                <w:color w:val="000000"/>
                <w:spacing w:val="0"/>
                <w:kern w:val="0"/>
                <w:sz w:val="24"/>
                <w:szCs w:val="24"/>
                <w:highlight w:val="none"/>
                <w:lang w:val="en-US" w:eastAsia="zh-CN" w:bidi="ar-SA"/>
                <w14:ligatures w14:val="standardContextual"/>
              </w:rPr>
            </w:pPr>
            <w:r>
              <w:rPr>
                <w:rFonts w:hint="eastAsia" w:ascii="宋体" w:hAnsi="宋体" w:eastAsia="宋体" w:cs="宋体"/>
                <w:bCs w:val="0"/>
                <w:color w:val="000000"/>
                <w:spacing w:val="0"/>
                <w:kern w:val="0"/>
                <w:sz w:val="24"/>
                <w:szCs w:val="24"/>
                <w:highlight w:val="none"/>
                <w:lang w:val="en-US" w:eastAsia="zh-CN" w:bidi="ar-SA"/>
                <w14:ligatures w14:val="standardContextual"/>
              </w:rPr>
              <w:t>单价限价</w:t>
            </w:r>
            <w:r>
              <w:rPr>
                <w:rFonts w:hint="eastAsia" w:ascii="宋体" w:hAnsi="宋体" w:eastAsia="宋体" w:cs="宋体"/>
                <w:bCs w:val="0"/>
                <w:color w:val="000000"/>
                <w:spacing w:val="0"/>
                <w:kern w:val="0"/>
                <w:sz w:val="24"/>
                <w:szCs w:val="24"/>
                <w:highlight w:val="none"/>
                <w:lang w:val="en-US" w:eastAsia="zh-CN" w:bidi="ar-SA"/>
                <w14:ligatures w14:val="standardContextual"/>
              </w:rPr>
              <w:br w:type="textWrapping"/>
            </w:r>
            <w:r>
              <w:rPr>
                <w:rFonts w:hint="eastAsia" w:ascii="宋体" w:hAnsi="宋体" w:eastAsia="宋体" w:cs="宋体"/>
                <w:bCs w:val="0"/>
                <w:color w:val="000000"/>
                <w:spacing w:val="0"/>
                <w:kern w:val="0"/>
                <w:sz w:val="24"/>
                <w:szCs w:val="24"/>
                <w:highlight w:val="none"/>
                <w:lang w:val="en-US" w:eastAsia="zh-CN" w:bidi="ar-SA"/>
                <w14:ligatures w14:val="standardContextual"/>
              </w:rPr>
              <w:t>（元/条）</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16C0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Cs w:val="0"/>
                <w:color w:val="000000"/>
                <w:spacing w:val="0"/>
                <w:kern w:val="0"/>
                <w:sz w:val="24"/>
                <w:szCs w:val="24"/>
                <w:highlight w:val="none"/>
                <w:lang w:val="en-US" w:eastAsia="zh-CN" w:bidi="ar-SA"/>
                <w14:ligatures w14:val="standardContextual"/>
              </w:rPr>
            </w:pPr>
            <w:r>
              <w:rPr>
                <w:rFonts w:hint="eastAsia" w:ascii="宋体" w:hAnsi="宋体" w:eastAsia="宋体" w:cs="宋体"/>
                <w:bCs w:val="0"/>
                <w:color w:val="000000"/>
                <w:spacing w:val="0"/>
                <w:kern w:val="0"/>
                <w:sz w:val="24"/>
                <w:szCs w:val="24"/>
                <w:highlight w:val="none"/>
                <w:lang w:val="en-US" w:eastAsia="zh-CN" w:bidi="ar-SA"/>
                <w14:ligatures w14:val="standardContextual"/>
              </w:rPr>
              <w:t>小计（元）</w:t>
            </w:r>
          </w:p>
        </w:tc>
      </w:tr>
      <w:tr w14:paraId="069D9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274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9B7017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Cs w:val="0"/>
                <w:color w:val="000000"/>
                <w:spacing w:val="0"/>
                <w:kern w:val="0"/>
                <w:sz w:val="24"/>
                <w:szCs w:val="24"/>
                <w:highlight w:val="none"/>
                <w:lang w:val="en-US" w:eastAsia="zh-CN" w:bidi="ar-SA"/>
                <w14:ligatures w14:val="standardContextual"/>
              </w:rPr>
            </w:pPr>
            <w:r>
              <w:rPr>
                <w:rFonts w:hint="eastAsia" w:ascii="宋体" w:hAnsi="宋体" w:eastAsia="宋体" w:cs="宋体"/>
                <w:bCs w:val="0"/>
                <w:color w:val="000000"/>
                <w:spacing w:val="0"/>
                <w:kern w:val="0"/>
                <w:sz w:val="24"/>
                <w:szCs w:val="24"/>
                <w:highlight w:val="none"/>
                <w:lang w:val="en-US" w:eastAsia="zh-CN" w:bidi="ar-SA"/>
                <w14:ligatures w14:val="standardContextual"/>
              </w:rPr>
              <w:t>打印手腕带[成人]</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C58BF">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Cs w:val="0"/>
                <w:color w:val="000000"/>
                <w:spacing w:val="0"/>
                <w:kern w:val="0"/>
                <w:sz w:val="24"/>
                <w:szCs w:val="24"/>
                <w:highlight w:val="none"/>
                <w:lang w:val="en-US" w:eastAsia="zh-CN" w:bidi="ar-SA"/>
                <w14:ligatures w14:val="standardContextual"/>
              </w:rPr>
            </w:pPr>
            <w:r>
              <w:rPr>
                <w:rFonts w:hint="eastAsia" w:ascii="宋体" w:hAnsi="宋体" w:eastAsia="宋体" w:cs="宋体"/>
                <w:bCs w:val="0"/>
                <w:color w:val="000000"/>
                <w:spacing w:val="0"/>
                <w:kern w:val="0"/>
                <w:sz w:val="24"/>
                <w:szCs w:val="24"/>
                <w:highlight w:val="none"/>
                <w:lang w:val="en-US" w:eastAsia="zh-CN" w:bidi="ar-SA"/>
                <w14:ligatures w14:val="standardContextual"/>
              </w:rPr>
              <w:t>313000</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5A863">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Cs w:val="0"/>
                <w:color w:val="000000"/>
                <w:spacing w:val="0"/>
                <w:kern w:val="0"/>
                <w:sz w:val="24"/>
                <w:szCs w:val="24"/>
                <w:highlight w:val="none"/>
                <w:lang w:val="en-US" w:eastAsia="zh-CN" w:bidi="ar-SA"/>
                <w14:ligatures w14:val="standardContextual"/>
              </w:rPr>
            </w:pPr>
            <w:r>
              <w:rPr>
                <w:rFonts w:hint="eastAsia" w:ascii="宋体" w:hAnsi="宋体" w:eastAsia="宋体" w:cs="宋体"/>
                <w:bCs w:val="0"/>
                <w:color w:val="000000"/>
                <w:spacing w:val="0"/>
                <w:kern w:val="0"/>
                <w:sz w:val="24"/>
                <w:szCs w:val="24"/>
                <w:highlight w:val="none"/>
                <w:lang w:val="en-US" w:eastAsia="zh-CN" w:bidi="ar-SA"/>
                <w14:ligatures w14:val="standardContextual"/>
              </w:rPr>
              <w:t>条</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BA82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Cs w:val="0"/>
                <w:color w:val="000000"/>
                <w:spacing w:val="0"/>
                <w:kern w:val="0"/>
                <w:sz w:val="24"/>
                <w:szCs w:val="24"/>
                <w:highlight w:val="none"/>
                <w:lang w:val="en-US" w:eastAsia="zh-CN" w:bidi="ar-SA"/>
                <w14:ligatures w14:val="standardContextual"/>
              </w:rPr>
            </w:pPr>
            <w:r>
              <w:rPr>
                <w:rFonts w:hint="eastAsia" w:ascii="宋体" w:hAnsi="宋体" w:eastAsia="宋体" w:cs="宋体"/>
                <w:bCs w:val="0"/>
                <w:color w:val="000000"/>
                <w:spacing w:val="0"/>
                <w:kern w:val="0"/>
                <w:sz w:val="24"/>
                <w:szCs w:val="24"/>
                <w:highlight w:val="none"/>
                <w:lang w:val="en-US" w:eastAsia="zh-CN" w:bidi="ar-SA"/>
                <w14:ligatures w14:val="standardContextual"/>
              </w:rPr>
              <w:t>0.38</w:t>
            </w:r>
          </w:p>
        </w:tc>
        <w:tc>
          <w:tcPr>
            <w:tcW w:w="121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4531D4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Cs w:val="0"/>
                <w:color w:val="000000"/>
                <w:spacing w:val="0"/>
                <w:kern w:val="0"/>
                <w:sz w:val="24"/>
                <w:szCs w:val="24"/>
                <w:highlight w:val="none"/>
                <w:lang w:val="en-US" w:eastAsia="zh-CN" w:bidi="ar-SA"/>
                <w14:ligatures w14:val="standardContextual"/>
              </w:rPr>
            </w:pPr>
            <w:r>
              <w:rPr>
                <w:rFonts w:hint="eastAsia" w:ascii="宋体" w:hAnsi="宋体" w:eastAsia="宋体" w:cs="宋体"/>
                <w:bCs w:val="0"/>
                <w:color w:val="000000"/>
                <w:spacing w:val="0"/>
                <w:kern w:val="0"/>
                <w:sz w:val="24"/>
                <w:szCs w:val="24"/>
                <w:highlight w:val="none"/>
                <w:lang w:val="en-US" w:eastAsia="zh-CN" w:bidi="ar-SA"/>
                <w14:ligatures w14:val="standardContextual"/>
              </w:rPr>
              <w:t>118940</w:t>
            </w:r>
          </w:p>
        </w:tc>
      </w:tr>
      <w:tr w14:paraId="601E2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74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843B603">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Cs w:val="0"/>
                <w:color w:val="000000"/>
                <w:spacing w:val="0"/>
                <w:kern w:val="0"/>
                <w:sz w:val="24"/>
                <w:szCs w:val="24"/>
                <w:highlight w:val="none"/>
                <w:lang w:val="en-US" w:eastAsia="zh-CN" w:bidi="ar-SA"/>
                <w14:ligatures w14:val="standardContextual"/>
              </w:rPr>
            </w:pPr>
            <w:r>
              <w:rPr>
                <w:rFonts w:hint="eastAsia" w:ascii="宋体" w:hAnsi="宋体" w:eastAsia="宋体" w:cs="宋体"/>
                <w:bCs w:val="0"/>
                <w:color w:val="000000"/>
                <w:spacing w:val="0"/>
                <w:kern w:val="0"/>
                <w:sz w:val="24"/>
                <w:szCs w:val="24"/>
                <w:highlight w:val="none"/>
                <w:lang w:val="en-US" w:eastAsia="zh-CN" w:bidi="ar-SA"/>
                <w14:ligatures w14:val="standardContextual"/>
              </w:rPr>
              <w:t>打印手腕带[儿童]</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ED2A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Cs w:val="0"/>
                <w:color w:val="000000"/>
                <w:spacing w:val="0"/>
                <w:kern w:val="0"/>
                <w:sz w:val="24"/>
                <w:szCs w:val="24"/>
                <w:highlight w:val="none"/>
                <w:lang w:val="en-US" w:eastAsia="zh-CN" w:bidi="ar-SA"/>
                <w14:ligatures w14:val="standardContextual"/>
              </w:rPr>
            </w:pPr>
            <w:r>
              <w:rPr>
                <w:rFonts w:hint="eastAsia" w:ascii="宋体" w:hAnsi="宋体" w:eastAsia="宋体" w:cs="宋体"/>
                <w:bCs w:val="0"/>
                <w:color w:val="000000"/>
                <w:spacing w:val="0"/>
                <w:kern w:val="0"/>
                <w:sz w:val="24"/>
                <w:szCs w:val="24"/>
                <w:highlight w:val="none"/>
                <w:lang w:val="en-US" w:eastAsia="zh-CN" w:bidi="ar-SA"/>
                <w14:ligatures w14:val="standardContextual"/>
              </w:rPr>
              <w:t>16000</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17990">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Cs w:val="0"/>
                <w:color w:val="000000"/>
                <w:spacing w:val="0"/>
                <w:kern w:val="0"/>
                <w:sz w:val="24"/>
                <w:szCs w:val="24"/>
                <w:highlight w:val="none"/>
                <w:lang w:val="en-US" w:eastAsia="zh-CN" w:bidi="ar-SA"/>
                <w14:ligatures w14:val="standardContextual"/>
              </w:rPr>
            </w:pPr>
            <w:r>
              <w:rPr>
                <w:rFonts w:hint="eastAsia" w:ascii="宋体" w:hAnsi="宋体" w:eastAsia="宋体" w:cs="宋体"/>
                <w:bCs w:val="0"/>
                <w:color w:val="000000"/>
                <w:spacing w:val="0"/>
                <w:kern w:val="0"/>
                <w:sz w:val="24"/>
                <w:szCs w:val="24"/>
                <w:highlight w:val="none"/>
                <w:lang w:val="en-US" w:eastAsia="zh-CN" w:bidi="ar-SA"/>
                <w14:ligatures w14:val="standardContextual"/>
              </w:rPr>
              <w:t>条</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356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Cs w:val="0"/>
                <w:color w:val="000000"/>
                <w:spacing w:val="0"/>
                <w:kern w:val="0"/>
                <w:sz w:val="24"/>
                <w:szCs w:val="24"/>
                <w:highlight w:val="none"/>
                <w:lang w:val="en-US" w:eastAsia="zh-CN" w:bidi="ar-SA"/>
                <w14:ligatures w14:val="standardContextual"/>
              </w:rPr>
            </w:pPr>
            <w:r>
              <w:rPr>
                <w:rFonts w:hint="eastAsia" w:ascii="宋体" w:hAnsi="宋体" w:eastAsia="宋体" w:cs="宋体"/>
                <w:bCs w:val="0"/>
                <w:color w:val="000000"/>
                <w:spacing w:val="0"/>
                <w:kern w:val="0"/>
                <w:sz w:val="24"/>
                <w:szCs w:val="24"/>
                <w:highlight w:val="none"/>
                <w:lang w:val="en-US" w:eastAsia="zh-CN" w:bidi="ar-SA"/>
                <w14:ligatures w14:val="standardContextual"/>
              </w:rPr>
              <w:t>0.38</w:t>
            </w:r>
          </w:p>
        </w:tc>
        <w:tc>
          <w:tcPr>
            <w:tcW w:w="1219"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2EA273F">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Cs w:val="0"/>
                <w:color w:val="000000"/>
                <w:spacing w:val="0"/>
                <w:kern w:val="0"/>
                <w:sz w:val="24"/>
                <w:szCs w:val="24"/>
                <w:highlight w:val="none"/>
                <w:lang w:val="en-US" w:eastAsia="zh-CN" w:bidi="ar-SA"/>
                <w14:ligatures w14:val="standardContextual"/>
              </w:rPr>
            </w:pPr>
            <w:r>
              <w:rPr>
                <w:rFonts w:hint="eastAsia" w:ascii="宋体" w:hAnsi="宋体" w:eastAsia="宋体" w:cs="宋体"/>
                <w:bCs w:val="0"/>
                <w:color w:val="000000"/>
                <w:spacing w:val="0"/>
                <w:kern w:val="0"/>
                <w:sz w:val="24"/>
                <w:szCs w:val="24"/>
                <w:highlight w:val="none"/>
                <w:lang w:val="en-US" w:eastAsia="zh-CN" w:bidi="ar-SA"/>
                <w14:ligatures w14:val="standardContextual"/>
              </w:rPr>
              <w:t>6080</w:t>
            </w:r>
          </w:p>
        </w:tc>
      </w:tr>
      <w:tr w14:paraId="11AA0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74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CBC88B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Cs w:val="0"/>
                <w:color w:val="000000"/>
                <w:spacing w:val="0"/>
                <w:kern w:val="0"/>
                <w:sz w:val="24"/>
                <w:szCs w:val="24"/>
                <w:highlight w:val="none"/>
                <w:lang w:val="en-US" w:eastAsia="zh-CN" w:bidi="ar-SA"/>
                <w14:ligatures w14:val="standardContextual"/>
              </w:rPr>
            </w:pPr>
            <w:r>
              <w:rPr>
                <w:rFonts w:hint="eastAsia" w:ascii="宋体" w:hAnsi="宋体" w:eastAsia="宋体" w:cs="宋体"/>
                <w:bCs w:val="0"/>
                <w:color w:val="000000"/>
                <w:spacing w:val="0"/>
                <w:kern w:val="0"/>
                <w:sz w:val="24"/>
                <w:szCs w:val="24"/>
                <w:highlight w:val="none"/>
                <w:lang w:val="en-US" w:eastAsia="zh-CN" w:bidi="ar-SA"/>
                <w14:ligatures w14:val="standardContextual"/>
              </w:rPr>
              <w:t>打印手腕带[爱婴区专用]</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67AF4">
            <w:pPr>
              <w:widowControl/>
              <w:spacing w:line="240" w:lineRule="auto"/>
              <w:ind w:left="0" w:leftChars="0" w:firstLine="0" w:firstLineChars="0"/>
              <w:jc w:val="center"/>
              <w:textAlignment w:val="center"/>
              <w:rPr>
                <w:rFonts w:hint="eastAsia" w:ascii="宋体" w:hAnsi="宋体" w:eastAsia="宋体" w:cs="宋体"/>
                <w:bCs w:val="0"/>
                <w:color w:val="000000"/>
                <w:spacing w:val="0"/>
                <w:kern w:val="0"/>
                <w:sz w:val="24"/>
                <w:szCs w:val="24"/>
                <w:highlight w:val="none"/>
                <w:lang w:val="en-US" w:eastAsia="zh-CN" w:bidi="ar-SA"/>
                <w14:ligatures w14:val="standardContextual"/>
              </w:rPr>
            </w:pPr>
            <w:r>
              <w:rPr>
                <w:rFonts w:hint="eastAsia" w:ascii="宋体" w:hAnsi="宋体" w:eastAsia="宋体" w:cs="宋体"/>
                <w:bCs w:val="0"/>
                <w:color w:val="000000"/>
                <w:spacing w:val="0"/>
                <w:kern w:val="0"/>
                <w:sz w:val="24"/>
                <w:szCs w:val="24"/>
                <w:highlight w:val="none"/>
                <w:lang w:val="en-US" w:eastAsia="zh-CN" w:bidi="ar-SA"/>
                <w14:ligatures w14:val="standardContextual"/>
              </w:rPr>
              <w:t>15000</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EE91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Cs w:val="0"/>
                <w:color w:val="000000"/>
                <w:spacing w:val="0"/>
                <w:kern w:val="0"/>
                <w:sz w:val="24"/>
                <w:szCs w:val="24"/>
                <w:highlight w:val="none"/>
                <w:lang w:val="en-US" w:eastAsia="zh-CN" w:bidi="ar-SA"/>
                <w14:ligatures w14:val="standardContextual"/>
              </w:rPr>
            </w:pPr>
            <w:r>
              <w:rPr>
                <w:rFonts w:hint="eastAsia" w:ascii="宋体" w:hAnsi="宋体" w:eastAsia="宋体" w:cs="宋体"/>
                <w:bCs w:val="0"/>
                <w:color w:val="000000"/>
                <w:spacing w:val="0"/>
                <w:kern w:val="0"/>
                <w:sz w:val="24"/>
                <w:szCs w:val="24"/>
                <w:highlight w:val="none"/>
                <w:lang w:val="en-US" w:eastAsia="zh-CN" w:bidi="ar-SA"/>
                <w14:ligatures w14:val="standardContextual"/>
              </w:rPr>
              <w:t>条</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0077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Cs w:val="0"/>
                <w:color w:val="000000"/>
                <w:spacing w:val="0"/>
                <w:kern w:val="0"/>
                <w:sz w:val="24"/>
                <w:szCs w:val="24"/>
                <w:highlight w:val="none"/>
                <w:lang w:val="en-US" w:eastAsia="zh-CN" w:bidi="ar-SA"/>
                <w14:ligatures w14:val="standardContextual"/>
              </w:rPr>
            </w:pPr>
            <w:r>
              <w:rPr>
                <w:rFonts w:hint="eastAsia" w:ascii="宋体" w:hAnsi="宋体" w:eastAsia="宋体" w:cs="宋体"/>
                <w:bCs w:val="0"/>
                <w:color w:val="000000"/>
                <w:spacing w:val="0"/>
                <w:kern w:val="0"/>
                <w:sz w:val="24"/>
                <w:szCs w:val="24"/>
                <w:highlight w:val="none"/>
                <w:lang w:val="en-US" w:eastAsia="zh-CN" w:bidi="ar-SA"/>
                <w14:ligatures w14:val="standardContextual"/>
              </w:rPr>
              <w:t>0.38</w:t>
            </w:r>
          </w:p>
        </w:tc>
        <w:tc>
          <w:tcPr>
            <w:tcW w:w="1219"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5632632B">
            <w:pPr>
              <w:widowControl/>
              <w:spacing w:line="240" w:lineRule="auto"/>
              <w:ind w:left="0" w:leftChars="0" w:firstLine="0" w:firstLineChars="0"/>
              <w:jc w:val="center"/>
              <w:textAlignment w:val="center"/>
              <w:rPr>
                <w:rFonts w:hint="eastAsia" w:ascii="宋体" w:hAnsi="宋体" w:eastAsia="宋体" w:cs="宋体"/>
                <w:bCs w:val="0"/>
                <w:color w:val="000000"/>
                <w:spacing w:val="0"/>
                <w:kern w:val="0"/>
                <w:sz w:val="24"/>
                <w:szCs w:val="24"/>
                <w:highlight w:val="none"/>
                <w:lang w:val="en-US" w:eastAsia="zh-CN" w:bidi="ar-SA"/>
                <w14:ligatures w14:val="standardContextual"/>
              </w:rPr>
            </w:pPr>
            <w:r>
              <w:rPr>
                <w:rFonts w:hint="eastAsia" w:ascii="宋体" w:hAnsi="宋体" w:eastAsia="宋体" w:cs="宋体"/>
                <w:bCs w:val="0"/>
                <w:color w:val="000000"/>
                <w:spacing w:val="0"/>
                <w:kern w:val="0"/>
                <w:sz w:val="24"/>
                <w:szCs w:val="24"/>
                <w:highlight w:val="none"/>
                <w:lang w:val="en-US" w:eastAsia="zh-CN" w:bidi="ar-SA"/>
                <w14:ligatures w14:val="standardContextual"/>
              </w:rPr>
              <w:t>5700</w:t>
            </w:r>
          </w:p>
        </w:tc>
      </w:tr>
      <w:tr w14:paraId="513A2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74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C7D85F1">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Cs w:val="0"/>
                <w:color w:val="000000"/>
                <w:spacing w:val="0"/>
                <w:kern w:val="0"/>
                <w:sz w:val="24"/>
                <w:szCs w:val="24"/>
                <w:highlight w:val="none"/>
                <w:lang w:val="en-US" w:eastAsia="zh-CN" w:bidi="ar-SA"/>
                <w14:ligatures w14:val="standardContextual"/>
              </w:rPr>
            </w:pPr>
            <w:r>
              <w:rPr>
                <w:rFonts w:hint="eastAsia" w:ascii="宋体" w:hAnsi="宋体" w:eastAsia="宋体" w:cs="宋体"/>
                <w:bCs w:val="0"/>
                <w:color w:val="000000"/>
                <w:spacing w:val="0"/>
                <w:kern w:val="0"/>
                <w:sz w:val="24"/>
                <w:szCs w:val="24"/>
                <w:highlight w:val="none"/>
                <w:lang w:val="en-US" w:eastAsia="zh-CN" w:bidi="ar-SA"/>
                <w14:ligatures w14:val="standardContextual"/>
              </w:rPr>
              <w:t>打印手腕带[其他]</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5C322">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Cs w:val="0"/>
                <w:color w:val="000000"/>
                <w:spacing w:val="0"/>
                <w:kern w:val="0"/>
                <w:sz w:val="24"/>
                <w:szCs w:val="24"/>
                <w:highlight w:val="none"/>
                <w:lang w:val="en-US" w:eastAsia="zh-CN" w:bidi="ar-SA"/>
                <w14:ligatures w14:val="standardContextual"/>
              </w:rPr>
            </w:pPr>
            <w:r>
              <w:rPr>
                <w:rFonts w:hint="eastAsia" w:ascii="宋体" w:hAnsi="宋体" w:eastAsia="宋体" w:cs="宋体"/>
                <w:bCs w:val="0"/>
                <w:color w:val="000000"/>
                <w:spacing w:val="0"/>
                <w:kern w:val="0"/>
                <w:sz w:val="24"/>
                <w:szCs w:val="24"/>
                <w:highlight w:val="none"/>
                <w:lang w:val="en-US" w:eastAsia="zh-CN" w:bidi="ar-SA"/>
                <w14:ligatures w14:val="standardContextual"/>
              </w:rPr>
              <w:t>5600</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7F4C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Cs w:val="0"/>
                <w:color w:val="000000"/>
                <w:spacing w:val="0"/>
                <w:kern w:val="0"/>
                <w:sz w:val="24"/>
                <w:szCs w:val="24"/>
                <w:highlight w:val="none"/>
                <w:lang w:val="en-US" w:eastAsia="zh-CN" w:bidi="ar-SA"/>
                <w14:ligatures w14:val="standardContextual"/>
              </w:rPr>
            </w:pPr>
            <w:r>
              <w:rPr>
                <w:rFonts w:hint="eastAsia" w:ascii="宋体" w:hAnsi="宋体" w:eastAsia="宋体" w:cs="宋体"/>
                <w:bCs w:val="0"/>
                <w:color w:val="000000"/>
                <w:spacing w:val="0"/>
                <w:kern w:val="0"/>
                <w:sz w:val="24"/>
                <w:szCs w:val="24"/>
                <w:highlight w:val="none"/>
                <w:lang w:val="en-US" w:eastAsia="zh-CN" w:bidi="ar-SA"/>
                <w14:ligatures w14:val="standardContextual"/>
              </w:rPr>
              <w:t>条</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470F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Cs w:val="0"/>
                <w:color w:val="000000"/>
                <w:spacing w:val="0"/>
                <w:kern w:val="0"/>
                <w:sz w:val="24"/>
                <w:szCs w:val="24"/>
                <w:highlight w:val="none"/>
                <w:lang w:val="en-US" w:eastAsia="zh-CN" w:bidi="ar-SA"/>
                <w14:ligatures w14:val="standardContextual"/>
              </w:rPr>
            </w:pPr>
            <w:r>
              <w:rPr>
                <w:rFonts w:hint="eastAsia" w:ascii="宋体" w:hAnsi="宋体" w:eastAsia="宋体" w:cs="宋体"/>
                <w:bCs w:val="0"/>
                <w:color w:val="000000"/>
                <w:spacing w:val="0"/>
                <w:kern w:val="0"/>
                <w:sz w:val="24"/>
                <w:szCs w:val="24"/>
                <w:highlight w:val="none"/>
                <w:lang w:val="en-US" w:eastAsia="zh-CN" w:bidi="ar-SA"/>
                <w14:ligatures w14:val="standardContextual"/>
              </w:rPr>
              <w:t>0.38</w:t>
            </w:r>
          </w:p>
        </w:tc>
        <w:tc>
          <w:tcPr>
            <w:tcW w:w="1219"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6542C7BE">
            <w:pPr>
              <w:widowControl/>
              <w:spacing w:line="240" w:lineRule="auto"/>
              <w:ind w:left="0" w:leftChars="0" w:firstLine="0" w:firstLineChars="0"/>
              <w:jc w:val="center"/>
              <w:textAlignment w:val="center"/>
              <w:rPr>
                <w:rFonts w:hint="eastAsia" w:ascii="宋体" w:hAnsi="宋体" w:eastAsia="宋体" w:cs="宋体"/>
                <w:bCs w:val="0"/>
                <w:color w:val="000000"/>
                <w:spacing w:val="0"/>
                <w:kern w:val="0"/>
                <w:sz w:val="24"/>
                <w:szCs w:val="24"/>
                <w:highlight w:val="none"/>
                <w:lang w:val="en-US" w:eastAsia="zh-CN" w:bidi="ar-SA"/>
                <w14:ligatures w14:val="standardContextual"/>
              </w:rPr>
            </w:pPr>
            <w:r>
              <w:rPr>
                <w:rFonts w:hint="eastAsia" w:ascii="宋体" w:hAnsi="宋体" w:eastAsia="宋体" w:cs="宋体"/>
                <w:bCs w:val="0"/>
                <w:color w:val="000000"/>
                <w:spacing w:val="0"/>
                <w:kern w:val="0"/>
                <w:sz w:val="24"/>
                <w:szCs w:val="24"/>
                <w:highlight w:val="none"/>
                <w:lang w:val="en-US" w:eastAsia="zh-CN" w:bidi="ar-SA"/>
                <w14:ligatures w14:val="standardContextual"/>
              </w:rPr>
              <w:t>2128</w:t>
            </w:r>
          </w:p>
        </w:tc>
      </w:tr>
      <w:tr w14:paraId="19562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74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C369D7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Cs w:val="0"/>
                <w:color w:val="000000"/>
                <w:spacing w:val="0"/>
                <w:kern w:val="0"/>
                <w:sz w:val="24"/>
                <w:szCs w:val="24"/>
                <w:highlight w:val="none"/>
                <w:lang w:val="en-US" w:eastAsia="zh-CN" w:bidi="ar-SA"/>
                <w14:ligatures w14:val="standardContextual"/>
              </w:rPr>
            </w:pPr>
            <w:r>
              <w:rPr>
                <w:rFonts w:hint="eastAsia" w:ascii="宋体" w:hAnsi="宋体" w:eastAsia="宋体" w:cs="宋体"/>
                <w:bCs w:val="0"/>
                <w:color w:val="000000"/>
                <w:spacing w:val="0"/>
                <w:kern w:val="0"/>
                <w:sz w:val="24"/>
                <w:szCs w:val="24"/>
                <w:highlight w:val="none"/>
                <w:lang w:val="en-US" w:eastAsia="zh-CN" w:bidi="ar-SA"/>
                <w14:ligatures w14:val="standardContextual"/>
              </w:rPr>
              <w:t>手写识别带[陪护专用]</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8CEF0">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Cs w:val="0"/>
                <w:color w:val="000000"/>
                <w:spacing w:val="0"/>
                <w:kern w:val="0"/>
                <w:sz w:val="24"/>
                <w:szCs w:val="24"/>
                <w:highlight w:val="none"/>
                <w:lang w:val="en-US" w:eastAsia="zh-CN" w:bidi="ar-SA"/>
                <w14:ligatures w14:val="standardContextual"/>
              </w:rPr>
            </w:pPr>
            <w:r>
              <w:rPr>
                <w:rFonts w:hint="eastAsia" w:ascii="宋体" w:hAnsi="宋体" w:eastAsia="宋体" w:cs="宋体"/>
                <w:bCs w:val="0"/>
                <w:color w:val="000000"/>
                <w:spacing w:val="0"/>
                <w:kern w:val="0"/>
                <w:sz w:val="24"/>
                <w:szCs w:val="24"/>
                <w:highlight w:val="none"/>
                <w:lang w:val="en-US" w:eastAsia="zh-CN" w:bidi="ar-SA"/>
                <w14:ligatures w14:val="standardContextual"/>
              </w:rPr>
              <w:t>2000</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AE86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Cs w:val="0"/>
                <w:color w:val="000000"/>
                <w:spacing w:val="0"/>
                <w:kern w:val="0"/>
                <w:sz w:val="24"/>
                <w:szCs w:val="24"/>
                <w:highlight w:val="none"/>
                <w:lang w:val="en-US" w:eastAsia="zh-CN" w:bidi="ar-SA"/>
                <w14:ligatures w14:val="standardContextual"/>
              </w:rPr>
            </w:pPr>
            <w:r>
              <w:rPr>
                <w:rFonts w:hint="eastAsia" w:ascii="宋体" w:hAnsi="宋体" w:eastAsia="宋体" w:cs="宋体"/>
                <w:bCs w:val="0"/>
                <w:color w:val="000000"/>
                <w:spacing w:val="0"/>
                <w:kern w:val="0"/>
                <w:sz w:val="24"/>
                <w:szCs w:val="24"/>
                <w:highlight w:val="none"/>
                <w:lang w:val="en-US" w:eastAsia="zh-CN" w:bidi="ar-SA"/>
                <w14:ligatures w14:val="standardContextual"/>
              </w:rPr>
              <w:t>条</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4FCD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Cs w:val="0"/>
                <w:color w:val="000000"/>
                <w:spacing w:val="0"/>
                <w:kern w:val="0"/>
                <w:sz w:val="24"/>
                <w:szCs w:val="24"/>
                <w:highlight w:val="none"/>
                <w:lang w:val="en-US" w:eastAsia="zh-CN" w:bidi="ar-SA"/>
                <w14:ligatures w14:val="standardContextual"/>
              </w:rPr>
            </w:pPr>
            <w:r>
              <w:rPr>
                <w:rFonts w:hint="eastAsia" w:ascii="宋体" w:hAnsi="宋体" w:eastAsia="宋体" w:cs="宋体"/>
                <w:bCs w:val="0"/>
                <w:color w:val="000000"/>
                <w:spacing w:val="0"/>
                <w:kern w:val="0"/>
                <w:sz w:val="24"/>
                <w:szCs w:val="24"/>
                <w:highlight w:val="none"/>
                <w:lang w:val="en-US" w:eastAsia="zh-CN" w:bidi="ar-SA"/>
                <w14:ligatures w14:val="standardContextual"/>
              </w:rPr>
              <w:t>0.28</w:t>
            </w:r>
          </w:p>
        </w:tc>
        <w:tc>
          <w:tcPr>
            <w:tcW w:w="1219"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FBCB50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Cs w:val="0"/>
                <w:color w:val="000000"/>
                <w:spacing w:val="0"/>
                <w:kern w:val="0"/>
                <w:sz w:val="24"/>
                <w:szCs w:val="24"/>
                <w:highlight w:val="none"/>
                <w:lang w:val="en-US" w:eastAsia="zh-CN" w:bidi="ar-SA"/>
                <w14:ligatures w14:val="standardContextual"/>
              </w:rPr>
            </w:pPr>
            <w:r>
              <w:rPr>
                <w:rFonts w:hint="eastAsia" w:ascii="宋体" w:hAnsi="宋体" w:eastAsia="宋体" w:cs="宋体"/>
                <w:bCs w:val="0"/>
                <w:color w:val="000000"/>
                <w:spacing w:val="0"/>
                <w:kern w:val="0"/>
                <w:sz w:val="24"/>
                <w:szCs w:val="24"/>
                <w:highlight w:val="none"/>
                <w:lang w:val="en-US" w:eastAsia="zh-CN" w:bidi="ar-SA"/>
                <w14:ligatures w14:val="standardContextual"/>
              </w:rPr>
              <w:t>560</w:t>
            </w:r>
          </w:p>
        </w:tc>
      </w:tr>
      <w:tr w14:paraId="6A03D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74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66CD92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Cs w:val="0"/>
                <w:color w:val="000000"/>
                <w:spacing w:val="0"/>
                <w:kern w:val="0"/>
                <w:sz w:val="24"/>
                <w:szCs w:val="24"/>
                <w:highlight w:val="none"/>
                <w:lang w:val="en-US" w:eastAsia="zh-CN" w:bidi="ar-SA"/>
                <w14:ligatures w14:val="standardContextual"/>
              </w:rPr>
            </w:pPr>
            <w:r>
              <w:rPr>
                <w:rFonts w:hint="eastAsia" w:ascii="宋体" w:hAnsi="宋体" w:eastAsia="宋体" w:cs="宋体"/>
                <w:bCs w:val="0"/>
                <w:color w:val="000000"/>
                <w:spacing w:val="0"/>
                <w:kern w:val="0"/>
                <w:sz w:val="24"/>
                <w:szCs w:val="24"/>
                <w:highlight w:val="none"/>
                <w:lang w:val="en-US" w:eastAsia="zh-CN" w:bidi="ar-SA"/>
                <w14:ligatures w14:val="standardContextual"/>
              </w:rPr>
              <w:t>手写识别带[女成人]</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1599F">
            <w:pPr>
              <w:widowControl/>
              <w:spacing w:line="240" w:lineRule="auto"/>
              <w:ind w:left="0" w:leftChars="0" w:firstLine="0" w:firstLineChars="0"/>
              <w:jc w:val="center"/>
              <w:textAlignment w:val="center"/>
              <w:rPr>
                <w:rFonts w:hint="eastAsia" w:ascii="宋体" w:hAnsi="宋体" w:eastAsia="宋体" w:cs="宋体"/>
                <w:bCs w:val="0"/>
                <w:color w:val="000000"/>
                <w:spacing w:val="0"/>
                <w:kern w:val="0"/>
                <w:sz w:val="24"/>
                <w:szCs w:val="24"/>
                <w:highlight w:val="none"/>
                <w:lang w:val="en-US" w:eastAsia="zh-CN" w:bidi="ar-SA"/>
                <w14:ligatures w14:val="standardContextual"/>
              </w:rPr>
            </w:pPr>
            <w:r>
              <w:rPr>
                <w:rFonts w:hint="eastAsia" w:ascii="宋体" w:hAnsi="宋体" w:eastAsia="宋体" w:cs="宋体"/>
                <w:bCs w:val="0"/>
                <w:color w:val="000000"/>
                <w:spacing w:val="0"/>
                <w:kern w:val="0"/>
                <w:sz w:val="24"/>
                <w:szCs w:val="24"/>
                <w:highlight w:val="none"/>
                <w:lang w:val="en-US" w:eastAsia="zh-CN" w:bidi="ar-SA"/>
                <w14:ligatures w14:val="standardContextual"/>
              </w:rPr>
              <w:t>4000</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03B01">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Cs w:val="0"/>
                <w:color w:val="000000"/>
                <w:spacing w:val="0"/>
                <w:kern w:val="0"/>
                <w:sz w:val="24"/>
                <w:szCs w:val="24"/>
                <w:highlight w:val="none"/>
                <w:lang w:val="en-US" w:eastAsia="zh-CN" w:bidi="ar-SA"/>
                <w14:ligatures w14:val="standardContextual"/>
              </w:rPr>
            </w:pPr>
            <w:r>
              <w:rPr>
                <w:rFonts w:hint="eastAsia" w:ascii="宋体" w:hAnsi="宋体" w:eastAsia="宋体" w:cs="宋体"/>
                <w:bCs w:val="0"/>
                <w:color w:val="000000"/>
                <w:spacing w:val="0"/>
                <w:kern w:val="0"/>
                <w:sz w:val="24"/>
                <w:szCs w:val="24"/>
                <w:highlight w:val="none"/>
                <w:lang w:val="en-US" w:eastAsia="zh-CN" w:bidi="ar-SA"/>
                <w14:ligatures w14:val="standardContextual"/>
              </w:rPr>
              <w:t>条</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B6EF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Cs w:val="0"/>
                <w:color w:val="000000"/>
                <w:spacing w:val="0"/>
                <w:kern w:val="0"/>
                <w:sz w:val="24"/>
                <w:szCs w:val="24"/>
                <w:highlight w:val="none"/>
                <w:lang w:val="en-US" w:eastAsia="zh-CN" w:bidi="ar-SA"/>
                <w14:ligatures w14:val="standardContextual"/>
              </w:rPr>
            </w:pPr>
            <w:r>
              <w:rPr>
                <w:rFonts w:hint="eastAsia" w:ascii="宋体" w:hAnsi="宋体" w:eastAsia="宋体" w:cs="宋体"/>
                <w:bCs w:val="0"/>
                <w:color w:val="000000"/>
                <w:spacing w:val="0"/>
                <w:kern w:val="0"/>
                <w:sz w:val="24"/>
                <w:szCs w:val="24"/>
                <w:highlight w:val="none"/>
                <w:lang w:val="en-US" w:eastAsia="zh-CN" w:bidi="ar-SA"/>
                <w14:ligatures w14:val="standardContextual"/>
              </w:rPr>
              <w:t>0.28</w:t>
            </w:r>
          </w:p>
        </w:tc>
        <w:tc>
          <w:tcPr>
            <w:tcW w:w="1219"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47D5FBB8">
            <w:pPr>
              <w:widowControl/>
              <w:spacing w:line="240" w:lineRule="auto"/>
              <w:ind w:left="0" w:leftChars="0" w:firstLine="0" w:firstLineChars="0"/>
              <w:jc w:val="center"/>
              <w:textAlignment w:val="center"/>
              <w:rPr>
                <w:rFonts w:hint="eastAsia" w:ascii="宋体" w:hAnsi="宋体" w:eastAsia="宋体" w:cs="宋体"/>
                <w:bCs w:val="0"/>
                <w:color w:val="000000"/>
                <w:spacing w:val="0"/>
                <w:kern w:val="0"/>
                <w:sz w:val="24"/>
                <w:szCs w:val="24"/>
                <w:highlight w:val="none"/>
                <w:lang w:val="en-US" w:eastAsia="zh-CN" w:bidi="ar-SA"/>
                <w14:ligatures w14:val="standardContextual"/>
              </w:rPr>
            </w:pPr>
            <w:r>
              <w:rPr>
                <w:rFonts w:hint="eastAsia" w:ascii="宋体" w:hAnsi="宋体" w:eastAsia="宋体" w:cs="宋体"/>
                <w:bCs w:val="0"/>
                <w:color w:val="000000"/>
                <w:spacing w:val="0"/>
                <w:kern w:val="0"/>
                <w:sz w:val="24"/>
                <w:szCs w:val="24"/>
                <w:highlight w:val="none"/>
                <w:lang w:val="en-US" w:eastAsia="zh-CN" w:bidi="ar-SA"/>
                <w14:ligatures w14:val="standardContextual"/>
              </w:rPr>
              <w:t>1120</w:t>
            </w:r>
          </w:p>
        </w:tc>
      </w:tr>
      <w:tr w14:paraId="2B539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4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148230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Cs w:val="0"/>
                <w:color w:val="000000"/>
                <w:spacing w:val="0"/>
                <w:kern w:val="0"/>
                <w:sz w:val="24"/>
                <w:szCs w:val="24"/>
                <w:highlight w:val="none"/>
                <w:lang w:val="en-US" w:eastAsia="zh-CN" w:bidi="ar-SA"/>
                <w14:ligatures w14:val="standardContextual"/>
              </w:rPr>
            </w:pPr>
            <w:r>
              <w:rPr>
                <w:rFonts w:hint="eastAsia" w:ascii="宋体" w:hAnsi="宋体" w:eastAsia="宋体" w:cs="宋体"/>
                <w:bCs w:val="0"/>
                <w:color w:val="000000"/>
                <w:spacing w:val="0"/>
                <w:kern w:val="0"/>
                <w:sz w:val="24"/>
                <w:szCs w:val="24"/>
                <w:highlight w:val="none"/>
                <w:lang w:val="en-US" w:eastAsia="zh-CN" w:bidi="ar-SA"/>
                <w14:ligatures w14:val="standardContextual"/>
              </w:rPr>
              <w:t>条码腕带打印机</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EB4B0">
            <w:pPr>
              <w:widowControl/>
              <w:spacing w:line="240" w:lineRule="auto"/>
              <w:ind w:left="0" w:leftChars="0" w:firstLine="0" w:firstLineChars="0"/>
              <w:jc w:val="center"/>
              <w:textAlignment w:val="center"/>
              <w:rPr>
                <w:rFonts w:hint="default" w:ascii="宋体" w:hAnsi="宋体" w:eastAsia="宋体" w:cs="宋体"/>
                <w:bCs w:val="0"/>
                <w:color w:val="000000"/>
                <w:spacing w:val="0"/>
                <w:kern w:val="0"/>
                <w:sz w:val="24"/>
                <w:szCs w:val="24"/>
                <w:highlight w:val="none"/>
                <w:lang w:val="en-US" w:eastAsia="zh-CN" w:bidi="ar-SA"/>
                <w14:ligatures w14:val="standardContextual"/>
              </w:rPr>
            </w:pPr>
            <w:r>
              <w:rPr>
                <w:rFonts w:hint="default" w:ascii="宋体" w:hAnsi="宋体" w:eastAsia="宋体" w:cs="宋体"/>
                <w:bCs w:val="0"/>
                <w:color w:val="000000"/>
                <w:spacing w:val="0"/>
                <w:kern w:val="0"/>
                <w:sz w:val="24"/>
                <w:szCs w:val="24"/>
                <w:highlight w:val="none"/>
                <w:lang w:val="en-US" w:eastAsia="zh-CN" w:bidi="ar-SA"/>
                <w14:ligatures w14:val="standardContextual"/>
              </w:rPr>
              <w:t>须与采购人日常使用的HIS系统无缝衔接</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DA6F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Cs w:val="0"/>
                <w:color w:val="000000"/>
                <w:spacing w:val="0"/>
                <w:kern w:val="0"/>
                <w:sz w:val="24"/>
                <w:szCs w:val="24"/>
                <w:highlight w:val="none"/>
                <w:lang w:val="en-US" w:eastAsia="zh-CN" w:bidi="ar-SA"/>
                <w14:ligatures w14:val="standardContextual"/>
              </w:rPr>
            </w:pPr>
            <w:r>
              <w:rPr>
                <w:rFonts w:hint="eastAsia" w:ascii="宋体" w:hAnsi="宋体" w:eastAsia="宋体" w:cs="宋体"/>
                <w:bCs w:val="0"/>
                <w:color w:val="000000"/>
                <w:spacing w:val="0"/>
                <w:kern w:val="0"/>
                <w:sz w:val="24"/>
                <w:szCs w:val="24"/>
                <w:highlight w:val="none"/>
                <w:lang w:val="en-US" w:eastAsia="zh-CN" w:bidi="ar-SA"/>
                <w14:ligatures w14:val="standardContextual"/>
              </w:rPr>
              <w:t>台</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A295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Cs w:val="0"/>
                <w:color w:val="000000"/>
                <w:spacing w:val="0"/>
                <w:kern w:val="0"/>
                <w:sz w:val="24"/>
                <w:szCs w:val="24"/>
                <w:highlight w:val="none"/>
                <w:lang w:val="en-US" w:eastAsia="zh-CN" w:bidi="ar-SA"/>
                <w14:ligatures w14:val="standardContextual"/>
              </w:rPr>
            </w:pPr>
            <w:r>
              <w:rPr>
                <w:rFonts w:hint="eastAsia" w:ascii="宋体" w:hAnsi="宋体" w:eastAsia="宋体" w:cs="宋体"/>
                <w:bCs w:val="0"/>
                <w:color w:val="000000"/>
                <w:spacing w:val="0"/>
                <w:kern w:val="0"/>
                <w:sz w:val="24"/>
                <w:szCs w:val="24"/>
                <w:highlight w:val="none"/>
                <w:lang w:val="en-US" w:eastAsia="zh-CN" w:bidi="ar-SA"/>
                <w14:ligatures w14:val="standardContextual"/>
              </w:rPr>
              <w:t>0</w:t>
            </w:r>
          </w:p>
        </w:tc>
        <w:tc>
          <w:tcPr>
            <w:tcW w:w="1219"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4BBCCBE5">
            <w:pPr>
              <w:widowControl/>
              <w:spacing w:line="240" w:lineRule="auto"/>
              <w:ind w:left="0" w:leftChars="0" w:firstLine="0" w:firstLineChars="0"/>
              <w:jc w:val="center"/>
              <w:textAlignment w:val="center"/>
              <w:rPr>
                <w:rFonts w:hint="eastAsia" w:ascii="宋体" w:hAnsi="宋体" w:eastAsia="宋体" w:cs="宋体"/>
                <w:bCs w:val="0"/>
                <w:color w:val="000000"/>
                <w:spacing w:val="0"/>
                <w:kern w:val="0"/>
                <w:sz w:val="24"/>
                <w:szCs w:val="24"/>
                <w:highlight w:val="none"/>
                <w:lang w:val="en-US" w:eastAsia="zh-CN" w:bidi="ar-SA"/>
                <w14:ligatures w14:val="standardContextual"/>
              </w:rPr>
            </w:pPr>
            <w:r>
              <w:rPr>
                <w:rFonts w:hint="eastAsia" w:ascii="宋体" w:hAnsi="宋体" w:eastAsia="宋体" w:cs="宋体"/>
                <w:bCs w:val="0"/>
                <w:color w:val="000000"/>
                <w:spacing w:val="0"/>
                <w:kern w:val="0"/>
                <w:sz w:val="24"/>
                <w:szCs w:val="24"/>
                <w:highlight w:val="none"/>
                <w:lang w:val="en-US" w:eastAsia="zh-CN" w:bidi="ar-SA"/>
                <w14:ligatures w14:val="standardContextual"/>
              </w:rPr>
              <w:t>0</w:t>
            </w:r>
          </w:p>
        </w:tc>
      </w:tr>
      <w:tr w14:paraId="4AEF3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274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38D69F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Cs w:val="0"/>
                <w:color w:val="000000"/>
                <w:spacing w:val="0"/>
                <w:kern w:val="0"/>
                <w:sz w:val="24"/>
                <w:szCs w:val="24"/>
                <w:highlight w:val="none"/>
                <w:lang w:val="en-US" w:eastAsia="zh-CN" w:bidi="ar-SA"/>
                <w14:ligatures w14:val="standardContextual"/>
              </w:rPr>
            </w:pPr>
            <w:r>
              <w:rPr>
                <w:rFonts w:hint="eastAsia" w:ascii="宋体" w:hAnsi="宋体" w:eastAsia="宋体" w:cs="宋体"/>
                <w:bCs w:val="0"/>
                <w:color w:val="000000"/>
                <w:spacing w:val="0"/>
                <w:kern w:val="0"/>
                <w:sz w:val="24"/>
                <w:szCs w:val="24"/>
                <w:highlight w:val="none"/>
                <w:lang w:val="en-US" w:eastAsia="zh-CN" w:bidi="ar-SA"/>
                <w14:ligatures w14:val="standardContextual"/>
              </w:rPr>
              <w:t>合计</w:t>
            </w:r>
          </w:p>
        </w:tc>
        <w:tc>
          <w:tcPr>
            <w:tcW w:w="15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2828352">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Cs w:val="0"/>
                <w:color w:val="000000"/>
                <w:spacing w:val="0"/>
                <w:kern w:val="0"/>
                <w:sz w:val="24"/>
                <w:szCs w:val="24"/>
                <w:highlight w:val="none"/>
                <w:lang w:val="en-US" w:eastAsia="zh-CN" w:bidi="ar-SA"/>
                <w14:ligatures w14:val="standardContextual"/>
              </w:rPr>
            </w:pPr>
            <w:r>
              <w:rPr>
                <w:rFonts w:hint="eastAsia" w:ascii="宋体" w:hAnsi="宋体" w:eastAsia="宋体" w:cs="宋体"/>
                <w:bCs w:val="0"/>
                <w:color w:val="000000"/>
                <w:spacing w:val="0"/>
                <w:kern w:val="0"/>
                <w:sz w:val="24"/>
                <w:szCs w:val="24"/>
                <w:highlight w:val="none"/>
                <w:lang w:val="en-US" w:eastAsia="zh-CN" w:bidi="ar-SA"/>
                <w14:ligatures w14:val="standardContextual"/>
              </w:rPr>
              <w:t>355600</w:t>
            </w:r>
          </w:p>
        </w:tc>
        <w:tc>
          <w:tcPr>
            <w:tcW w:w="109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1041491">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Cs w:val="0"/>
                <w:color w:val="000000"/>
                <w:spacing w:val="0"/>
                <w:kern w:val="0"/>
                <w:sz w:val="24"/>
                <w:szCs w:val="24"/>
                <w:highlight w:val="none"/>
                <w:lang w:val="en-US" w:eastAsia="zh-CN" w:bidi="ar-SA"/>
                <w14:ligatures w14:val="standardContextual"/>
              </w:rPr>
            </w:pPr>
            <w:r>
              <w:rPr>
                <w:rFonts w:hint="eastAsia" w:ascii="宋体" w:hAnsi="宋体" w:eastAsia="宋体" w:cs="宋体"/>
                <w:bCs w:val="0"/>
                <w:color w:val="000000"/>
                <w:spacing w:val="0"/>
                <w:kern w:val="0"/>
                <w:sz w:val="24"/>
                <w:szCs w:val="24"/>
                <w:highlight w:val="none"/>
                <w:lang w:val="en-US" w:eastAsia="zh-CN" w:bidi="ar-SA"/>
                <w14:ligatures w14:val="standardContextual"/>
              </w:rPr>
              <w:t>条</w:t>
            </w:r>
          </w:p>
        </w:tc>
        <w:tc>
          <w:tcPr>
            <w:tcW w:w="160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003D122">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Cs w:val="0"/>
                <w:color w:val="000000"/>
                <w:spacing w:val="0"/>
                <w:kern w:val="0"/>
                <w:sz w:val="24"/>
                <w:szCs w:val="24"/>
                <w:highlight w:val="none"/>
                <w:lang w:val="en-US" w:eastAsia="zh-CN" w:bidi="ar-SA"/>
                <w14:ligatures w14:val="standardContextual"/>
              </w:rPr>
            </w:pPr>
          </w:p>
        </w:tc>
        <w:tc>
          <w:tcPr>
            <w:tcW w:w="121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22EC73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Cs w:val="0"/>
                <w:color w:val="000000"/>
                <w:spacing w:val="0"/>
                <w:kern w:val="0"/>
                <w:sz w:val="24"/>
                <w:szCs w:val="24"/>
                <w:highlight w:val="none"/>
                <w:lang w:val="en-US" w:eastAsia="zh-CN" w:bidi="ar-SA"/>
                <w14:ligatures w14:val="standardContextual"/>
              </w:rPr>
            </w:pPr>
            <w:r>
              <w:rPr>
                <w:rFonts w:hint="eastAsia" w:ascii="宋体" w:hAnsi="宋体" w:eastAsia="宋体" w:cs="宋体"/>
                <w:bCs w:val="0"/>
                <w:color w:val="000000"/>
                <w:spacing w:val="0"/>
                <w:kern w:val="0"/>
                <w:sz w:val="24"/>
                <w:szCs w:val="24"/>
                <w:highlight w:val="none"/>
                <w:lang w:val="en-US" w:eastAsia="zh-CN" w:bidi="ar-SA"/>
                <w14:ligatures w14:val="standardContextual"/>
              </w:rPr>
              <w:t>134528</w:t>
            </w:r>
          </w:p>
        </w:tc>
      </w:tr>
    </w:tbl>
    <w:p w14:paraId="6544B4AE">
      <w:pPr>
        <w:bidi w:val="0"/>
        <w:rPr>
          <w:rFonts w:hint="eastAsia"/>
        </w:rPr>
      </w:pPr>
      <w:r>
        <w:rPr>
          <w:rFonts w:hint="eastAsia"/>
          <w:lang w:val="en-US" w:eastAsia="zh-CN"/>
        </w:rPr>
        <w:t>备注：数量均为1年预估采购量，清单品种及数量仅供参考，实际供货品种及数量以采购人每次提供的订单为准。</w:t>
      </w:r>
    </w:p>
    <w:p w14:paraId="5E40D2A9">
      <w:pPr>
        <w:pStyle w:val="5"/>
        <w:spacing w:line="240" w:lineRule="auto"/>
        <w:rPr>
          <w:rFonts w:hint="eastAsia" w:ascii="仿宋_GB2312" w:hAnsi="仿宋_GB2312" w:eastAsia="仿宋_GB2312" w:cs="仿宋_GB2312"/>
          <w:bCs w:val="0"/>
          <w:color w:val="000000"/>
          <w:sz w:val="28"/>
          <w:szCs w:val="32"/>
          <w:highlight w:val="none"/>
        </w:rPr>
      </w:pPr>
    </w:p>
    <w:p w14:paraId="34029212">
      <w:pPr>
        <w:pStyle w:val="2"/>
        <w:bidi w:val="0"/>
        <w:rPr>
          <w:rFonts w:hint="eastAsia"/>
        </w:rPr>
      </w:pPr>
      <w:r>
        <w:rPr>
          <w:rFonts w:hint="eastAsia"/>
        </w:rPr>
        <w:t>三、技术服务要求</w:t>
      </w:r>
    </w:p>
    <w:p w14:paraId="197AF7D2">
      <w:pPr>
        <w:pStyle w:val="4"/>
        <w:bidi w:val="0"/>
        <w:rPr>
          <w:rFonts w:hint="eastAsia"/>
          <w:b/>
          <w:bCs/>
        </w:rPr>
      </w:pPr>
      <w:r>
        <w:rPr>
          <w:rFonts w:hint="eastAsia"/>
          <w:b/>
          <w:bCs/>
        </w:rPr>
        <w:t>（一）总体要求</w:t>
      </w:r>
    </w:p>
    <w:p w14:paraId="4870C9B2">
      <w:pPr>
        <w:bidi w:val="0"/>
        <w:rPr>
          <w:rFonts w:hint="eastAsia"/>
        </w:rPr>
      </w:pPr>
      <w:r>
        <w:rPr>
          <w:rFonts w:hint="eastAsia"/>
        </w:rPr>
        <w:t>★1.配送时间：中标人根据采购人使用部门所需品种及数量实行各院区每周定期1次配送工作，必要时根据采购人各使用部门需求不定时、不定量进行配送，遇节假日由双方另行协商。如需紧急配送，必须在3小时内响应并送货。</w:t>
      </w:r>
    </w:p>
    <w:p w14:paraId="7147E638">
      <w:pPr>
        <w:bidi w:val="0"/>
        <w:rPr>
          <w:rFonts w:hint="eastAsia"/>
        </w:rPr>
      </w:pPr>
      <w:r>
        <w:rPr>
          <w:rFonts w:hint="eastAsia"/>
        </w:rPr>
        <w:t>★2.如</w:t>
      </w:r>
      <w:r>
        <w:rPr>
          <w:rFonts w:hint="eastAsia"/>
          <w:lang w:eastAsia="zh-CN"/>
        </w:rPr>
        <w:t>响应人</w:t>
      </w:r>
      <w:r>
        <w:rPr>
          <w:rFonts w:hint="eastAsia"/>
        </w:rPr>
        <w:t>不是所投产品的制造商，须承诺在中标后、签订采购合同前，提供产品制造商(或其代理商)的授权销售证明，以明确货源的合法性，同时保障供货稳定性。如中标人未能对非自产产品提供授权文件，将被视为虚假响应情形，中标无效。采购人将依法报告相关财政部门，且采购人有权追讨因此发生的一切损失。</w:t>
      </w:r>
    </w:p>
    <w:p w14:paraId="12BA3064">
      <w:pPr>
        <w:bidi w:val="0"/>
        <w:rPr>
          <w:rFonts w:hint="eastAsia" w:ascii="仿宋_GB2312" w:hAnsi="仿宋_GB2312" w:eastAsia="仿宋_GB2312" w:cs="仿宋_GB2312"/>
          <w:bCs w:val="0"/>
          <w:color w:val="000000"/>
          <w:sz w:val="28"/>
          <w:szCs w:val="32"/>
          <w:highlight w:val="none"/>
          <w:lang w:val="en-US" w:eastAsia="zh-CN"/>
        </w:rPr>
      </w:pPr>
      <w:r>
        <w:rPr>
          <w:rFonts w:hint="eastAsia"/>
        </w:rPr>
        <w:t>★3.</w:t>
      </w:r>
      <w:r>
        <w:rPr>
          <w:rFonts w:hint="eastAsia"/>
          <w:lang w:eastAsia="zh-CN"/>
        </w:rPr>
        <w:t>响应人</w:t>
      </w:r>
      <w:r>
        <w:rPr>
          <w:rFonts w:hint="eastAsia"/>
        </w:rPr>
        <w:t>在提供货物时，须配套提供</w:t>
      </w:r>
      <w:r>
        <w:rPr>
          <w:rFonts w:hint="eastAsia"/>
          <w:lang w:val="en-US" w:eastAsia="zh-CN"/>
        </w:rPr>
        <w:t>手腕带打印机</w:t>
      </w:r>
      <w:r>
        <w:rPr>
          <w:rFonts w:hint="eastAsia"/>
        </w:rPr>
        <w:t>供采购人使用。</w:t>
      </w:r>
      <w:r>
        <w:rPr>
          <w:rFonts w:hint="eastAsia"/>
          <w:lang w:val="en-US" w:eastAsia="zh-CN"/>
        </w:rPr>
        <w:t>响应人配套的</w:t>
      </w:r>
      <w:r>
        <w:rPr>
          <w:rFonts w:hint="eastAsia"/>
        </w:rPr>
        <w:t>手腕带打印机须与采购人</w:t>
      </w:r>
      <w:r>
        <w:rPr>
          <w:rFonts w:hint="eastAsia"/>
          <w:lang w:val="en-US" w:eastAsia="zh-CN"/>
        </w:rPr>
        <w:t>日常使用的</w:t>
      </w:r>
      <w:r>
        <w:rPr>
          <w:rFonts w:hint="eastAsia"/>
        </w:rPr>
        <w:t>HIS系统无缝衔接</w:t>
      </w:r>
      <w:r>
        <w:rPr>
          <w:rFonts w:hint="eastAsia"/>
          <w:lang w:eastAsia="zh-CN"/>
        </w:rPr>
        <w:t>。</w:t>
      </w:r>
      <w:r>
        <w:rPr>
          <w:rFonts w:hint="eastAsia"/>
        </w:rPr>
        <w:t>若在供货时发现无法匹配，</w:t>
      </w:r>
      <w:r>
        <w:rPr>
          <w:rFonts w:hint="eastAsia"/>
          <w:lang w:eastAsia="zh-CN"/>
        </w:rPr>
        <w:t>响应人</w:t>
      </w:r>
      <w:r>
        <w:rPr>
          <w:rFonts w:hint="eastAsia"/>
        </w:rPr>
        <w:t>应无条件更换同等质量的产品，否则采购人有权解除合同。以上内容均已包含在投标报价中。（此项</w:t>
      </w:r>
      <w:r>
        <w:rPr>
          <w:rFonts w:hint="eastAsia"/>
          <w:lang w:eastAsia="zh-CN"/>
        </w:rPr>
        <w:t>响应人</w:t>
      </w:r>
      <w:r>
        <w:rPr>
          <w:rFonts w:hint="eastAsia"/>
        </w:rPr>
        <w:t>须在</w:t>
      </w:r>
      <w:r>
        <w:rPr>
          <w:rFonts w:hint="eastAsia"/>
          <w:lang w:eastAsia="zh-CN"/>
        </w:rPr>
        <w:t>响应文件</w:t>
      </w:r>
      <w:r>
        <w:rPr>
          <w:rFonts w:hint="eastAsia"/>
        </w:rPr>
        <w:t>中提供承诺函，并加盖</w:t>
      </w:r>
      <w:r>
        <w:rPr>
          <w:rFonts w:hint="eastAsia"/>
          <w:lang w:eastAsia="zh-CN"/>
        </w:rPr>
        <w:t>响应人</w:t>
      </w:r>
      <w:r>
        <w:rPr>
          <w:rFonts w:hint="eastAsia"/>
        </w:rPr>
        <w:t>公章，承诺函格式自拟。）</w:t>
      </w:r>
    </w:p>
    <w:p w14:paraId="5B342189">
      <w:pPr>
        <w:pStyle w:val="4"/>
        <w:numPr>
          <w:ilvl w:val="0"/>
          <w:numId w:val="2"/>
        </w:numPr>
        <w:bidi w:val="0"/>
        <w:rPr>
          <w:rFonts w:hint="eastAsia"/>
          <w:b/>
          <w:bCs/>
          <w:lang w:val="en-US" w:eastAsia="zh-CN"/>
        </w:rPr>
      </w:pPr>
      <w:r>
        <w:rPr>
          <w:rFonts w:hint="eastAsia"/>
          <w:b/>
          <w:bCs/>
          <w:lang w:val="en-US" w:eastAsia="zh-CN"/>
        </w:rPr>
        <w:t>配送产品参数要求</w:t>
      </w:r>
    </w:p>
    <w:p w14:paraId="174923D8">
      <w:pPr>
        <w:pStyle w:val="5"/>
        <w:numPr>
          <w:ilvl w:val="-1"/>
          <w:numId w:val="0"/>
        </w:numPr>
        <w:spacing w:line="240" w:lineRule="auto"/>
        <w:ind w:firstLine="600" w:firstLineChars="200"/>
        <w:rPr>
          <w:rFonts w:hint="eastAsia" w:ascii="仿宋_GB2312" w:hAnsi="仿宋_GB2312" w:eastAsia="仿宋_GB2312" w:cs="仿宋_GB2312"/>
          <w:b w:val="0"/>
          <w:bCs w:val="0"/>
          <w:color w:val="000000"/>
          <w:kern w:val="0"/>
          <w:sz w:val="32"/>
          <w:szCs w:val="32"/>
          <w:highlight w:val="none"/>
          <w:lang w:val="en-US" w:eastAsia="zh-CN"/>
        </w:rPr>
      </w:pPr>
      <w:r>
        <w:rPr>
          <w:rFonts w:hint="eastAsia" w:ascii="仿宋_GB2312" w:hAnsi="仿宋_GB2312" w:eastAsia="仿宋_GB2312" w:cs="仿宋_GB2312"/>
          <w:b w:val="0"/>
          <w:bCs w:val="0"/>
          <w:color w:val="000000"/>
          <w:kern w:val="0"/>
          <w:sz w:val="28"/>
          <w:szCs w:val="32"/>
          <w:highlight w:val="none"/>
          <w:lang w:val="en-US" w:eastAsia="zh-CN"/>
        </w:rPr>
        <w:t>★1.具体参数要求</w:t>
      </w:r>
    </w:p>
    <w:tbl>
      <w:tblPr>
        <w:tblStyle w:val="25"/>
        <w:tblW w:w="85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1276"/>
        <w:gridCol w:w="6211"/>
      </w:tblGrid>
      <w:tr w14:paraId="2E229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99" w:type="dxa"/>
            <w:vAlign w:val="center"/>
          </w:tcPr>
          <w:p w14:paraId="18666D3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序号</w:t>
            </w:r>
          </w:p>
        </w:tc>
        <w:tc>
          <w:tcPr>
            <w:tcW w:w="1276" w:type="dxa"/>
            <w:vAlign w:val="center"/>
          </w:tcPr>
          <w:p w14:paraId="7D8400F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物资名称</w:t>
            </w:r>
          </w:p>
        </w:tc>
        <w:tc>
          <w:tcPr>
            <w:tcW w:w="6211" w:type="dxa"/>
            <w:vAlign w:val="center"/>
          </w:tcPr>
          <w:p w14:paraId="2434B28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参数</w:t>
            </w:r>
          </w:p>
        </w:tc>
      </w:tr>
      <w:tr w14:paraId="2CA70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099" w:type="dxa"/>
            <w:vAlign w:val="center"/>
          </w:tcPr>
          <w:p w14:paraId="1AF31CB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(1)</w:t>
            </w:r>
          </w:p>
        </w:tc>
        <w:tc>
          <w:tcPr>
            <w:tcW w:w="1276" w:type="dxa"/>
            <w:vAlign w:val="center"/>
          </w:tcPr>
          <w:p w14:paraId="3A3C71C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打印手腕带[成人]</w:t>
            </w:r>
          </w:p>
        </w:tc>
        <w:tc>
          <w:tcPr>
            <w:tcW w:w="6211" w:type="dxa"/>
            <w:vAlign w:val="center"/>
          </w:tcPr>
          <w:p w14:paraId="682FBD3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每条手腕带：</w:t>
            </w:r>
          </w:p>
          <w:p w14:paraId="5DCC98D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1）材质：热敏复合材料/纳米硅胶材料</w:t>
            </w:r>
          </w:p>
          <w:p w14:paraId="61DD7B8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2）打印方式：满足热敏打印及热转印打印</w:t>
            </w:r>
          </w:p>
          <w:p w14:paraId="2EE58B3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3）腕带规格（取下）：270mm（±20mm）*29mm（±2mm）</w:t>
            </w:r>
          </w:p>
          <w:p w14:paraId="32F3C1F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4）打印腕带厚度：0.28mm（±0.2mm）</w:t>
            </w:r>
          </w:p>
          <w:p w14:paraId="5BEF07C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5）打印区域：100mm（±20mm）*29mm（±2mm）</w:t>
            </w:r>
          </w:p>
          <w:p w14:paraId="7390A78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6）颜色：蓝色</w:t>
            </w:r>
          </w:p>
          <w:p w14:paraId="30FFCEC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7）腕带扣孔：不少于12个</w:t>
            </w:r>
          </w:p>
        </w:tc>
      </w:tr>
      <w:tr w14:paraId="71134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099" w:type="dxa"/>
            <w:vAlign w:val="center"/>
          </w:tcPr>
          <w:p w14:paraId="6A0841A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(2)</w:t>
            </w:r>
          </w:p>
        </w:tc>
        <w:tc>
          <w:tcPr>
            <w:tcW w:w="1276" w:type="dxa"/>
            <w:vAlign w:val="center"/>
          </w:tcPr>
          <w:p w14:paraId="674C9FB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打印手腕带[儿童]</w:t>
            </w:r>
          </w:p>
        </w:tc>
        <w:tc>
          <w:tcPr>
            <w:tcW w:w="6211" w:type="dxa"/>
            <w:vAlign w:val="center"/>
          </w:tcPr>
          <w:p w14:paraId="6E65F3E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每条手腕带：</w:t>
            </w:r>
          </w:p>
          <w:p w14:paraId="1B8434A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1）材质：热敏复合材料/纳米硅胶材料</w:t>
            </w:r>
          </w:p>
          <w:p w14:paraId="649FC9B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2）打印方式：满足热敏打印及热转印打印</w:t>
            </w:r>
          </w:p>
          <w:p w14:paraId="369469F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3）腕带规格（取下）：210mm（±20mm）*19mm（±2mm）</w:t>
            </w:r>
          </w:p>
          <w:p w14:paraId="777085A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4）打印腕带厚度：0.28mm（±0.2mm）</w:t>
            </w:r>
          </w:p>
          <w:p w14:paraId="1A285B8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5）打印区域：68mm（±2mm）*20mm（±2mm）</w:t>
            </w:r>
          </w:p>
          <w:p w14:paraId="0EBDB91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6）腕带颜色：粉红色</w:t>
            </w:r>
          </w:p>
          <w:p w14:paraId="69909B5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7）腕带扣孔：不少于15个</w:t>
            </w:r>
          </w:p>
        </w:tc>
      </w:tr>
      <w:tr w14:paraId="78828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099" w:type="dxa"/>
            <w:vAlign w:val="center"/>
          </w:tcPr>
          <w:p w14:paraId="721543F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(3)</w:t>
            </w:r>
          </w:p>
        </w:tc>
        <w:tc>
          <w:tcPr>
            <w:tcW w:w="1276" w:type="dxa"/>
            <w:vAlign w:val="center"/>
          </w:tcPr>
          <w:p w14:paraId="4491DCD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打印手腕带[爱婴区]</w:t>
            </w:r>
          </w:p>
        </w:tc>
        <w:tc>
          <w:tcPr>
            <w:tcW w:w="6211" w:type="dxa"/>
            <w:vAlign w:val="center"/>
          </w:tcPr>
          <w:p w14:paraId="01E5D89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每条手腕带：</w:t>
            </w:r>
          </w:p>
          <w:p w14:paraId="21CEA76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1）材质：纳米硅胶材料</w:t>
            </w:r>
          </w:p>
          <w:p w14:paraId="2444DF0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2）打印方式：满足热敏打印及热转印打印</w:t>
            </w:r>
          </w:p>
          <w:p w14:paraId="03488B2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3）腕带规格（取下）：190mm（±20mm）*20mm（±2mm）</w:t>
            </w:r>
          </w:p>
          <w:p w14:paraId="632B3B6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4） 打印腕带厚度：0.28mm（±0.2mm）</w:t>
            </w:r>
          </w:p>
          <w:p w14:paraId="497EC74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5）打印区域：65mm（±2mm）*20mm（±1mm）</w:t>
            </w:r>
          </w:p>
          <w:p w14:paraId="0AF03F4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6）腕带颜色：粉红色</w:t>
            </w:r>
          </w:p>
          <w:p w14:paraId="5835F2B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7）腕带扣孔：不少于10个</w:t>
            </w:r>
          </w:p>
        </w:tc>
      </w:tr>
      <w:tr w14:paraId="4A9E5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099" w:type="dxa"/>
            <w:vAlign w:val="center"/>
          </w:tcPr>
          <w:p w14:paraId="22AB1DF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(4)</w:t>
            </w:r>
          </w:p>
        </w:tc>
        <w:tc>
          <w:tcPr>
            <w:tcW w:w="1276" w:type="dxa"/>
            <w:vAlign w:val="center"/>
          </w:tcPr>
          <w:p w14:paraId="68D459E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手写识别带[女成人]</w:t>
            </w:r>
          </w:p>
        </w:tc>
        <w:tc>
          <w:tcPr>
            <w:tcW w:w="6211" w:type="dxa"/>
            <w:vAlign w:val="center"/>
          </w:tcPr>
          <w:p w14:paraId="1922592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每条手腕带：</w:t>
            </w:r>
          </w:p>
          <w:p w14:paraId="1C8DDC7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1）材质：PVC/纳米硅</w:t>
            </w:r>
          </w:p>
          <w:p w14:paraId="318041D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2）腕带规格（取下）：240mm（±20mm）*26mm（±10mm）</w:t>
            </w:r>
          </w:p>
          <w:p w14:paraId="2159A02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3）腕带颜色：蓝色</w:t>
            </w:r>
          </w:p>
          <w:p w14:paraId="5D4FC11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4）腕带扣孔：不少于12个</w:t>
            </w:r>
          </w:p>
          <w:p w14:paraId="6184720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5）可按需求印刷内容</w:t>
            </w:r>
          </w:p>
        </w:tc>
      </w:tr>
      <w:tr w14:paraId="200BD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099" w:type="dxa"/>
            <w:vAlign w:val="center"/>
          </w:tcPr>
          <w:p w14:paraId="683F26A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(5)</w:t>
            </w:r>
          </w:p>
        </w:tc>
        <w:tc>
          <w:tcPr>
            <w:tcW w:w="1276" w:type="dxa"/>
            <w:vAlign w:val="center"/>
          </w:tcPr>
          <w:p w14:paraId="04AA407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手写识别带[陪护]</w:t>
            </w:r>
          </w:p>
        </w:tc>
        <w:tc>
          <w:tcPr>
            <w:tcW w:w="6211" w:type="dxa"/>
            <w:shd w:val="clear" w:color="auto" w:fill="auto"/>
            <w:vAlign w:val="center"/>
          </w:tcPr>
          <w:p w14:paraId="148B3EC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每条手腕带：</w:t>
            </w:r>
          </w:p>
          <w:p w14:paraId="20E6698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1)材质：PVC/纳米硅</w:t>
            </w:r>
          </w:p>
          <w:p w14:paraId="4346806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2)腕带规格（取下）：240mm（±20mm）*26mm（±10mm）</w:t>
            </w:r>
          </w:p>
          <w:p w14:paraId="4B59FFC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3)颜色：黄色</w:t>
            </w:r>
          </w:p>
          <w:p w14:paraId="1FE9AFB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4)腕带扣孔：不少于12个</w:t>
            </w:r>
          </w:p>
          <w:p w14:paraId="68B0418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5)可按需求印刷内容</w:t>
            </w:r>
          </w:p>
        </w:tc>
      </w:tr>
      <w:tr w14:paraId="330DF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099" w:type="dxa"/>
            <w:vAlign w:val="center"/>
          </w:tcPr>
          <w:p w14:paraId="1F25D54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(6)</w:t>
            </w:r>
          </w:p>
        </w:tc>
        <w:tc>
          <w:tcPr>
            <w:tcW w:w="1276" w:type="dxa"/>
            <w:vAlign w:val="center"/>
          </w:tcPr>
          <w:p w14:paraId="7865D9B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打印手腕带[其他]</w:t>
            </w:r>
          </w:p>
        </w:tc>
        <w:tc>
          <w:tcPr>
            <w:tcW w:w="6211" w:type="dxa"/>
            <w:shd w:val="clear" w:color="auto" w:fill="auto"/>
            <w:vAlign w:val="center"/>
          </w:tcPr>
          <w:p w14:paraId="2F497E8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每条手腕带：</w:t>
            </w:r>
          </w:p>
          <w:p w14:paraId="26BD810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1)材质：热敏复合材料/纳米硅胶材料</w:t>
            </w:r>
          </w:p>
          <w:p w14:paraId="3938BAE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2)打印方式：满足热敏打印及热转印打印</w:t>
            </w:r>
          </w:p>
          <w:p w14:paraId="3243F24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3)腕带规格（取下）：270mm（±20mm）*29mm（±1mm）</w:t>
            </w:r>
          </w:p>
          <w:p w14:paraId="4350684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4)打印腕带厚度：0.28mm（±0.2mm）</w:t>
            </w:r>
          </w:p>
          <w:p w14:paraId="14706F6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5)打印区域：100mm（±20mm）*29mm（±1mm）</w:t>
            </w:r>
          </w:p>
          <w:p w14:paraId="12E50C1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6)腕带颜色：按科室需求定制</w:t>
            </w:r>
          </w:p>
          <w:p w14:paraId="1C9370A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7)腕带扣孔：不少于12个</w:t>
            </w:r>
          </w:p>
          <w:p w14:paraId="15840FE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8)可按需求印刷内容</w:t>
            </w:r>
          </w:p>
        </w:tc>
      </w:tr>
      <w:tr w14:paraId="6ABB9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099" w:type="dxa"/>
            <w:shd w:val="clear" w:color="auto" w:fill="auto"/>
            <w:vAlign w:val="center"/>
          </w:tcPr>
          <w:p w14:paraId="289094C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(7)</w:t>
            </w:r>
          </w:p>
        </w:tc>
        <w:tc>
          <w:tcPr>
            <w:tcW w:w="1276" w:type="dxa"/>
            <w:shd w:val="clear" w:color="auto" w:fill="auto"/>
            <w:vAlign w:val="center"/>
          </w:tcPr>
          <w:p w14:paraId="3D8C323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条码腕带打印机</w:t>
            </w:r>
          </w:p>
        </w:tc>
        <w:tc>
          <w:tcPr>
            <w:tcW w:w="6211" w:type="dxa"/>
            <w:shd w:val="clear" w:color="auto" w:fill="auto"/>
            <w:vAlign w:val="center"/>
          </w:tcPr>
          <w:p w14:paraId="7A76AAB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z w:val="24"/>
                <w:szCs w:val="24"/>
                <w:highlight w:val="none"/>
              </w:rPr>
              <w:t>须与采购人</w:t>
            </w:r>
            <w:r>
              <w:rPr>
                <w:rFonts w:hint="eastAsia" w:ascii="宋体" w:hAnsi="宋体" w:eastAsia="宋体" w:cs="宋体"/>
                <w:bCs w:val="0"/>
                <w:color w:val="000000"/>
                <w:sz w:val="24"/>
                <w:szCs w:val="24"/>
                <w:highlight w:val="none"/>
                <w:lang w:val="en-US" w:eastAsia="zh-CN"/>
              </w:rPr>
              <w:t>日常使用的</w:t>
            </w:r>
            <w:r>
              <w:rPr>
                <w:rFonts w:hint="eastAsia" w:ascii="宋体" w:hAnsi="宋体" w:eastAsia="宋体" w:cs="宋体"/>
                <w:bCs w:val="0"/>
                <w:color w:val="000000"/>
                <w:sz w:val="24"/>
                <w:szCs w:val="24"/>
                <w:highlight w:val="none"/>
              </w:rPr>
              <w:t>HIS系统无缝衔接</w:t>
            </w:r>
          </w:p>
        </w:tc>
      </w:tr>
    </w:tbl>
    <w:p w14:paraId="3E53BDC2">
      <w:pPr>
        <w:bidi w:val="0"/>
        <w:rPr>
          <w:rFonts w:hint="eastAsia"/>
          <w:lang w:val="en-US" w:eastAsia="zh-CN"/>
        </w:rPr>
      </w:pPr>
      <w:r>
        <w:rPr>
          <w:rFonts w:hint="eastAsia"/>
          <w:lang w:val="en-US" w:eastAsia="zh-CN"/>
        </w:rPr>
        <w:t>▲2.包装规格：100条/卷，2000(±1000)条/箱</w:t>
      </w:r>
    </w:p>
    <w:p w14:paraId="63E0163D">
      <w:pPr>
        <w:bidi w:val="0"/>
        <w:rPr>
          <w:rFonts w:hint="eastAsia"/>
          <w:lang w:val="en-US" w:eastAsia="zh-CN"/>
        </w:rPr>
      </w:pPr>
      <w:r>
        <w:rPr>
          <w:rFonts w:hint="eastAsia"/>
          <w:lang w:val="en-US" w:eastAsia="zh-CN"/>
        </w:rPr>
        <w:t>▲3.打印内容：包括文字，条码，二维码，图片和图形等，可与医院HIS系统无缝衔接。</w:t>
      </w:r>
    </w:p>
    <w:p w14:paraId="39D4C60C">
      <w:pPr>
        <w:bidi w:val="0"/>
        <w:rPr>
          <w:rFonts w:hint="eastAsia"/>
          <w:lang w:val="en-US" w:eastAsia="zh-CN"/>
        </w:rPr>
      </w:pPr>
      <w:r>
        <w:rPr>
          <w:rFonts w:hint="eastAsia"/>
          <w:lang w:val="en-US" w:eastAsia="zh-CN"/>
        </w:rPr>
        <w:t>4.一般情况下保存及扫描期限：≥30天，条码易扫描。</w:t>
      </w:r>
    </w:p>
    <w:p w14:paraId="14F77B87">
      <w:pPr>
        <w:bidi w:val="0"/>
        <w:rPr>
          <w:rFonts w:hint="eastAsia"/>
          <w:lang w:val="en-US" w:eastAsia="zh-CN"/>
        </w:rPr>
      </w:pPr>
      <w:r>
        <w:rPr>
          <w:rFonts w:hint="eastAsia"/>
          <w:lang w:val="en-US" w:eastAsia="zh-CN"/>
        </w:rPr>
        <w:t>5.保质期：不低于3年。</w:t>
      </w:r>
    </w:p>
    <w:p w14:paraId="01A1D6B9">
      <w:pPr>
        <w:bidi w:val="0"/>
        <w:rPr>
          <w:rFonts w:hint="eastAsia"/>
          <w:lang w:val="en-US" w:eastAsia="zh-CN"/>
        </w:rPr>
      </w:pPr>
      <w:r>
        <w:rPr>
          <w:rFonts w:hint="eastAsia"/>
          <w:lang w:val="en-US" w:eastAsia="zh-CN"/>
        </w:rPr>
        <w:t>6.佩戴方式：塑扣/贴胶，一次性使用。</w:t>
      </w:r>
    </w:p>
    <w:p w14:paraId="573DCD7E">
      <w:pPr>
        <w:bidi w:val="0"/>
        <w:rPr>
          <w:rFonts w:hint="eastAsia"/>
          <w:lang w:val="en-US" w:eastAsia="zh-CN"/>
        </w:rPr>
      </w:pPr>
      <w:r>
        <w:rPr>
          <w:rFonts w:hint="eastAsia"/>
          <w:lang w:val="en-US" w:eastAsia="zh-CN"/>
        </w:rPr>
        <w:t>7.扣子颜色:透明，白色，黄色，粉红色，蓝色，绿色，红色等。</w:t>
      </w:r>
    </w:p>
    <w:p w14:paraId="20FF9209">
      <w:pPr>
        <w:bidi w:val="0"/>
        <w:rPr>
          <w:rFonts w:hint="eastAsia"/>
          <w:lang w:val="en-US" w:eastAsia="zh-CN"/>
        </w:rPr>
      </w:pPr>
      <w:r>
        <w:rPr>
          <w:rFonts w:hint="eastAsia"/>
          <w:lang w:val="en-US" w:eastAsia="zh-CN"/>
        </w:rPr>
        <w:t>▲8.质量：符合IPX4级别防水，在特定条件下能够抵抗来自任何方向喷射的水流所造成的侵蚀；耐酒精擦拭（可现场测试）、防转移（抗拉性能强，可现场测试）。材质抗菌抗过敏，迟发性超敏反应试验要求致敏阳性率为0%，皮肤刺激试验原发性刺激指数(PII)为0。不含乳胶物、不含铅和邻苯二甲酸盐，不含甲醛，通过体外细胞毒性试验，可提供第三方检测报告。</w:t>
      </w:r>
    </w:p>
    <w:p w14:paraId="6720F87D">
      <w:pPr>
        <w:bidi w:val="0"/>
        <w:rPr>
          <w:rFonts w:hint="eastAsia" w:ascii="仿宋_GB2312" w:hAnsi="仿宋_GB2312" w:eastAsia="仿宋_GB2312" w:cs="仿宋_GB2312"/>
          <w:bCs w:val="0"/>
          <w:color w:val="000000"/>
          <w:spacing w:val="10"/>
          <w:kern w:val="0"/>
          <w:sz w:val="28"/>
          <w:szCs w:val="32"/>
          <w:highlight w:val="none"/>
          <w:lang w:val="en-US" w:eastAsia="zh-CN" w:bidi="ar-SA"/>
          <w14:ligatures w14:val="standardContextual"/>
        </w:rPr>
      </w:pPr>
      <w:r>
        <w:rPr>
          <w:rFonts w:hint="eastAsia"/>
          <w:lang w:val="en-US" w:eastAsia="zh-CN"/>
        </w:rPr>
        <w:t>▲9.上述第1点及第8点的响应需在响应文件中提供证明材料，材料以具备检测资质的第三方检测机构出具的有效的检测报告数据，或货物生产商的产品彩页/厂家使用说明书/厂家盖章的技术参数确认函等证明文件为准，否则视为负偏离。</w:t>
      </w:r>
    </w:p>
    <w:p w14:paraId="305E916C">
      <w:pPr>
        <w:pStyle w:val="4"/>
        <w:bidi w:val="0"/>
        <w:rPr>
          <w:rFonts w:hint="eastAsia"/>
          <w:b/>
          <w:bCs/>
          <w:lang w:val="en-US" w:eastAsia="zh-CN"/>
        </w:rPr>
      </w:pPr>
      <w:r>
        <w:rPr>
          <w:rFonts w:hint="eastAsia"/>
          <w:b/>
          <w:bCs/>
          <w:lang w:val="en-US" w:eastAsia="zh-CN"/>
        </w:rPr>
        <w:t>（三）配送质量标准</w:t>
      </w:r>
    </w:p>
    <w:p w14:paraId="7351E575">
      <w:pPr>
        <w:bidi w:val="0"/>
        <w:rPr>
          <w:rFonts w:hint="eastAsia"/>
          <w:lang w:val="en-US" w:eastAsia="zh-CN"/>
        </w:rPr>
      </w:pPr>
      <w:r>
        <w:rPr>
          <w:rFonts w:hint="eastAsia"/>
          <w:lang w:val="en-US" w:eastAsia="zh-CN"/>
        </w:rPr>
        <w:t>1.中标人提供的货物必须是全新的、未使用过的、包装完好且无污染、表面和内部均无瑕疵的符合合同要求的原厂正品，而且中标人提供的货物必须是近期出厂（即出厂日至供货日的时间不得大于供货日至质保期结束日的时间）的。如因中标人提供之物品存在质量问题或权利瑕疵，由此产生的一切责任及费用均由中标人承担，与采购人无关。</w:t>
      </w:r>
    </w:p>
    <w:p w14:paraId="5B470D0F">
      <w:pPr>
        <w:bidi w:val="0"/>
        <w:rPr>
          <w:rFonts w:hint="eastAsia"/>
          <w:lang w:val="en-US" w:eastAsia="zh-CN"/>
        </w:rPr>
      </w:pPr>
      <w:r>
        <w:rPr>
          <w:rFonts w:hint="eastAsia"/>
          <w:lang w:val="en-US" w:eastAsia="zh-CN"/>
        </w:rPr>
        <w:t>2.采购人有权对中标人提供的产品进行抽检，抽检内容包括数量及质量，抽检不合格的，采购人有权退货，中标人应于采购人提出退货要求的4小时内重新提供符合要求质量的产品。如因中标人提供不符合本项目合同约定产品质量而造成对采购人的损失，采购人有权在合同履约保证金（如有）或货款中扣除相关金额。</w:t>
      </w:r>
    </w:p>
    <w:p w14:paraId="06239FC5">
      <w:pPr>
        <w:bidi w:val="0"/>
        <w:rPr>
          <w:rFonts w:hint="eastAsia" w:ascii="仿宋_GB2312" w:hAnsi="仿宋_GB2312" w:eastAsia="仿宋_GB2312" w:cs="仿宋_GB2312"/>
          <w:bCs w:val="0"/>
          <w:color w:val="000000"/>
          <w:spacing w:val="10"/>
          <w:kern w:val="0"/>
          <w:sz w:val="28"/>
          <w:szCs w:val="32"/>
          <w:highlight w:val="none"/>
          <w:lang w:val="en-US" w:eastAsia="zh-CN" w:bidi="ar-SA"/>
          <w14:ligatures w14:val="standardContextual"/>
        </w:rPr>
      </w:pPr>
      <w:r>
        <w:rPr>
          <w:rFonts w:hint="eastAsia"/>
          <w:lang w:val="en-US" w:eastAsia="zh-CN"/>
        </w:rPr>
        <w:t>★3.响应人响应文件中所提供的资料必须真实有效，如采购人在合同执行期间对于资料的真实性有异议时，响应人必须在采购人提出异议后5个工作日内提供相关资料原件复核。如不能在规定时间内提供原件复核的，采购人有权解除合同并追讨因此发生的一切损失。</w:t>
      </w:r>
    </w:p>
    <w:p w14:paraId="0AEB4DCF">
      <w:pPr>
        <w:pStyle w:val="4"/>
        <w:bidi w:val="0"/>
        <w:rPr>
          <w:rFonts w:hint="eastAsia"/>
          <w:b/>
          <w:bCs/>
          <w:lang w:val="en-US" w:eastAsia="zh-CN"/>
        </w:rPr>
      </w:pPr>
      <w:r>
        <w:rPr>
          <w:rFonts w:hint="eastAsia"/>
          <w:b/>
          <w:bCs/>
          <w:lang w:val="en-US" w:eastAsia="zh-CN"/>
        </w:rPr>
        <w:t>（四）服务要求</w:t>
      </w:r>
    </w:p>
    <w:p w14:paraId="16F7AAE5">
      <w:pPr>
        <w:bidi w:val="0"/>
        <w:rPr>
          <w:rFonts w:hint="eastAsia"/>
          <w:lang w:val="en-US" w:eastAsia="zh-CN"/>
        </w:rPr>
      </w:pPr>
      <w:r>
        <w:rPr>
          <w:rFonts w:hint="eastAsia"/>
          <w:lang w:val="en-US" w:eastAsia="zh-CN"/>
        </w:rPr>
        <w:t>1.签订合同后，响应人应向采购人递交最终货板，保证货板与投标实物样品相符，且经采购人书面确认后，方可批量配送供货。</w:t>
      </w:r>
    </w:p>
    <w:p w14:paraId="7D915263">
      <w:pPr>
        <w:bidi w:val="0"/>
        <w:rPr>
          <w:rFonts w:hint="eastAsia"/>
          <w:lang w:val="en-US" w:eastAsia="zh-CN"/>
        </w:rPr>
      </w:pPr>
      <w:r>
        <w:rPr>
          <w:rFonts w:hint="eastAsia"/>
          <w:lang w:val="en-US" w:eastAsia="zh-CN"/>
        </w:rPr>
        <w:t>2.货物包装均应有良好的防湿、防锈、防潮、防雨、防腐及防碰撞的措施。凡由于包装不良造成的损失和由此产生的费用均由中标人承担。若运输过程中产生的质量问题，则中标人无条件进行退换货。</w:t>
      </w:r>
    </w:p>
    <w:p w14:paraId="7616504F">
      <w:pPr>
        <w:bidi w:val="0"/>
        <w:rPr>
          <w:rFonts w:hint="eastAsia"/>
          <w:lang w:val="en-US" w:eastAsia="zh-CN"/>
        </w:rPr>
      </w:pPr>
      <w:r>
        <w:rPr>
          <w:rFonts w:hint="eastAsia"/>
          <w:lang w:val="en-US" w:eastAsia="zh-CN"/>
        </w:rPr>
        <w:t>3．物流服务：中标人所供货物必须为制造商原厂包装，包装质量符合国家相关标准。货物要求有包装材料保护运至现场。因包装不良造成的损失由中标人负责。</w:t>
      </w:r>
    </w:p>
    <w:p w14:paraId="7C390C2D">
      <w:pPr>
        <w:bidi w:val="0"/>
        <w:rPr>
          <w:rFonts w:hint="eastAsia"/>
          <w:lang w:val="en-US" w:eastAsia="zh-CN"/>
        </w:rPr>
      </w:pPr>
      <w:r>
        <w:rPr>
          <w:rFonts w:hint="eastAsia"/>
          <w:lang w:val="en-US" w:eastAsia="zh-CN"/>
        </w:rPr>
        <w:t>4.送货要求：</w:t>
      </w:r>
    </w:p>
    <w:p w14:paraId="50A2988B">
      <w:pPr>
        <w:bidi w:val="0"/>
        <w:rPr>
          <w:rFonts w:hint="eastAsia"/>
          <w:lang w:val="en-US" w:eastAsia="zh-CN"/>
        </w:rPr>
      </w:pPr>
      <w:r>
        <w:rPr>
          <w:rFonts w:hint="eastAsia"/>
          <w:lang w:val="en-US" w:eastAsia="zh-CN"/>
        </w:rPr>
        <w:t>（1）产品由于包装不良造成的损失和因此产生的费用均由中标人承担，所有提供的货品必须送达采购人要求的指定交货地点后才能拆封。</w:t>
      </w:r>
    </w:p>
    <w:p w14:paraId="74F075E6">
      <w:pPr>
        <w:bidi w:val="0"/>
        <w:rPr>
          <w:rFonts w:hint="eastAsia"/>
          <w:lang w:val="en-US" w:eastAsia="zh-CN"/>
        </w:rPr>
      </w:pPr>
      <w:r>
        <w:rPr>
          <w:rFonts w:hint="eastAsia"/>
          <w:lang w:val="en-US" w:eastAsia="zh-CN"/>
        </w:rPr>
        <w:t>（2）货物送达后，需与采购人使用部门共同核对物资和数量，如核对发现有误则1个工作日内完成更换；送货单交采购人部门负责人签署，并保留一联供采购人保管核对。</w:t>
      </w:r>
    </w:p>
    <w:p w14:paraId="5E41E513">
      <w:pPr>
        <w:bidi w:val="0"/>
        <w:rPr>
          <w:rFonts w:hint="eastAsia"/>
          <w:lang w:val="en-US" w:eastAsia="zh-CN"/>
        </w:rPr>
      </w:pPr>
      <w:r>
        <w:rPr>
          <w:rFonts w:hint="eastAsia"/>
          <w:lang w:val="en-US" w:eastAsia="zh-CN"/>
        </w:rPr>
        <w:t>（3）送货到达现场后，中标人应询问物品的摆放位置，并按采购人要求摆放整齐。</w:t>
      </w:r>
    </w:p>
    <w:p w14:paraId="276A3E40">
      <w:pPr>
        <w:bidi w:val="0"/>
        <w:rPr>
          <w:rFonts w:hint="eastAsia"/>
          <w:lang w:val="en-US" w:eastAsia="zh-CN"/>
        </w:rPr>
      </w:pPr>
      <w:r>
        <w:rPr>
          <w:rFonts w:hint="eastAsia"/>
          <w:lang w:val="en-US" w:eastAsia="zh-CN"/>
        </w:rPr>
        <w:t>（4）中标人应严格遵守生产安全操作规程，做到文明配送。</w:t>
      </w:r>
    </w:p>
    <w:p w14:paraId="62B9B325">
      <w:pPr>
        <w:bidi w:val="0"/>
        <w:rPr>
          <w:rFonts w:hint="eastAsia"/>
          <w:lang w:val="en-US" w:eastAsia="zh-CN"/>
        </w:rPr>
      </w:pPr>
      <w:r>
        <w:rPr>
          <w:rFonts w:hint="eastAsia"/>
          <w:lang w:val="en-US" w:eastAsia="zh-CN"/>
        </w:rPr>
        <w:t>（5）在日常配送工作中，中标人应留意采购人的存货使用情况，提醒及时备货，以免因缺货延误工作。</w:t>
      </w:r>
    </w:p>
    <w:p w14:paraId="22622B5B">
      <w:pPr>
        <w:bidi w:val="0"/>
        <w:rPr>
          <w:rFonts w:hint="eastAsia"/>
          <w:lang w:val="en-US" w:eastAsia="zh-CN"/>
        </w:rPr>
      </w:pPr>
      <w:r>
        <w:rPr>
          <w:rFonts w:hint="eastAsia"/>
          <w:lang w:val="en-US" w:eastAsia="zh-CN"/>
        </w:rPr>
        <w:t>（6）响应人须按照采购人下单数量配备相应的运输车辆及人员，确保每批次货物都能按时足额地配送。</w:t>
      </w:r>
    </w:p>
    <w:p w14:paraId="57063641">
      <w:pPr>
        <w:bidi w:val="0"/>
        <w:rPr>
          <w:rFonts w:hint="eastAsia"/>
          <w:lang w:val="en-US" w:eastAsia="zh-CN"/>
        </w:rPr>
      </w:pPr>
      <w:r>
        <w:rPr>
          <w:rFonts w:hint="eastAsia"/>
          <w:lang w:val="en-US" w:eastAsia="zh-CN"/>
        </w:rPr>
        <w:t>（7）响应人应采取适当的运输方式确保运输过程中货物不受污染和损坏，内、外部做到清洁、卫生，具有防雨设施。</w:t>
      </w:r>
    </w:p>
    <w:p w14:paraId="1E72F2AA">
      <w:pPr>
        <w:bidi w:val="0"/>
        <w:rPr>
          <w:rFonts w:hint="eastAsia"/>
          <w:lang w:val="en-US" w:eastAsia="zh-CN"/>
        </w:rPr>
      </w:pPr>
      <w:r>
        <w:rPr>
          <w:rFonts w:hint="eastAsia"/>
          <w:lang w:val="en-US" w:eastAsia="zh-CN"/>
        </w:rPr>
        <w:t>5.响应人应做好项目送货人员的培训、教育工作，遵守采购人各项规定，穿戴整齐工作服，态度友善有耐心，服从采购人的管理。配送期间不得做出损害采购人单位形象和利益的行为。</w:t>
      </w:r>
    </w:p>
    <w:p w14:paraId="5EE647DB">
      <w:pPr>
        <w:bidi w:val="0"/>
        <w:rPr>
          <w:rFonts w:hint="eastAsia"/>
          <w:lang w:val="en-US" w:eastAsia="zh-CN"/>
        </w:rPr>
      </w:pPr>
      <w:r>
        <w:rPr>
          <w:rFonts w:hint="eastAsia"/>
          <w:lang w:val="en-US" w:eastAsia="zh-CN"/>
        </w:rPr>
        <w:t>6.采购人按实际下单量进行验收并入库。响应人有义务配合提供送货单以便于采购人办理入库手续及进行验收资料存档等相关工作；响应人的送货单应一式两份，注明本项目采购单号、货物名称、规格、型号、数量、单位、单价及总价、箱数等明细。</w:t>
      </w:r>
    </w:p>
    <w:p w14:paraId="15A8DD2D">
      <w:pPr>
        <w:bidi w:val="0"/>
        <w:rPr>
          <w:rFonts w:hint="eastAsia"/>
          <w:lang w:val="en-US" w:eastAsia="zh-CN"/>
        </w:rPr>
      </w:pPr>
      <w:r>
        <w:rPr>
          <w:rFonts w:hint="eastAsia"/>
          <w:lang w:val="en-US" w:eastAsia="zh-CN"/>
        </w:rPr>
        <w:t>7.服务期内，部分货物若发生停产或缺货，响应人须提供同档次同配置及以上的替代货物并以不高于中标价格销售给采购人，且响应人提供拟替代货物前应书面形式说明理由，并征得采购人书面同意。</w:t>
      </w:r>
    </w:p>
    <w:p w14:paraId="57C72BF4">
      <w:pPr>
        <w:bidi w:val="0"/>
        <w:rPr>
          <w:rFonts w:hint="eastAsia" w:ascii="仿宋_GB2312" w:hAnsi="仿宋_GB2312" w:eastAsia="仿宋_GB2312" w:cs="仿宋_GB2312"/>
          <w:bCs w:val="0"/>
          <w:color w:val="000000"/>
          <w:spacing w:val="10"/>
          <w:kern w:val="0"/>
          <w:sz w:val="28"/>
          <w:szCs w:val="32"/>
          <w:highlight w:val="none"/>
          <w:lang w:val="en-US" w:eastAsia="zh-CN" w:bidi="ar-SA"/>
          <w14:ligatures w14:val="standardContextual"/>
        </w:rPr>
      </w:pPr>
      <w:r>
        <w:rPr>
          <w:rFonts w:hint="eastAsia"/>
          <w:lang w:val="en-US" w:eastAsia="zh-CN"/>
        </w:rPr>
        <w:t>8.中标人需配合甲方的要求，合规安装手腕带打印机，对接采购人机器安装的安排与要求，进行调试、测试，确保机器与系统正常运行。</w:t>
      </w:r>
    </w:p>
    <w:p w14:paraId="3A8C9F7A">
      <w:pPr>
        <w:pStyle w:val="4"/>
        <w:bidi w:val="0"/>
        <w:rPr>
          <w:rFonts w:hint="eastAsia"/>
          <w:b/>
          <w:bCs/>
          <w:lang w:val="en-US" w:eastAsia="zh-CN"/>
        </w:rPr>
      </w:pPr>
      <w:r>
        <w:rPr>
          <w:rFonts w:hint="eastAsia"/>
          <w:b/>
          <w:bCs/>
          <w:lang w:val="en-US" w:eastAsia="zh-CN"/>
        </w:rPr>
        <w:t>（五）质保期及售后服务要求</w:t>
      </w:r>
    </w:p>
    <w:p w14:paraId="3B65F7ED">
      <w:pPr>
        <w:bidi w:val="0"/>
        <w:rPr>
          <w:rFonts w:hint="eastAsia"/>
          <w:lang w:val="en-US" w:eastAsia="zh-CN"/>
        </w:rPr>
      </w:pPr>
      <w:r>
        <w:rPr>
          <w:rFonts w:hint="eastAsia"/>
          <w:lang w:val="en-US" w:eastAsia="zh-CN"/>
        </w:rPr>
        <w:t>★1.质量保证期（质保期）</w:t>
      </w:r>
    </w:p>
    <w:p w14:paraId="40D1DBD7">
      <w:pPr>
        <w:bidi w:val="0"/>
        <w:rPr>
          <w:rFonts w:hint="eastAsia"/>
          <w:lang w:val="en-US" w:eastAsia="zh-CN"/>
        </w:rPr>
      </w:pPr>
      <w:r>
        <w:rPr>
          <w:rFonts w:hint="eastAsia"/>
          <w:lang w:val="en-US" w:eastAsia="zh-CN"/>
        </w:rPr>
        <w:t>质量保证期：本项目的货物质量保证期（简称“质保期”）不低于3年，质保期自货物验收合格并交付使用之日起算，质保期内采购人对响应人享有追索权。</w:t>
      </w:r>
    </w:p>
    <w:p w14:paraId="07A65FB4">
      <w:pPr>
        <w:bidi w:val="0"/>
        <w:rPr>
          <w:rFonts w:hint="eastAsia"/>
          <w:lang w:val="en-US" w:eastAsia="zh-CN"/>
        </w:rPr>
      </w:pPr>
      <w:r>
        <w:rPr>
          <w:rFonts w:hint="eastAsia"/>
          <w:lang w:val="en-US" w:eastAsia="zh-CN"/>
        </w:rPr>
        <w:t>若国家和/或生产厂家对本项目所涉及货物的质保期的规定高于本项目的要求，应按国家和/或生产厂家的规定执行。</w:t>
      </w:r>
    </w:p>
    <w:p w14:paraId="331D883A">
      <w:pPr>
        <w:bidi w:val="0"/>
        <w:rPr>
          <w:rFonts w:hint="eastAsia"/>
          <w:lang w:val="en-US" w:eastAsia="zh-CN"/>
        </w:rPr>
      </w:pPr>
      <w:r>
        <w:rPr>
          <w:rFonts w:hint="eastAsia"/>
          <w:lang w:val="en-US" w:eastAsia="zh-CN"/>
        </w:rPr>
        <w:t>2.售后服务</w:t>
      </w:r>
    </w:p>
    <w:p w14:paraId="02858AFB">
      <w:pPr>
        <w:bidi w:val="0"/>
        <w:rPr>
          <w:rFonts w:hint="eastAsia"/>
          <w:lang w:val="en-US" w:eastAsia="zh-CN"/>
        </w:rPr>
      </w:pPr>
      <w:r>
        <w:rPr>
          <w:rFonts w:hint="eastAsia"/>
          <w:lang w:val="en-US" w:eastAsia="zh-CN"/>
        </w:rPr>
        <w:t xml:space="preserve">（1）质保期内，如产品因非人为因素出现故障而造成短期停用时，则质保期相应顺延。如货物因自身问题致停用时间累计超过合同约定天数，则质保期在状态恢复正常时归零重新计算或对产品予以重新更换。 </w:t>
      </w:r>
    </w:p>
    <w:p w14:paraId="6C52D9AB">
      <w:pPr>
        <w:bidi w:val="0"/>
        <w:rPr>
          <w:rFonts w:hint="eastAsia"/>
          <w:lang w:val="en-US" w:eastAsia="zh-CN"/>
        </w:rPr>
      </w:pPr>
      <w:r>
        <w:rPr>
          <w:rFonts w:hint="eastAsia"/>
          <w:lang w:val="en-US" w:eastAsia="zh-CN"/>
        </w:rPr>
        <w:t>（2）若产品问题在24小时内仍未处理完毕，中标人须提供档次相同或优于档次的产品予采购人临时使用或采取应急措施解决，不得影响采购人的正常工作业务。</w:t>
      </w:r>
    </w:p>
    <w:p w14:paraId="11BCE598">
      <w:pPr>
        <w:bidi w:val="0"/>
        <w:rPr>
          <w:rFonts w:hint="eastAsia"/>
          <w:lang w:val="en-US" w:eastAsia="zh-CN"/>
        </w:rPr>
      </w:pPr>
      <w:r>
        <w:rPr>
          <w:rFonts w:hint="eastAsia"/>
          <w:lang w:val="en-US" w:eastAsia="zh-CN"/>
        </w:rPr>
        <w:t>3.采购人抽查厂家是否按投标规格、数量供货，必要时，采购人有权要求履约验收时中标人提供第三方检测机构出具的检测报告复印件。</w:t>
      </w:r>
    </w:p>
    <w:p w14:paraId="506FFACE">
      <w:pPr>
        <w:bidi w:val="0"/>
        <w:rPr>
          <w:rFonts w:hint="eastAsia" w:ascii="仿宋_GB2312" w:hAnsi="仿宋_GB2312" w:eastAsia="仿宋_GB2312" w:cs="仿宋_GB2312"/>
          <w:bCs w:val="0"/>
          <w:color w:val="000000"/>
          <w:spacing w:val="10"/>
          <w:kern w:val="0"/>
          <w:sz w:val="28"/>
          <w:szCs w:val="32"/>
          <w:highlight w:val="none"/>
          <w:lang w:val="en-US" w:eastAsia="zh-CN" w:bidi="ar-SA"/>
          <w14:ligatures w14:val="standardContextual"/>
        </w:rPr>
      </w:pPr>
      <w:r>
        <w:rPr>
          <w:rFonts w:hint="eastAsia"/>
          <w:lang w:val="en-US" w:eastAsia="zh-CN"/>
        </w:rPr>
        <w:t>4.因货物质量问题发生争议的，采购人有权向政府主管部门认可且具有相应资质的第三方质量检测鉴定机构申请对货物进行检测，如检测结果符合国家标准，检测费用由采购人支付；如检测结果不符合国家标准，响应人须支付检测费用并按采购人规定时限内完成“三包”服务。</w:t>
      </w:r>
    </w:p>
    <w:p w14:paraId="2B5FCF57">
      <w:pPr>
        <w:pStyle w:val="4"/>
        <w:bidi w:val="0"/>
        <w:rPr>
          <w:rFonts w:hint="eastAsia"/>
          <w:b/>
          <w:bCs/>
          <w:lang w:val="en-US" w:eastAsia="zh-CN"/>
        </w:rPr>
      </w:pPr>
      <w:r>
        <w:rPr>
          <w:rFonts w:hint="eastAsia"/>
          <w:b/>
          <w:bCs/>
          <w:lang w:val="en-US" w:eastAsia="zh-CN"/>
        </w:rPr>
        <w:t>（六）服务违约条款</w:t>
      </w:r>
    </w:p>
    <w:p w14:paraId="46FC890A">
      <w:pPr>
        <w:bidi w:val="0"/>
        <w:rPr>
          <w:rFonts w:hint="eastAsia"/>
          <w:lang w:val="en-US" w:eastAsia="zh-CN"/>
        </w:rPr>
      </w:pPr>
      <w:r>
        <w:rPr>
          <w:rFonts w:hint="eastAsia"/>
          <w:lang w:val="en-US" w:eastAsia="zh-CN"/>
        </w:rPr>
        <w:t>1.响应人逾期交货的，每延误一日则必须向采购人支付当次配送商品货款3%的违约金；合同期内，响应人因逾期交货连续三次或累计达到五次及以上的，采购人有权单方解除合同。</w:t>
      </w:r>
    </w:p>
    <w:p w14:paraId="42FAE729">
      <w:pPr>
        <w:bidi w:val="0"/>
        <w:rPr>
          <w:rFonts w:hint="eastAsia"/>
          <w:lang w:val="en-US" w:eastAsia="zh-CN"/>
        </w:rPr>
      </w:pPr>
      <w:r>
        <w:rPr>
          <w:rFonts w:hint="eastAsia"/>
          <w:lang w:val="en-US" w:eastAsia="zh-CN"/>
        </w:rPr>
        <w:t>2.响应人所交产品的品种、型号、规格、质量、功能、技术参数等任意一项不满足采购要求的，采购人有权拒绝收货，响应人必须无条件退换货，且响应人还应向采购人支付当次货款5%的违约金。</w:t>
      </w:r>
    </w:p>
    <w:p w14:paraId="05833A9E">
      <w:pPr>
        <w:bidi w:val="0"/>
        <w:rPr>
          <w:rFonts w:hint="eastAsia"/>
          <w:lang w:val="en-US" w:eastAsia="zh-CN"/>
        </w:rPr>
      </w:pPr>
      <w:r>
        <w:rPr>
          <w:rFonts w:hint="eastAsia"/>
          <w:lang w:val="en-US" w:eastAsia="zh-CN"/>
        </w:rPr>
        <w:t>3.响应人交付的商品，被发现以假充真、假冒伪劣、以次充好、掺杂使假或以旧充新的，采购人有权要求响应人退换货，并对响应人予以当次货款10%的违约金处罚，情节严重的可解除合同。</w:t>
      </w:r>
    </w:p>
    <w:p w14:paraId="08E4E8F1">
      <w:pPr>
        <w:bidi w:val="0"/>
        <w:rPr>
          <w:rFonts w:hint="eastAsia"/>
          <w:lang w:val="en-US" w:eastAsia="zh-CN"/>
        </w:rPr>
      </w:pPr>
      <w:r>
        <w:rPr>
          <w:rFonts w:hint="eastAsia"/>
          <w:lang w:val="en-US" w:eastAsia="zh-CN"/>
        </w:rPr>
        <w:t>4.响应人除不可抗力外，不得因其他任何理由拒绝送货。因响应人原因未能交付货物的（采购人原因造成的除外），响应人须向采购人支付当次货款10%的违约金，并承担由此产生的一切损失和费用。</w:t>
      </w:r>
    </w:p>
    <w:p w14:paraId="776D8BE8">
      <w:pPr>
        <w:bidi w:val="0"/>
        <w:rPr>
          <w:rFonts w:hint="eastAsia"/>
          <w:lang w:val="en-US" w:eastAsia="zh-CN"/>
        </w:rPr>
      </w:pPr>
      <w:r>
        <w:rPr>
          <w:rFonts w:hint="eastAsia"/>
          <w:lang w:val="en-US" w:eastAsia="zh-CN"/>
        </w:rPr>
        <w:t>5.如因合同货物的质量有异议，采购人有权根据第三方质量检测鉴定机构的检验结果向响应人提出索赔。</w:t>
      </w:r>
    </w:p>
    <w:p w14:paraId="47EB1A66">
      <w:pPr>
        <w:bidi w:val="0"/>
        <w:rPr>
          <w:rFonts w:hint="eastAsia"/>
          <w:lang w:val="en-US" w:eastAsia="zh-CN"/>
        </w:rPr>
      </w:pPr>
      <w:r>
        <w:rPr>
          <w:rFonts w:hint="eastAsia"/>
          <w:lang w:val="en-US" w:eastAsia="zh-CN"/>
        </w:rPr>
        <w:t>6.响应人以任何方式向任何第三方透露或以任何方式使第三方掌握采购人保密信息的，或响应人将本合同项下的保密信息用于本合同之外的其它任何目的，均属于泄露采购人保密信息的行为，响应人需对此承担违约责任，向采购人支付合同价款总额10%的违约金。</w:t>
      </w:r>
    </w:p>
    <w:p w14:paraId="00F58D22">
      <w:pPr>
        <w:bidi w:val="0"/>
        <w:rPr>
          <w:rFonts w:hint="eastAsia"/>
          <w:lang w:val="en-US" w:eastAsia="zh-CN"/>
        </w:rPr>
      </w:pPr>
      <w:r>
        <w:rPr>
          <w:rFonts w:hint="eastAsia"/>
          <w:lang w:val="en-US" w:eastAsia="zh-CN"/>
        </w:rPr>
        <w:t>7.因货物存在质量问题或者缺陷，导致货物使用人遭受人身财产损害的赔偿责任，由响应人承担；如果采购人依法承担该等赔偿责任后，有权向响应人追偿，且采购人行使该等追偿权产生的合理费用（包括但不限于诉讼费、律师费、保全费、调查取证费等）均由响应人承担。</w:t>
      </w:r>
    </w:p>
    <w:p w14:paraId="693DDF7B">
      <w:pPr>
        <w:bidi w:val="0"/>
        <w:rPr>
          <w:rFonts w:hint="eastAsia"/>
          <w:lang w:val="en-US" w:eastAsia="zh-CN"/>
        </w:rPr>
      </w:pPr>
      <w:r>
        <w:rPr>
          <w:rFonts w:hint="eastAsia"/>
          <w:lang w:val="en-US" w:eastAsia="zh-CN"/>
        </w:rPr>
        <w:t>8.在合同执行期间，如果响应人对采购人提出的索赔事宜负有责任的，响应人应按照采购人同意的下列一种或多种方式解决索赔事宜：</w:t>
      </w:r>
    </w:p>
    <w:p w14:paraId="1E4930A5">
      <w:pPr>
        <w:bidi w:val="0"/>
        <w:rPr>
          <w:rFonts w:hint="eastAsia"/>
          <w:lang w:val="en-US" w:eastAsia="zh-CN"/>
        </w:rPr>
      </w:pPr>
      <w:r>
        <w:rPr>
          <w:rFonts w:hint="eastAsia"/>
          <w:lang w:val="en-US" w:eastAsia="zh-CN"/>
        </w:rPr>
        <w:t>（1）响应人同意退货，按合同规定的对应货款退还给采购人，并承担相应违约责任。</w:t>
      </w:r>
    </w:p>
    <w:p w14:paraId="1BC1CA79">
      <w:pPr>
        <w:bidi w:val="0"/>
        <w:rPr>
          <w:rFonts w:hint="eastAsia"/>
          <w:lang w:val="en-US" w:eastAsia="zh-CN"/>
        </w:rPr>
      </w:pPr>
      <w:r>
        <w:rPr>
          <w:rFonts w:hint="eastAsia"/>
          <w:lang w:val="en-US" w:eastAsia="zh-CN"/>
        </w:rPr>
        <w:t>（2）根据响应人所供货物的低劣、损坏程度以及采购人所遭受损失的数额，双方商定降低货物的价格，且响应人承担相应违约责任。</w:t>
      </w:r>
    </w:p>
    <w:p w14:paraId="2D678F77">
      <w:pPr>
        <w:bidi w:val="0"/>
        <w:rPr>
          <w:rFonts w:hint="eastAsia"/>
          <w:lang w:val="en-US" w:eastAsia="zh-CN"/>
        </w:rPr>
      </w:pPr>
      <w:r>
        <w:rPr>
          <w:rFonts w:hint="eastAsia"/>
          <w:lang w:val="en-US" w:eastAsia="zh-CN"/>
        </w:rPr>
        <w:t>（3）响应人如需更换或修补有缺陷的部分货物，响应人应承担相应违约责任以及由此造成的一切直接费用。同时，相应延长质量保证期。</w:t>
      </w:r>
    </w:p>
    <w:p w14:paraId="2AA771FD">
      <w:pPr>
        <w:bidi w:val="0"/>
        <w:rPr>
          <w:rFonts w:hint="eastAsia"/>
          <w:lang w:val="en-US" w:eastAsia="zh-CN"/>
        </w:rPr>
      </w:pPr>
      <w:r>
        <w:rPr>
          <w:rFonts w:hint="eastAsia"/>
          <w:lang w:val="en-US" w:eastAsia="zh-CN"/>
        </w:rPr>
        <w:t>（4）如果在采购人发出索赔通知后15天内，响应人未作答复，上述索赔应视为已被响应人接受。</w:t>
      </w:r>
    </w:p>
    <w:p w14:paraId="2D76FD10">
      <w:pPr>
        <w:bidi w:val="0"/>
        <w:rPr>
          <w:rFonts w:hint="eastAsia"/>
          <w:lang w:val="en-US" w:eastAsia="zh-CN"/>
        </w:rPr>
      </w:pPr>
      <w:r>
        <w:rPr>
          <w:rFonts w:hint="eastAsia"/>
          <w:lang w:val="en-US" w:eastAsia="zh-CN"/>
        </w:rPr>
        <w:t>9.响应人应付采购人的违约金，采购人有权直接从应付货款或履约保证金中予以扣除；违约金不足以弥补响应人的违约行为给采购人造成的损失时，不足部分由响应人另行赔偿。</w:t>
      </w:r>
    </w:p>
    <w:p w14:paraId="4CA2C3F5">
      <w:pPr>
        <w:bidi w:val="0"/>
        <w:rPr>
          <w:rFonts w:hint="eastAsia"/>
          <w:lang w:val="en-US" w:eastAsia="zh-CN"/>
        </w:rPr>
      </w:pPr>
      <w:r>
        <w:rPr>
          <w:rFonts w:hint="eastAsia"/>
          <w:lang w:val="en-US" w:eastAsia="zh-CN"/>
        </w:rPr>
        <w:t>10.响应人不得将中标项目转让或分包给他人，否则采购人将上报监管部门，并且有权单方面终止合同，由此产生的一切经济损失由响应人自行承担。</w:t>
      </w:r>
    </w:p>
    <w:p w14:paraId="2073EDB9">
      <w:pPr>
        <w:bidi w:val="0"/>
        <w:rPr>
          <w:rFonts w:hint="eastAsia"/>
          <w:lang w:val="en-US" w:eastAsia="zh-CN"/>
        </w:rPr>
      </w:pPr>
      <w:r>
        <w:rPr>
          <w:rFonts w:hint="eastAsia"/>
          <w:lang w:val="en-US" w:eastAsia="zh-CN"/>
        </w:rPr>
        <w:t>11.其它违约责任按合同其他条款约定及《中华人民共和国民法典》规定处理。</w:t>
      </w:r>
    </w:p>
    <w:p w14:paraId="01200324">
      <w:pPr>
        <w:rPr>
          <w:rFonts w:hint="default"/>
          <w:lang w:val="en-US" w:eastAsia="zh-CN"/>
        </w:rPr>
      </w:pPr>
    </w:p>
    <w:p w14:paraId="18793991">
      <w:pPr>
        <w:pStyle w:val="2"/>
        <w:bidi w:val="0"/>
        <w:rPr>
          <w:rFonts w:hint="eastAsia"/>
          <w:lang w:val="en-US" w:eastAsia="zh-CN"/>
        </w:rPr>
      </w:pPr>
      <w:r>
        <w:rPr>
          <w:rFonts w:hint="eastAsia"/>
          <w:lang w:val="en-US" w:eastAsia="zh-CN"/>
        </w:rPr>
        <w:t>四、商务要求</w:t>
      </w:r>
    </w:p>
    <w:tbl>
      <w:tblPr>
        <w:tblStyle w:val="2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514"/>
        <w:gridCol w:w="6792"/>
      </w:tblGrid>
      <w:tr w14:paraId="0F6151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51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5B901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服务期</w:t>
            </w:r>
          </w:p>
        </w:tc>
        <w:tc>
          <w:tcPr>
            <w:tcW w:w="67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EDDF9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自合同生效之日起1年或累计实际结算款项达到采购金额上限，以先到者为准。</w:t>
            </w:r>
          </w:p>
        </w:tc>
      </w:tr>
      <w:tr w14:paraId="2E5B18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514" w:type="dxa"/>
            <w:tcBorders>
              <w:top w:val="single" w:color="auto" w:sz="6" w:space="0"/>
              <w:left w:val="single" w:color="auto" w:sz="6" w:space="0"/>
              <w:bottom w:val="single" w:color="auto" w:sz="6" w:space="0"/>
              <w:right w:val="single" w:color="auto" w:sz="6" w:space="0"/>
              <w:tl2br w:val="nil"/>
              <w:tr2bl w:val="nil"/>
            </w:tcBorders>
            <w:noWrap w:val="0"/>
            <w:vAlign w:val="top"/>
          </w:tcPr>
          <w:p w14:paraId="5F58B58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★报价要求</w:t>
            </w:r>
          </w:p>
        </w:tc>
        <w:tc>
          <w:tcPr>
            <w:tcW w:w="6792" w:type="dxa"/>
            <w:tcBorders>
              <w:top w:val="single" w:color="auto" w:sz="6" w:space="0"/>
              <w:left w:val="single" w:color="auto" w:sz="6" w:space="0"/>
              <w:bottom w:val="single" w:color="auto" w:sz="6" w:space="0"/>
              <w:right w:val="single" w:color="auto" w:sz="6" w:space="0"/>
              <w:tl2br w:val="nil"/>
              <w:tr2bl w:val="nil"/>
            </w:tcBorders>
            <w:noWrap w:val="0"/>
            <w:vAlign w:val="top"/>
          </w:tcPr>
          <w:p w14:paraId="08E3282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宋体" w:hAnsi="宋体" w:eastAsia="宋体" w:cs="宋体"/>
                <w:b w:val="0"/>
                <w:bCs w:val="0"/>
                <w:color w:val="000000"/>
                <w:spacing w:val="10"/>
                <w:kern w:val="0"/>
                <w:sz w:val="24"/>
                <w:szCs w:val="24"/>
                <w:highlight w:val="none"/>
                <w:lang w:val="en-US" w:eastAsia="zh-CN" w:bidi="ar-SA"/>
                <w14:ligatures w14:val="standardContextual"/>
              </w:rPr>
            </w:pPr>
            <w:r>
              <w:rPr>
                <w:rFonts w:hint="eastAsia" w:ascii="宋体" w:hAnsi="宋体" w:eastAsia="宋体" w:cs="宋体"/>
                <w:b w:val="0"/>
                <w:bCs w:val="0"/>
                <w:color w:val="000000"/>
                <w:spacing w:val="10"/>
                <w:kern w:val="0"/>
                <w:sz w:val="24"/>
                <w:szCs w:val="24"/>
                <w:highlight w:val="none"/>
                <w:lang w:val="en-US" w:eastAsia="zh-CN" w:bidi="ar-SA"/>
                <w14:ligatures w14:val="standardContextual"/>
              </w:rPr>
              <w:t>1.本项目采取统一折扣率报价，响应人应以配送清单的单价限价为基准，按同一个折扣率进行报价，0＜所报折扣率≤100%，且是固定唯一，不能为区间值。若成交，成交单价[对应品种配送货物的单价限价×折扣率]不可改变，配送时按采购人需求的实际品种数量采购及办理合同结算手续。</w:t>
            </w:r>
          </w:p>
          <w:p w14:paraId="479DA7A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宋体" w:hAnsi="宋体" w:eastAsia="宋体" w:cs="宋体"/>
                <w:b w:val="0"/>
                <w:bCs w:val="0"/>
                <w:color w:val="000000"/>
                <w:spacing w:val="10"/>
                <w:kern w:val="0"/>
                <w:sz w:val="24"/>
                <w:szCs w:val="24"/>
                <w:highlight w:val="none"/>
                <w:lang w:val="en-US" w:eastAsia="zh-CN" w:bidi="ar-SA"/>
                <w14:ligatures w14:val="standardContextual"/>
              </w:rPr>
            </w:pPr>
            <w:r>
              <w:rPr>
                <w:rFonts w:hint="eastAsia" w:ascii="宋体" w:hAnsi="宋体" w:eastAsia="宋体" w:cs="宋体"/>
                <w:b w:val="0"/>
                <w:bCs w:val="0"/>
                <w:color w:val="000000"/>
                <w:spacing w:val="10"/>
                <w:kern w:val="0"/>
                <w:sz w:val="24"/>
                <w:szCs w:val="24"/>
                <w:highlight w:val="none"/>
                <w:lang w:val="en-US" w:eastAsia="zh-CN" w:bidi="ar-SA"/>
                <w14:ligatures w14:val="standardContextual"/>
              </w:rPr>
              <w:t>2.报价中应包括货物的购置、运输、装卸、检测、验收、质量抽检、保险、相关部门验收、相关仓储费用、人工、售后服务、质保期内三包费用、因原材料价格市场波动等引起的费用（如有）、退换物品的费用及质保期内的各种税金、运输费、材料费、加工费等所有费用。如成交供应商在成交后或履行合同过程中出现任何遗漏性内容需产生额外费用，均由成交供应商自行承担，采购人不再支付任何其他费用。成交供应商在实际供应过程中不得以任何理由调整价格，成交供应商应充分考虑在采购周期内由于市场波动而引致的风险。</w:t>
            </w:r>
          </w:p>
          <w:p w14:paraId="2F77E55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pacing w:val="10"/>
                <w:kern w:val="0"/>
                <w:sz w:val="24"/>
                <w:szCs w:val="24"/>
                <w:highlight w:val="none"/>
                <w:lang w:val="en-US" w:eastAsia="zh-CN" w:bidi="ar-SA"/>
                <w14:ligatures w14:val="standardContextual"/>
              </w:rPr>
            </w:pPr>
            <w:r>
              <w:rPr>
                <w:rFonts w:hint="eastAsia" w:ascii="宋体" w:hAnsi="宋体" w:eastAsia="宋体" w:cs="宋体"/>
                <w:b w:val="0"/>
                <w:bCs w:val="0"/>
                <w:color w:val="000000"/>
                <w:spacing w:val="10"/>
                <w:kern w:val="0"/>
                <w:sz w:val="24"/>
                <w:szCs w:val="24"/>
                <w:highlight w:val="none"/>
                <w:lang w:val="en-US" w:eastAsia="zh-CN" w:bidi="ar-SA"/>
                <w14:ligatures w14:val="standardContextual"/>
              </w:rPr>
              <w:t>3.响应人必须在《报价一览表》中对每个品种完整填报所投品牌，如有漏报，响应无效。响应人应知晓，如成交，所投品牌即为实际所供货物的品牌。</w:t>
            </w:r>
          </w:p>
        </w:tc>
      </w:tr>
      <w:tr w14:paraId="078FE2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51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79689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付款方式</w:t>
            </w:r>
          </w:p>
        </w:tc>
        <w:tc>
          <w:tcPr>
            <w:tcW w:w="67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EE9CB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1.结算方式：根据中标单价，按采购人需求的实际品种、数量采购及办理结算手续。</w:t>
            </w:r>
          </w:p>
          <w:p w14:paraId="1C3F578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2.中标人按照采购人要求将所有货物配送至指定地点，货物品种和数量以采购人验收合格为准。</w:t>
            </w:r>
          </w:p>
          <w:p w14:paraId="2FF8D09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3.货到验收合格后一个月如未发现质量问题的，中标人凭采购人收货证明、正式发票向采购人提出付款申请。采购人在收到发票且满足支付条件后10个工作日内向响应人支付结算款项。</w:t>
            </w:r>
          </w:p>
          <w:p w14:paraId="75DA217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4.发票必须当面交给采购人经办人签收，不接受邮寄。</w:t>
            </w:r>
          </w:p>
        </w:tc>
      </w:tr>
      <w:tr w14:paraId="29BEE6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51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FB8CD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验收要求</w:t>
            </w:r>
          </w:p>
        </w:tc>
        <w:tc>
          <w:tcPr>
            <w:tcW w:w="67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EF1C0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1.交付验收：产品运抵采购人仓库后采购人应派人卸货并当场验收，中标人以采购人验收人签名为凭。如采购人发现产品包装因中标人原因损坏，可要求中标人调换，如发现货物短缺或编号与送货单不符，采购人应当场向中标人送货人员或销售人员提出签名证实要求；中标人应在下次送货时给予补偿或调换；采购人签收后，采购人对产品保管不当或人为损害由采购人负责，不得退货。采购人在使用中标人产品的过程中，发现产品质量问题应随时与中标人协调，中标人须及时更换，直至符合采购人要求。</w:t>
            </w:r>
          </w:p>
          <w:p w14:paraId="771F396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 xml:space="preserve">中标人必须保证采购人所需产品的安全库存，不得因缺货造成采购人断货。若中标人原因造成采购人断货，中标人应以同等质量或更好质量的同类型产品替代供应，且价格不得高于中标单价。若在合约期限内因中标人断货而造成的采购人的损失，由中标人承担相应损失。 </w:t>
            </w:r>
          </w:p>
          <w:p w14:paraId="1376C83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2.项目验收依次序对照执行标准为：</w:t>
            </w:r>
          </w:p>
          <w:p w14:paraId="59B0879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（1）符合中华人民共和国国家和履约地相关安全质量标准、行业技术规范标准、环保节能标准；</w:t>
            </w:r>
          </w:p>
          <w:p w14:paraId="379F5DB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（2）符合采购文件和响应承诺中各方共同认可的合理最佳配置、参数规格及各项要求；</w:t>
            </w:r>
          </w:p>
          <w:p w14:paraId="5AA4633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（3）符合产品来源国官方颁布的最新标准；</w:t>
            </w:r>
          </w:p>
          <w:p w14:paraId="645CE77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 xml:space="preserve">（4）双方约定的其他验收标准。 </w:t>
            </w:r>
          </w:p>
        </w:tc>
      </w:tr>
      <w:tr w14:paraId="08584E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51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94D32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履约保证金</w:t>
            </w:r>
          </w:p>
        </w:tc>
        <w:tc>
          <w:tcPr>
            <w:tcW w:w="67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BB440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（一）提交说明</w:t>
            </w:r>
          </w:p>
          <w:p w14:paraId="34580AC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1.时间：合同签署后10个工作日内；</w:t>
            </w:r>
          </w:p>
          <w:p w14:paraId="468E458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2.金额：1万元整；</w:t>
            </w:r>
          </w:p>
          <w:p w14:paraId="64D88CD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3.方式：支票、汇票、本票或金融机构（外资银行在国内的分支机构除外）出具的书面无条件保函；</w:t>
            </w:r>
          </w:p>
          <w:p w14:paraId="1100D4D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4.保函有效期：覆盖合同履行全过程（含完成售后服务期（或质量保证期）内所需提供的服务内容）。</w:t>
            </w:r>
          </w:p>
          <w:p w14:paraId="1E0F14A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（二）未按要求递交履约保证金责任</w:t>
            </w:r>
          </w:p>
          <w:p w14:paraId="0AA834E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1.响应人如未按要求递交履约保证金，视为放弃此次服务协议，响应人将承担所有责任后果。</w:t>
            </w:r>
          </w:p>
          <w:p w14:paraId="0D1AE8A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（三）退还说明：</w:t>
            </w:r>
          </w:p>
          <w:p w14:paraId="4ADD5F9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1.时间、方式和条件：本合同履行期间中标人无违约行为，中标人履行完成合同约定的所有事项后，向采购人提出申请退还履约保证金，采购人在90日内向中标人退还履约保证金(履约保证金不计利息)。</w:t>
            </w:r>
          </w:p>
          <w:p w14:paraId="3A87A83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2.违约责任：采购人逾期退还履约保证金的，除应当退还履约保证金本金外，还应当每日按合同总金额的1‰向中标人偿付违约金，但因中标人自身原因导致无法及时退还的除外。</w:t>
            </w:r>
          </w:p>
          <w:p w14:paraId="49BDBA3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3.采购人有权直接从履约保证金扣除中标人应当向采购人承担的违约金、赔偿金、维修费等相关费用。</w:t>
            </w:r>
          </w:p>
          <w:p w14:paraId="2B10F05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（四）采购人账号名称：中山大学孙逸仙纪念医院</w:t>
            </w:r>
          </w:p>
          <w:p w14:paraId="45EEA64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账号：3602000509000704422</w:t>
            </w:r>
          </w:p>
          <w:p w14:paraId="4A5B898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开户行：广州市工商银行第二支行。</w:t>
            </w:r>
          </w:p>
          <w:p w14:paraId="3E6FC77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（五）不予退还的情形：</w:t>
            </w:r>
          </w:p>
          <w:p w14:paraId="391F038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凡是因响应人原因导致提前终止合同的，履约保证金不退还。</w:t>
            </w:r>
          </w:p>
          <w:p w14:paraId="27045BE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（六）补足条款：</w:t>
            </w:r>
          </w:p>
          <w:p w14:paraId="3CE9E51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如发生履约保证金被扣罚的情况，响应人应在被扣罚后5个工作日内补足履约保证金，以保证履约保证金满足当年度履约保证金金额要求。</w:t>
            </w:r>
          </w:p>
        </w:tc>
      </w:tr>
      <w:tr w14:paraId="52DF32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514" w:type="dxa"/>
            <w:tcBorders>
              <w:top w:val="single" w:color="auto" w:sz="6" w:space="0"/>
              <w:left w:val="single" w:color="auto" w:sz="6" w:space="0"/>
              <w:bottom w:val="single" w:color="auto" w:sz="6" w:space="0"/>
              <w:right w:val="single" w:color="auto" w:sz="6" w:space="0"/>
              <w:tl2br w:val="nil"/>
              <w:tr2bl w:val="nil"/>
            </w:tcBorders>
            <w:noWrap w:val="0"/>
            <w:vAlign w:val="top"/>
          </w:tcPr>
          <w:p w14:paraId="042AD45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★关于知识产权</w:t>
            </w:r>
          </w:p>
        </w:tc>
        <w:tc>
          <w:tcPr>
            <w:tcW w:w="6792" w:type="dxa"/>
            <w:tcBorders>
              <w:top w:val="single" w:color="auto" w:sz="6" w:space="0"/>
              <w:left w:val="single" w:color="auto" w:sz="6" w:space="0"/>
              <w:bottom w:val="single" w:color="auto" w:sz="6" w:space="0"/>
              <w:right w:val="single" w:color="auto" w:sz="6" w:space="0"/>
              <w:tl2br w:val="nil"/>
              <w:tr2bl w:val="nil"/>
            </w:tcBorders>
            <w:noWrap w:val="0"/>
            <w:vAlign w:val="top"/>
          </w:tcPr>
          <w:p w14:paraId="207FC9B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响应人应保证采购人在使用货物或其任何一部分时，免受第三方提出的侵犯其专利权、商标权、著作权或其它知识产权的起诉或司法干预。如果发生上述起诉或干预，响应人应提供相关知识产权及专利证明，其法律责任均由响应人负责。所发生的任何知识产权纠纷与采购人无关。</w:t>
            </w:r>
          </w:p>
        </w:tc>
      </w:tr>
      <w:tr w14:paraId="464D61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51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01534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其他</w:t>
            </w:r>
          </w:p>
        </w:tc>
        <w:tc>
          <w:tcPr>
            <w:tcW w:w="67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B92D2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1.响应人应具有同类型项目业绩及客户的满意评价，以证明有足够的履约经验。</w:t>
            </w:r>
          </w:p>
          <w:p w14:paraId="456CFDC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2.响应人应具有完善的管理制度，具备质量管理体系，以保证稳定的服务能力和履约质量。</w:t>
            </w:r>
          </w:p>
          <w:p w14:paraId="35E6F35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3.响应人应提供品牌产品，确保过硬且稳定的产品质量。</w:t>
            </w:r>
          </w:p>
          <w:p w14:paraId="7FE2DF3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4.为保障本项目产品配送质量、响应人应在响应文件中提供对本项目的总体实施方案（包含但不限于产品质量管控、产品运输、产品包装、产品生产商的生产设备配置情况等）和完善的售后服务方案（但不限于供货（配送）方案（含响应和到达现场时间及计划）、售后服务方案（含服务人员安排、退换产品服务措施及承诺）、应急预案）</w:t>
            </w:r>
          </w:p>
          <w:p w14:paraId="57E1F9D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5.合同文本的主要条款属于采购人单位的固定格式，响应人应当完全接受所有条款。</w:t>
            </w:r>
          </w:p>
        </w:tc>
      </w:tr>
    </w:tbl>
    <w:p w14:paraId="0CC3C03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Cs w:val="0"/>
          <w:color w:val="000000"/>
          <w:spacing w:val="10"/>
          <w:kern w:val="0"/>
          <w:sz w:val="28"/>
          <w:szCs w:val="32"/>
          <w:highlight w:val="none"/>
          <w:lang w:val="en-US" w:eastAsia="zh-CN" w:bidi="ar-SA"/>
          <w14:ligatures w14:val="standardContextual"/>
        </w:rPr>
      </w:pPr>
    </w:p>
    <w:p w14:paraId="551C9038">
      <w:pPr>
        <w:pStyle w:val="2"/>
        <w:bidi w:val="0"/>
        <w:rPr>
          <w:rFonts w:hint="default"/>
          <w:lang w:val="en-US" w:eastAsia="zh-CN"/>
        </w:rPr>
      </w:pPr>
      <w:r>
        <w:rPr>
          <w:rFonts w:hint="eastAsia"/>
          <w:lang w:val="en-US" w:eastAsia="zh-CN"/>
        </w:rPr>
        <w:t>五、样品要求</w:t>
      </w:r>
    </w:p>
    <w:p w14:paraId="7930C668">
      <w:pPr>
        <w:bidi w:val="0"/>
        <w:rPr>
          <w:rFonts w:hint="eastAsia"/>
          <w:lang w:val="en-US" w:eastAsia="zh-CN"/>
        </w:rPr>
      </w:pPr>
      <w:r>
        <w:rPr>
          <w:rFonts w:hint="eastAsia"/>
          <w:lang w:val="en-US" w:eastAsia="zh-CN"/>
        </w:rPr>
        <w:t>（样品仅作为评分因素，不作为</w:t>
      </w:r>
      <w:r>
        <w:rPr>
          <w:rFonts w:hint="eastAsia"/>
          <w:highlight w:val="none"/>
          <w:lang w:val="en-US" w:eastAsia="zh-CN"/>
        </w:rPr>
        <w:t>资格性审查和符合性审查范围</w:t>
      </w:r>
      <w:r>
        <w:rPr>
          <w:rFonts w:hint="eastAsia"/>
          <w:lang w:val="en-US" w:eastAsia="zh-CN"/>
        </w:rPr>
        <w:t>）：</w:t>
      </w:r>
    </w:p>
    <w:p w14:paraId="17AFB088">
      <w:pPr>
        <w:bidi w:val="0"/>
        <w:rPr>
          <w:rFonts w:hint="eastAsia"/>
          <w:lang w:val="en-US" w:eastAsia="zh-CN"/>
        </w:rPr>
      </w:pPr>
      <w:r>
        <w:rPr>
          <w:rFonts w:hint="eastAsia"/>
          <w:lang w:val="en-US" w:eastAsia="zh-CN"/>
        </w:rPr>
        <w:t>响应人应按照项目技术要求提供样品，样品的生产、运输、安装、保全等一切费用（如有）由响应人自理。</w:t>
      </w:r>
    </w:p>
    <w:p w14:paraId="1947EACC">
      <w:pPr>
        <w:bidi w:val="0"/>
        <w:rPr>
          <w:rFonts w:hint="eastAsia"/>
          <w:lang w:val="en-US" w:eastAsia="zh-CN"/>
        </w:rPr>
      </w:pPr>
      <w:r>
        <w:rPr>
          <w:rFonts w:hint="eastAsia"/>
          <w:lang w:val="en-US" w:eastAsia="zh-CN"/>
        </w:rPr>
        <w:t>1.样品清单：</w:t>
      </w:r>
    </w:p>
    <w:tbl>
      <w:tblPr>
        <w:tblStyle w:val="24"/>
        <w:tblpPr w:leftFromText="180" w:rightFromText="180" w:vertAnchor="text" w:horzAnchor="page" w:tblpX="2392" w:tblpY="180"/>
        <w:tblOverlap w:val="never"/>
        <w:tblW w:w="7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40"/>
        <w:gridCol w:w="1981"/>
        <w:gridCol w:w="1407"/>
      </w:tblGrid>
      <w:tr w14:paraId="30AFD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414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D96474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bCs/>
                <w:color w:val="000000"/>
                <w:spacing w:val="10"/>
                <w:kern w:val="0"/>
                <w:sz w:val="24"/>
                <w:szCs w:val="24"/>
                <w:highlight w:val="none"/>
                <w:lang w:val="en-US" w:eastAsia="zh-CN" w:bidi="ar-SA"/>
                <w14:ligatures w14:val="standardContextual"/>
              </w:rPr>
            </w:pPr>
            <w:r>
              <w:rPr>
                <w:rFonts w:hint="eastAsia" w:ascii="仿宋_GB2312" w:hAnsi="仿宋_GB2312" w:eastAsia="仿宋_GB2312" w:cs="仿宋_GB2312"/>
                <w:b/>
                <w:bCs/>
                <w:color w:val="000000"/>
                <w:spacing w:val="10"/>
                <w:kern w:val="0"/>
                <w:sz w:val="24"/>
                <w:szCs w:val="24"/>
                <w:highlight w:val="none"/>
                <w:lang w:val="en-US" w:eastAsia="zh-CN" w:bidi="ar-SA"/>
                <w14:ligatures w14:val="standardContextual"/>
              </w:rPr>
              <w:t>名称</w:t>
            </w:r>
          </w:p>
        </w:tc>
        <w:tc>
          <w:tcPr>
            <w:tcW w:w="198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820692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bCs/>
                <w:color w:val="000000"/>
                <w:spacing w:val="10"/>
                <w:kern w:val="0"/>
                <w:sz w:val="24"/>
                <w:szCs w:val="24"/>
                <w:highlight w:val="none"/>
                <w:lang w:val="en-US" w:eastAsia="zh-CN" w:bidi="ar-SA"/>
                <w14:ligatures w14:val="standardContextual"/>
              </w:rPr>
            </w:pPr>
            <w:r>
              <w:rPr>
                <w:rFonts w:hint="eastAsia" w:ascii="仿宋_GB2312" w:hAnsi="仿宋_GB2312" w:eastAsia="仿宋_GB2312" w:cs="仿宋_GB2312"/>
                <w:b/>
                <w:bCs/>
                <w:color w:val="000000"/>
                <w:spacing w:val="10"/>
                <w:kern w:val="0"/>
                <w:sz w:val="24"/>
                <w:szCs w:val="24"/>
                <w:highlight w:val="none"/>
                <w:lang w:val="en-US" w:eastAsia="zh-CN" w:bidi="ar-SA"/>
                <w14:ligatures w14:val="standardContextual"/>
              </w:rPr>
              <w:t>样品数量</w:t>
            </w:r>
          </w:p>
        </w:tc>
        <w:tc>
          <w:tcPr>
            <w:tcW w:w="140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219616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bCs/>
                <w:color w:val="000000"/>
                <w:spacing w:val="10"/>
                <w:kern w:val="0"/>
                <w:sz w:val="24"/>
                <w:szCs w:val="24"/>
                <w:highlight w:val="none"/>
                <w:lang w:val="en-US" w:eastAsia="zh-CN" w:bidi="ar-SA"/>
                <w14:ligatures w14:val="standardContextual"/>
              </w:rPr>
            </w:pPr>
            <w:r>
              <w:rPr>
                <w:rFonts w:hint="eastAsia" w:ascii="仿宋_GB2312" w:hAnsi="仿宋_GB2312" w:eastAsia="仿宋_GB2312" w:cs="仿宋_GB2312"/>
                <w:b/>
                <w:bCs/>
                <w:color w:val="000000"/>
                <w:spacing w:val="10"/>
                <w:kern w:val="0"/>
                <w:sz w:val="24"/>
                <w:szCs w:val="24"/>
                <w:highlight w:val="none"/>
                <w:lang w:val="en-US" w:eastAsia="zh-CN" w:bidi="ar-SA"/>
                <w14:ligatures w14:val="standardContextual"/>
              </w:rPr>
              <w:t>样品规格</w:t>
            </w:r>
          </w:p>
        </w:tc>
      </w:tr>
      <w:tr w14:paraId="1C06F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414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43D03D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Cs w:val="0"/>
                <w:color w:val="000000"/>
                <w:spacing w:val="10"/>
                <w:kern w:val="0"/>
                <w:sz w:val="24"/>
                <w:szCs w:val="24"/>
                <w:highlight w:val="none"/>
                <w:lang w:val="en-US" w:eastAsia="zh-CN" w:bidi="ar-SA"/>
                <w14:ligatures w14:val="standardContextual"/>
              </w:rPr>
            </w:pPr>
            <w:r>
              <w:rPr>
                <w:rFonts w:hint="eastAsia" w:ascii="仿宋_GB2312" w:hAnsi="仿宋_GB2312" w:eastAsia="仿宋_GB2312" w:cs="仿宋_GB2312"/>
                <w:bCs w:val="0"/>
                <w:color w:val="000000"/>
                <w:spacing w:val="10"/>
                <w:kern w:val="0"/>
                <w:sz w:val="24"/>
                <w:szCs w:val="24"/>
                <w:highlight w:val="none"/>
                <w:lang w:val="en-US" w:eastAsia="zh-CN" w:bidi="ar-SA"/>
                <w14:ligatures w14:val="standardContextual"/>
              </w:rPr>
              <w:t>打印手腕带[成人]</w:t>
            </w:r>
          </w:p>
        </w:tc>
        <w:tc>
          <w:tcPr>
            <w:tcW w:w="198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D21D63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Cs w:val="0"/>
                <w:color w:val="000000"/>
                <w:spacing w:val="10"/>
                <w:kern w:val="0"/>
                <w:sz w:val="24"/>
                <w:szCs w:val="24"/>
                <w:highlight w:val="none"/>
                <w:lang w:val="en-US" w:eastAsia="zh-CN" w:bidi="ar-SA"/>
                <w14:ligatures w14:val="standardContextual"/>
              </w:rPr>
            </w:pPr>
            <w:r>
              <w:rPr>
                <w:rFonts w:hint="eastAsia" w:ascii="仿宋_GB2312" w:hAnsi="仿宋_GB2312" w:eastAsia="仿宋_GB2312" w:cs="仿宋_GB2312"/>
                <w:bCs w:val="0"/>
                <w:color w:val="000000"/>
                <w:spacing w:val="10"/>
                <w:kern w:val="0"/>
                <w:sz w:val="24"/>
                <w:szCs w:val="24"/>
                <w:highlight w:val="none"/>
                <w:lang w:val="en-US" w:eastAsia="zh-CN" w:bidi="ar-SA"/>
                <w14:ligatures w14:val="standardContextual"/>
              </w:rPr>
              <w:t>1卷</w:t>
            </w:r>
          </w:p>
        </w:tc>
        <w:tc>
          <w:tcPr>
            <w:tcW w:w="1407" w:type="dxa"/>
            <w:vMerge w:val="restart"/>
            <w:tcBorders>
              <w:top w:val="single" w:color="000000" w:sz="4" w:space="0"/>
              <w:left w:val="single" w:color="000000" w:sz="4" w:space="0"/>
              <w:right w:val="single" w:color="000000" w:sz="4" w:space="0"/>
              <w:tl2br w:val="nil"/>
              <w:tr2bl w:val="nil"/>
            </w:tcBorders>
            <w:noWrap/>
            <w:vAlign w:val="center"/>
          </w:tcPr>
          <w:p w14:paraId="506E62B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Cs w:val="0"/>
                <w:color w:val="000000"/>
                <w:spacing w:val="10"/>
                <w:kern w:val="0"/>
                <w:sz w:val="24"/>
                <w:szCs w:val="24"/>
                <w:highlight w:val="none"/>
                <w:lang w:val="en-US" w:eastAsia="zh-CN" w:bidi="ar-SA"/>
                <w14:ligatures w14:val="standardContextual"/>
              </w:rPr>
            </w:pPr>
            <w:r>
              <w:rPr>
                <w:rFonts w:hint="eastAsia" w:ascii="仿宋_GB2312" w:hAnsi="仿宋_GB2312" w:eastAsia="仿宋_GB2312" w:cs="仿宋_GB2312"/>
                <w:bCs w:val="0"/>
                <w:color w:val="000000"/>
                <w:spacing w:val="10"/>
                <w:kern w:val="0"/>
                <w:sz w:val="24"/>
                <w:szCs w:val="24"/>
                <w:highlight w:val="none"/>
                <w:lang w:val="en-US" w:eastAsia="zh-CN" w:bidi="ar-SA"/>
                <w14:ligatures w14:val="standardContextual"/>
              </w:rPr>
              <w:t>等比样品</w:t>
            </w:r>
          </w:p>
        </w:tc>
      </w:tr>
      <w:tr w14:paraId="12606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414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84BB47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Cs w:val="0"/>
                <w:color w:val="000000"/>
                <w:spacing w:val="10"/>
                <w:kern w:val="0"/>
                <w:sz w:val="24"/>
                <w:szCs w:val="24"/>
                <w:highlight w:val="none"/>
                <w:lang w:val="en-US" w:eastAsia="zh-CN" w:bidi="ar-SA"/>
                <w14:ligatures w14:val="standardContextual"/>
              </w:rPr>
            </w:pPr>
            <w:r>
              <w:rPr>
                <w:rFonts w:hint="eastAsia" w:ascii="仿宋_GB2312" w:hAnsi="仿宋_GB2312" w:eastAsia="仿宋_GB2312" w:cs="仿宋_GB2312"/>
                <w:bCs w:val="0"/>
                <w:color w:val="000000"/>
                <w:spacing w:val="10"/>
                <w:kern w:val="0"/>
                <w:sz w:val="24"/>
                <w:szCs w:val="24"/>
                <w:highlight w:val="none"/>
                <w:lang w:val="en-US" w:eastAsia="zh-CN" w:bidi="ar-SA"/>
                <w14:ligatures w14:val="standardContextual"/>
              </w:rPr>
              <w:t>打印手腕带[儿童]</w:t>
            </w:r>
          </w:p>
        </w:tc>
        <w:tc>
          <w:tcPr>
            <w:tcW w:w="198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65F249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Cs w:val="0"/>
                <w:color w:val="000000"/>
                <w:spacing w:val="10"/>
                <w:kern w:val="0"/>
                <w:sz w:val="24"/>
                <w:szCs w:val="24"/>
                <w:highlight w:val="none"/>
                <w:lang w:val="en-US" w:eastAsia="zh-CN" w:bidi="ar-SA"/>
                <w14:ligatures w14:val="standardContextual"/>
              </w:rPr>
            </w:pPr>
            <w:r>
              <w:rPr>
                <w:rFonts w:hint="eastAsia" w:ascii="仿宋_GB2312" w:hAnsi="仿宋_GB2312" w:eastAsia="仿宋_GB2312" w:cs="仿宋_GB2312"/>
                <w:bCs w:val="0"/>
                <w:color w:val="000000"/>
                <w:spacing w:val="10"/>
                <w:kern w:val="0"/>
                <w:sz w:val="24"/>
                <w:szCs w:val="24"/>
                <w:highlight w:val="none"/>
                <w:lang w:val="en-US" w:eastAsia="zh-CN" w:bidi="ar-SA"/>
                <w14:ligatures w14:val="standardContextual"/>
              </w:rPr>
              <w:t>1卷</w:t>
            </w:r>
          </w:p>
        </w:tc>
        <w:tc>
          <w:tcPr>
            <w:tcW w:w="1407" w:type="dxa"/>
            <w:vMerge w:val="continue"/>
            <w:tcBorders>
              <w:left w:val="single" w:color="000000" w:sz="4" w:space="0"/>
              <w:right w:val="single" w:color="000000" w:sz="4" w:space="0"/>
              <w:tl2br w:val="nil"/>
              <w:tr2bl w:val="nil"/>
            </w:tcBorders>
            <w:noWrap/>
            <w:vAlign w:val="center"/>
          </w:tcPr>
          <w:p w14:paraId="0175A80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Cs w:val="0"/>
                <w:color w:val="000000"/>
                <w:spacing w:val="10"/>
                <w:kern w:val="0"/>
                <w:sz w:val="24"/>
                <w:szCs w:val="24"/>
                <w:highlight w:val="none"/>
                <w:lang w:val="en-US" w:eastAsia="zh-CN" w:bidi="ar-SA"/>
                <w14:ligatures w14:val="standardContextual"/>
              </w:rPr>
            </w:pPr>
          </w:p>
        </w:tc>
      </w:tr>
      <w:tr w14:paraId="1C1C5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414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764182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Cs w:val="0"/>
                <w:color w:val="000000"/>
                <w:spacing w:val="10"/>
                <w:kern w:val="0"/>
                <w:sz w:val="24"/>
                <w:szCs w:val="24"/>
                <w:highlight w:val="none"/>
                <w:lang w:val="en-US" w:eastAsia="zh-CN" w:bidi="ar-SA"/>
                <w14:ligatures w14:val="standardContextual"/>
              </w:rPr>
            </w:pPr>
            <w:r>
              <w:rPr>
                <w:rFonts w:hint="eastAsia" w:ascii="仿宋_GB2312" w:hAnsi="仿宋_GB2312" w:eastAsia="仿宋_GB2312" w:cs="仿宋_GB2312"/>
                <w:bCs w:val="0"/>
                <w:color w:val="000000"/>
                <w:spacing w:val="10"/>
                <w:kern w:val="0"/>
                <w:sz w:val="24"/>
                <w:szCs w:val="24"/>
                <w:highlight w:val="none"/>
                <w:lang w:val="en-US" w:eastAsia="zh-CN" w:bidi="ar-SA"/>
                <w14:ligatures w14:val="standardContextual"/>
              </w:rPr>
              <w:t>打印手腕带[爱婴区专用]</w:t>
            </w:r>
          </w:p>
        </w:tc>
        <w:tc>
          <w:tcPr>
            <w:tcW w:w="198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3143F0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Cs w:val="0"/>
                <w:color w:val="000000"/>
                <w:spacing w:val="10"/>
                <w:kern w:val="0"/>
                <w:sz w:val="24"/>
                <w:szCs w:val="24"/>
                <w:highlight w:val="none"/>
                <w:lang w:val="en-US" w:eastAsia="zh-CN" w:bidi="ar-SA"/>
                <w14:ligatures w14:val="standardContextual"/>
              </w:rPr>
            </w:pPr>
            <w:r>
              <w:rPr>
                <w:rFonts w:hint="eastAsia" w:ascii="仿宋_GB2312" w:hAnsi="仿宋_GB2312" w:eastAsia="仿宋_GB2312" w:cs="仿宋_GB2312"/>
                <w:bCs w:val="0"/>
                <w:color w:val="000000"/>
                <w:spacing w:val="10"/>
                <w:kern w:val="0"/>
                <w:sz w:val="24"/>
                <w:szCs w:val="24"/>
                <w:highlight w:val="none"/>
                <w:lang w:val="en-US" w:eastAsia="zh-CN" w:bidi="ar-SA"/>
                <w14:ligatures w14:val="standardContextual"/>
              </w:rPr>
              <w:t>1卷</w:t>
            </w:r>
          </w:p>
        </w:tc>
        <w:tc>
          <w:tcPr>
            <w:tcW w:w="1407" w:type="dxa"/>
            <w:vMerge w:val="continue"/>
            <w:tcBorders>
              <w:left w:val="single" w:color="000000" w:sz="4" w:space="0"/>
              <w:right w:val="single" w:color="000000" w:sz="4" w:space="0"/>
              <w:tl2br w:val="nil"/>
              <w:tr2bl w:val="nil"/>
            </w:tcBorders>
            <w:noWrap/>
            <w:vAlign w:val="center"/>
          </w:tcPr>
          <w:p w14:paraId="0A101D9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Cs w:val="0"/>
                <w:color w:val="000000"/>
                <w:spacing w:val="10"/>
                <w:kern w:val="0"/>
                <w:sz w:val="24"/>
                <w:szCs w:val="24"/>
                <w:highlight w:val="none"/>
                <w:lang w:val="en-US" w:eastAsia="zh-CN" w:bidi="ar-SA"/>
                <w14:ligatures w14:val="standardContextual"/>
              </w:rPr>
            </w:pPr>
          </w:p>
        </w:tc>
      </w:tr>
      <w:tr w14:paraId="4582A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414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2D37FD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Cs w:val="0"/>
                <w:color w:val="000000"/>
                <w:spacing w:val="10"/>
                <w:kern w:val="0"/>
                <w:sz w:val="24"/>
                <w:szCs w:val="24"/>
                <w:highlight w:val="none"/>
                <w:lang w:val="en-US" w:eastAsia="zh-CN" w:bidi="ar-SA"/>
                <w14:ligatures w14:val="standardContextual"/>
              </w:rPr>
            </w:pPr>
            <w:r>
              <w:rPr>
                <w:rFonts w:hint="eastAsia" w:ascii="仿宋_GB2312" w:hAnsi="仿宋_GB2312" w:eastAsia="仿宋_GB2312" w:cs="仿宋_GB2312"/>
                <w:bCs w:val="0"/>
                <w:color w:val="000000"/>
                <w:spacing w:val="10"/>
                <w:kern w:val="0"/>
                <w:sz w:val="24"/>
                <w:szCs w:val="24"/>
                <w:highlight w:val="none"/>
                <w:lang w:val="en-US" w:eastAsia="zh-CN" w:bidi="ar-SA"/>
                <w14:ligatures w14:val="standardContextual"/>
              </w:rPr>
              <w:t>手写识别带[女成人]</w:t>
            </w:r>
          </w:p>
        </w:tc>
        <w:tc>
          <w:tcPr>
            <w:tcW w:w="198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40D5EA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Cs w:val="0"/>
                <w:color w:val="000000"/>
                <w:spacing w:val="10"/>
                <w:kern w:val="0"/>
                <w:sz w:val="24"/>
                <w:szCs w:val="24"/>
                <w:highlight w:val="none"/>
                <w:lang w:val="en-US" w:eastAsia="zh-CN" w:bidi="ar-SA"/>
                <w14:ligatures w14:val="standardContextual"/>
              </w:rPr>
            </w:pPr>
            <w:r>
              <w:rPr>
                <w:rFonts w:hint="eastAsia" w:ascii="仿宋_GB2312" w:hAnsi="仿宋_GB2312" w:eastAsia="仿宋_GB2312" w:cs="仿宋_GB2312"/>
                <w:bCs w:val="0"/>
                <w:color w:val="000000"/>
                <w:spacing w:val="10"/>
                <w:kern w:val="0"/>
                <w:sz w:val="24"/>
                <w:szCs w:val="24"/>
                <w:highlight w:val="none"/>
                <w:lang w:val="en-US" w:eastAsia="zh-CN" w:bidi="ar-SA"/>
                <w14:ligatures w14:val="standardContextual"/>
              </w:rPr>
              <w:t>1卷</w:t>
            </w:r>
          </w:p>
        </w:tc>
        <w:tc>
          <w:tcPr>
            <w:tcW w:w="1407" w:type="dxa"/>
            <w:vMerge w:val="continue"/>
            <w:tcBorders>
              <w:left w:val="single" w:color="000000" w:sz="4" w:space="0"/>
              <w:right w:val="single" w:color="000000" w:sz="4" w:space="0"/>
              <w:tl2br w:val="nil"/>
              <w:tr2bl w:val="nil"/>
            </w:tcBorders>
            <w:noWrap/>
            <w:vAlign w:val="center"/>
          </w:tcPr>
          <w:p w14:paraId="05F0A7A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Cs w:val="0"/>
                <w:color w:val="000000"/>
                <w:spacing w:val="10"/>
                <w:kern w:val="0"/>
                <w:sz w:val="24"/>
                <w:szCs w:val="24"/>
                <w:highlight w:val="none"/>
                <w:lang w:val="en-US" w:eastAsia="zh-CN" w:bidi="ar-SA"/>
                <w14:ligatures w14:val="standardContextual"/>
              </w:rPr>
            </w:pPr>
          </w:p>
        </w:tc>
      </w:tr>
      <w:tr w14:paraId="1DD08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414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7DF7F4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Cs w:val="0"/>
                <w:color w:val="000000"/>
                <w:spacing w:val="10"/>
                <w:kern w:val="0"/>
                <w:sz w:val="24"/>
                <w:szCs w:val="24"/>
                <w:highlight w:val="none"/>
                <w:lang w:val="en-US" w:eastAsia="zh-CN" w:bidi="ar-SA"/>
                <w14:ligatures w14:val="standardContextual"/>
              </w:rPr>
            </w:pPr>
            <w:r>
              <w:rPr>
                <w:rFonts w:hint="eastAsia" w:ascii="仿宋_GB2312" w:hAnsi="仿宋_GB2312" w:eastAsia="仿宋_GB2312" w:cs="仿宋_GB2312"/>
                <w:bCs w:val="0"/>
                <w:color w:val="000000"/>
                <w:spacing w:val="10"/>
                <w:kern w:val="0"/>
                <w:sz w:val="24"/>
                <w:szCs w:val="24"/>
                <w:highlight w:val="none"/>
                <w:lang w:val="en-US" w:eastAsia="zh-CN" w:bidi="ar-SA"/>
                <w14:ligatures w14:val="standardContextual"/>
              </w:rPr>
              <w:t>手写识别带[陪护]</w:t>
            </w:r>
          </w:p>
        </w:tc>
        <w:tc>
          <w:tcPr>
            <w:tcW w:w="198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DD79A6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Cs w:val="0"/>
                <w:color w:val="000000"/>
                <w:spacing w:val="10"/>
                <w:kern w:val="0"/>
                <w:sz w:val="24"/>
                <w:szCs w:val="24"/>
                <w:highlight w:val="none"/>
                <w:lang w:val="en-US" w:eastAsia="zh-CN" w:bidi="ar-SA"/>
                <w14:ligatures w14:val="standardContextual"/>
              </w:rPr>
            </w:pPr>
            <w:r>
              <w:rPr>
                <w:rFonts w:hint="eastAsia" w:ascii="仿宋_GB2312" w:hAnsi="仿宋_GB2312" w:eastAsia="仿宋_GB2312" w:cs="仿宋_GB2312"/>
                <w:bCs w:val="0"/>
                <w:color w:val="000000"/>
                <w:spacing w:val="10"/>
                <w:kern w:val="0"/>
                <w:sz w:val="24"/>
                <w:szCs w:val="24"/>
                <w:highlight w:val="none"/>
                <w:lang w:val="en-US" w:eastAsia="zh-CN" w:bidi="ar-SA"/>
                <w14:ligatures w14:val="standardContextual"/>
              </w:rPr>
              <w:t>1卷</w:t>
            </w:r>
          </w:p>
        </w:tc>
        <w:tc>
          <w:tcPr>
            <w:tcW w:w="1407" w:type="dxa"/>
            <w:vMerge w:val="continue"/>
            <w:tcBorders>
              <w:left w:val="single" w:color="000000" w:sz="4" w:space="0"/>
              <w:right w:val="single" w:color="000000" w:sz="4" w:space="0"/>
              <w:tl2br w:val="nil"/>
              <w:tr2bl w:val="nil"/>
            </w:tcBorders>
            <w:noWrap/>
            <w:vAlign w:val="center"/>
          </w:tcPr>
          <w:p w14:paraId="6FFC541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Cs w:val="0"/>
                <w:color w:val="000000"/>
                <w:spacing w:val="10"/>
                <w:kern w:val="0"/>
                <w:sz w:val="24"/>
                <w:szCs w:val="24"/>
                <w:highlight w:val="none"/>
                <w:lang w:val="en-US" w:eastAsia="zh-CN" w:bidi="ar-SA"/>
                <w14:ligatures w14:val="standardContextual"/>
              </w:rPr>
            </w:pPr>
          </w:p>
        </w:tc>
      </w:tr>
      <w:tr w14:paraId="4C5B2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414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F7C6FA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Cs w:val="0"/>
                <w:color w:val="000000"/>
                <w:spacing w:val="10"/>
                <w:kern w:val="0"/>
                <w:sz w:val="24"/>
                <w:szCs w:val="24"/>
                <w:highlight w:val="none"/>
                <w:lang w:val="en-US" w:eastAsia="zh-CN" w:bidi="ar-SA"/>
                <w14:ligatures w14:val="standardContextual"/>
              </w:rPr>
            </w:pPr>
            <w:r>
              <w:rPr>
                <w:rFonts w:hint="eastAsia" w:ascii="仿宋_GB2312" w:hAnsi="仿宋_GB2312" w:eastAsia="仿宋_GB2312" w:cs="仿宋_GB2312"/>
                <w:bCs w:val="0"/>
                <w:color w:val="000000"/>
                <w:spacing w:val="10"/>
                <w:kern w:val="0"/>
                <w:sz w:val="24"/>
                <w:szCs w:val="24"/>
                <w:highlight w:val="none"/>
                <w:lang w:val="en-US" w:eastAsia="zh-CN" w:bidi="ar-SA"/>
                <w14:ligatures w14:val="standardContextual"/>
              </w:rPr>
              <w:t>打印手腕带[其他]</w:t>
            </w:r>
          </w:p>
        </w:tc>
        <w:tc>
          <w:tcPr>
            <w:tcW w:w="198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75D590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Cs w:val="0"/>
                <w:color w:val="000000"/>
                <w:spacing w:val="10"/>
                <w:kern w:val="0"/>
                <w:sz w:val="24"/>
                <w:szCs w:val="24"/>
                <w:highlight w:val="none"/>
                <w:lang w:val="en-US" w:eastAsia="zh-CN" w:bidi="ar-SA"/>
                <w14:ligatures w14:val="standardContextual"/>
              </w:rPr>
            </w:pPr>
            <w:r>
              <w:rPr>
                <w:rFonts w:hint="eastAsia" w:ascii="仿宋_GB2312" w:hAnsi="仿宋_GB2312" w:eastAsia="仿宋_GB2312" w:cs="仿宋_GB2312"/>
                <w:bCs w:val="0"/>
                <w:color w:val="000000"/>
                <w:spacing w:val="10"/>
                <w:kern w:val="0"/>
                <w:sz w:val="24"/>
                <w:szCs w:val="24"/>
                <w:highlight w:val="none"/>
                <w:lang w:val="en-US" w:eastAsia="zh-CN" w:bidi="ar-SA"/>
                <w14:ligatures w14:val="standardContextual"/>
              </w:rPr>
              <w:t>1卷</w:t>
            </w:r>
          </w:p>
        </w:tc>
        <w:tc>
          <w:tcPr>
            <w:tcW w:w="1407" w:type="dxa"/>
            <w:vMerge w:val="continue"/>
            <w:tcBorders>
              <w:left w:val="single" w:color="000000" w:sz="4" w:space="0"/>
              <w:right w:val="single" w:color="000000" w:sz="4" w:space="0"/>
              <w:tl2br w:val="nil"/>
              <w:tr2bl w:val="nil"/>
            </w:tcBorders>
            <w:noWrap/>
            <w:vAlign w:val="center"/>
          </w:tcPr>
          <w:p w14:paraId="5E2A406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Cs w:val="0"/>
                <w:color w:val="000000"/>
                <w:spacing w:val="10"/>
                <w:kern w:val="0"/>
                <w:sz w:val="24"/>
                <w:szCs w:val="24"/>
                <w:highlight w:val="none"/>
                <w:lang w:val="en-US" w:eastAsia="zh-CN" w:bidi="ar-SA"/>
                <w14:ligatures w14:val="standardContextual"/>
              </w:rPr>
            </w:pPr>
          </w:p>
        </w:tc>
      </w:tr>
      <w:tr w14:paraId="20589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414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CBD0BF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Cs w:val="0"/>
                <w:color w:val="000000"/>
                <w:spacing w:val="10"/>
                <w:kern w:val="0"/>
                <w:sz w:val="24"/>
                <w:szCs w:val="24"/>
                <w:highlight w:val="none"/>
                <w:lang w:val="en-US" w:eastAsia="zh-CN" w:bidi="ar-SA"/>
                <w14:ligatures w14:val="standardContextual"/>
              </w:rPr>
            </w:pPr>
            <w:r>
              <w:rPr>
                <w:rFonts w:hint="eastAsia" w:ascii="仿宋_GB2312" w:hAnsi="仿宋_GB2312" w:eastAsia="仿宋_GB2312" w:cs="仿宋_GB2312"/>
                <w:bCs w:val="0"/>
                <w:color w:val="000000"/>
                <w:spacing w:val="10"/>
                <w:kern w:val="0"/>
                <w:sz w:val="24"/>
                <w:szCs w:val="24"/>
                <w:highlight w:val="none"/>
                <w:lang w:val="en-US" w:eastAsia="zh-CN" w:bidi="ar-SA"/>
                <w14:ligatures w14:val="standardContextual"/>
              </w:rPr>
              <w:t>条码腕带打印机</w:t>
            </w:r>
          </w:p>
        </w:tc>
        <w:tc>
          <w:tcPr>
            <w:tcW w:w="198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D97AEF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Cs w:val="0"/>
                <w:color w:val="000000"/>
                <w:spacing w:val="10"/>
                <w:kern w:val="0"/>
                <w:sz w:val="24"/>
                <w:szCs w:val="24"/>
                <w:highlight w:val="none"/>
                <w:lang w:val="en-US" w:eastAsia="zh-CN" w:bidi="ar-SA"/>
                <w14:ligatures w14:val="standardContextual"/>
              </w:rPr>
            </w:pPr>
            <w:r>
              <w:rPr>
                <w:rFonts w:hint="eastAsia" w:ascii="仿宋_GB2312" w:hAnsi="仿宋_GB2312" w:eastAsia="仿宋_GB2312" w:cs="仿宋_GB2312"/>
                <w:bCs w:val="0"/>
                <w:color w:val="000000"/>
                <w:spacing w:val="10"/>
                <w:kern w:val="0"/>
                <w:sz w:val="24"/>
                <w:szCs w:val="24"/>
                <w:highlight w:val="none"/>
                <w:lang w:val="en-US" w:eastAsia="zh-CN" w:bidi="ar-SA"/>
                <w14:ligatures w14:val="standardContextual"/>
              </w:rPr>
              <w:t>1个</w:t>
            </w:r>
          </w:p>
        </w:tc>
        <w:tc>
          <w:tcPr>
            <w:tcW w:w="1407" w:type="dxa"/>
            <w:tcBorders>
              <w:left w:val="single" w:color="000000" w:sz="4" w:space="0"/>
              <w:bottom w:val="single" w:color="000000" w:sz="4" w:space="0"/>
              <w:right w:val="single" w:color="000000" w:sz="4" w:space="0"/>
              <w:tl2br w:val="nil"/>
              <w:tr2bl w:val="nil"/>
            </w:tcBorders>
            <w:noWrap/>
            <w:vAlign w:val="center"/>
          </w:tcPr>
          <w:p w14:paraId="29E795A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Cs w:val="0"/>
                <w:color w:val="000000"/>
                <w:spacing w:val="10"/>
                <w:kern w:val="0"/>
                <w:sz w:val="24"/>
                <w:szCs w:val="24"/>
                <w:highlight w:val="none"/>
                <w:lang w:val="en-US" w:eastAsia="zh-CN" w:bidi="ar-SA"/>
                <w14:ligatures w14:val="standardContextual"/>
              </w:rPr>
            </w:pPr>
          </w:p>
        </w:tc>
      </w:tr>
    </w:tbl>
    <w:p w14:paraId="02B2D0CE">
      <w:pPr>
        <w:bidi w:val="0"/>
        <w:rPr>
          <w:rFonts w:hint="eastAsia"/>
          <w:lang w:val="en-US" w:eastAsia="zh-CN"/>
        </w:rPr>
      </w:pPr>
    </w:p>
    <w:p w14:paraId="6CF14C5F">
      <w:pPr>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br w:type="page"/>
      </w:r>
    </w:p>
    <w:p w14:paraId="021DC5FE">
      <w:pPr>
        <w:pStyle w:val="3"/>
        <w:bidi w:val="0"/>
        <w:rPr>
          <w:rFonts w:hint="eastAsia"/>
        </w:rPr>
      </w:pPr>
      <w:r>
        <w:rPr>
          <w:rFonts w:hint="eastAsia"/>
          <w:lang w:val="en-US" w:eastAsia="zh-CN"/>
        </w:rPr>
        <w:t>评审</w:t>
      </w:r>
      <w:r>
        <w:rPr>
          <w:rFonts w:hint="eastAsia"/>
        </w:rPr>
        <w:t>标准</w:t>
      </w:r>
      <w:r>
        <w:rPr>
          <w:rFonts w:hint="eastAsia"/>
        </w:rPr>
        <w:br w:type="textWrapping"/>
      </w:r>
    </w:p>
    <w:p w14:paraId="2911DFB8">
      <w:pPr>
        <w:bidi w:val="0"/>
        <w:rPr>
          <w:rFonts w:hint="eastAsia"/>
          <w:b/>
          <w:bCs/>
          <w:lang w:val="en-US" w:eastAsia="zh-CN"/>
        </w:rPr>
      </w:pPr>
      <w:r>
        <w:rPr>
          <w:rFonts w:hint="eastAsia"/>
          <w:b/>
          <w:bCs/>
          <w:lang w:val="en-US" w:eastAsia="zh-CN"/>
        </w:rPr>
        <w:t>一、资格审查</w:t>
      </w:r>
    </w:p>
    <w:p w14:paraId="2DD169F0">
      <w:pPr>
        <w:bidi w:val="0"/>
        <w:jc w:val="center"/>
        <w:rPr>
          <w:rFonts w:hint="eastAsia"/>
        </w:rPr>
      </w:pPr>
      <w:r>
        <w:rPr>
          <w:rFonts w:hint="eastAsia"/>
        </w:rPr>
        <w:t>《资格审查表》</w:t>
      </w:r>
    </w:p>
    <w:tbl>
      <w:tblPr>
        <w:tblStyle w:val="24"/>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49E9F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14:paraId="3DE1C86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序号</w:t>
            </w:r>
          </w:p>
        </w:tc>
        <w:tc>
          <w:tcPr>
            <w:tcW w:w="8731" w:type="dxa"/>
          </w:tcPr>
          <w:p w14:paraId="7F6F6A9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内容</w:t>
            </w:r>
          </w:p>
        </w:tc>
      </w:tr>
      <w:tr w14:paraId="7BEAD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48" w:type="dxa"/>
            <w:vAlign w:val="center"/>
          </w:tcPr>
          <w:p w14:paraId="4590A2E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1</w:t>
            </w:r>
          </w:p>
        </w:tc>
        <w:tc>
          <w:tcPr>
            <w:tcW w:w="8731" w:type="dxa"/>
          </w:tcPr>
          <w:p w14:paraId="1E1C6F7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响应人应具备以下条件：（响应人出具有效的承诺函并加盖公章）</w:t>
            </w:r>
          </w:p>
          <w:p w14:paraId="010ED4F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①具有良好的商业信誉和健全的财务会计制度；</w:t>
            </w:r>
          </w:p>
          <w:p w14:paraId="72A7A45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②有依法缴纳税收和社会保障资金的良好记录；</w:t>
            </w:r>
          </w:p>
          <w:p w14:paraId="158DE32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③具备履行合同所必需的设备和专业技术能力；</w:t>
            </w:r>
          </w:p>
          <w:p w14:paraId="44DF9E5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④参加本次采购活动前三年内，在经营活动中没有重大违法记录。</w:t>
            </w:r>
          </w:p>
        </w:tc>
      </w:tr>
      <w:tr w14:paraId="66F4B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66574C5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p>
          <w:p w14:paraId="4CDB5F9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2</w:t>
            </w:r>
          </w:p>
        </w:tc>
        <w:tc>
          <w:tcPr>
            <w:tcW w:w="8731" w:type="dxa"/>
          </w:tcPr>
          <w:p w14:paraId="737F443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信用中国”网站（www.creditchina.gov.cn）和“中国政府采购网”网站（www.ccgp.gov.cn），被列入失信被执行人、重大税收违法失信主体、政府采购严重违法失信行为记录名单（处罚期限尚未届满的）的供应商，均不得参加本采购项目。（响应人</w:t>
            </w:r>
            <w:bookmarkStart w:id="0" w:name="_GoBack"/>
            <w:bookmarkEnd w:id="0"/>
            <w:r>
              <w:rPr>
                <w:rFonts w:hint="eastAsia" w:ascii="宋体" w:hAnsi="宋体" w:eastAsia="宋体" w:cs="宋体"/>
                <w:bCs w:val="0"/>
                <w:color w:val="000000"/>
                <w:spacing w:val="10"/>
                <w:kern w:val="0"/>
                <w:sz w:val="24"/>
                <w:szCs w:val="24"/>
                <w:highlight w:val="none"/>
                <w:lang w:val="en-US" w:eastAsia="zh-CN" w:bidi="ar-SA"/>
                <w14:ligatures w14:val="standardContextual"/>
              </w:rPr>
              <w:t>需提供证明资料）</w:t>
            </w:r>
          </w:p>
        </w:tc>
      </w:tr>
      <w:tr w14:paraId="04953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14:paraId="6911229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3</w:t>
            </w:r>
          </w:p>
        </w:tc>
        <w:tc>
          <w:tcPr>
            <w:tcW w:w="8731" w:type="dxa"/>
          </w:tcPr>
          <w:p w14:paraId="0B0F7CF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法定代表人或单位负责人为同一人或者存在直接控股、管理关系的不同响应单位，不得参加同一合同项下的采购活动。（响应人出具有效的承诺函并加盖公章）</w:t>
            </w:r>
          </w:p>
        </w:tc>
      </w:tr>
      <w:tr w14:paraId="6B3D3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013C114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4</w:t>
            </w:r>
          </w:p>
        </w:tc>
        <w:tc>
          <w:tcPr>
            <w:tcW w:w="8731" w:type="dxa"/>
          </w:tcPr>
          <w:p w14:paraId="13840DD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zh-CN"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r>
      <w:tr w14:paraId="79466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0D96ADB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5</w:t>
            </w:r>
          </w:p>
        </w:tc>
        <w:tc>
          <w:tcPr>
            <w:tcW w:w="8731" w:type="dxa"/>
          </w:tcPr>
          <w:p w14:paraId="5939753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zh-CN" w:eastAsia="zh-CN" w:bidi="ar-SA"/>
                <w14:ligatures w14:val="standardContextual"/>
              </w:rPr>
              <w:t>本项目不接受联合体响应，</w:t>
            </w:r>
            <w:r>
              <w:rPr>
                <w:rFonts w:hint="eastAsia" w:ascii="宋体" w:hAnsi="宋体" w:eastAsia="宋体" w:cs="宋体"/>
                <w:bCs w:val="0"/>
                <w:color w:val="000000"/>
                <w:spacing w:val="10"/>
                <w:kern w:val="0"/>
                <w:sz w:val="24"/>
                <w:szCs w:val="24"/>
                <w:highlight w:val="none"/>
                <w:lang w:val="en-US" w:eastAsia="zh-CN" w:bidi="ar-SA"/>
                <w14:ligatures w14:val="standardContextual"/>
              </w:rPr>
              <w:t>成交供应商不得以任何方式转包或分包本项目</w:t>
            </w:r>
            <w:r>
              <w:rPr>
                <w:rFonts w:hint="eastAsia" w:ascii="宋体" w:hAnsi="宋体" w:eastAsia="宋体" w:cs="宋体"/>
                <w:bCs w:val="0"/>
                <w:color w:val="000000"/>
                <w:spacing w:val="10"/>
                <w:kern w:val="0"/>
                <w:sz w:val="24"/>
                <w:szCs w:val="24"/>
                <w:highlight w:val="none"/>
                <w:lang w:val="zh-CN" w:eastAsia="zh-CN" w:bidi="ar-SA"/>
                <w14:ligatures w14:val="standardContextual"/>
              </w:rPr>
              <w:t>（</w:t>
            </w:r>
            <w:r>
              <w:rPr>
                <w:rFonts w:hint="eastAsia" w:ascii="宋体" w:hAnsi="宋体" w:eastAsia="宋体" w:cs="宋体"/>
                <w:bCs w:val="0"/>
                <w:color w:val="000000"/>
                <w:spacing w:val="10"/>
                <w:kern w:val="0"/>
                <w:sz w:val="24"/>
                <w:szCs w:val="24"/>
                <w:highlight w:val="none"/>
                <w:lang w:val="en-US" w:eastAsia="zh-CN" w:bidi="ar-SA"/>
                <w14:ligatures w14:val="standardContextual"/>
              </w:rPr>
              <w:t>出具有效的加盖公章声明函）。</w:t>
            </w:r>
          </w:p>
        </w:tc>
      </w:tr>
      <w:tr w14:paraId="3749D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7352CFF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6</w:t>
            </w:r>
          </w:p>
        </w:tc>
        <w:tc>
          <w:tcPr>
            <w:tcW w:w="8731" w:type="dxa"/>
          </w:tcPr>
          <w:p w14:paraId="5EABE5E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zh-CN" w:eastAsia="zh-CN" w:bidi="ar-SA"/>
                <w14:ligatures w14:val="standardContextual"/>
              </w:rPr>
            </w:pPr>
            <w:r>
              <w:rPr>
                <w:rFonts w:hint="eastAsia" w:ascii="宋体" w:hAnsi="宋体" w:eastAsia="宋体" w:cs="宋体"/>
                <w:bCs w:val="0"/>
                <w:color w:val="000000"/>
                <w:spacing w:val="10"/>
                <w:kern w:val="0"/>
                <w:sz w:val="24"/>
                <w:szCs w:val="24"/>
                <w:highlight w:val="none"/>
                <w:lang w:val="zh-CN" w:eastAsia="zh-CN" w:bidi="ar-SA"/>
                <w14:ligatures w14:val="standardContextual"/>
              </w:rPr>
              <w:t>为本采购项目提供过整体设计、规范编制或者项目管理、监理、检测等服务的供应商及其附属机构，不得再参加本采购项目的响应。（响应人出具有效的承诺函并加盖公章）</w:t>
            </w:r>
          </w:p>
        </w:tc>
      </w:tr>
      <w:tr w14:paraId="39E97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4AB1B14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7</w:t>
            </w:r>
          </w:p>
        </w:tc>
        <w:tc>
          <w:tcPr>
            <w:tcW w:w="8731" w:type="dxa"/>
          </w:tcPr>
          <w:p w14:paraId="06C2596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出具加盖公章、有单位负责人（法定代表人）签名的《供应商廉洁守约承诺书》（格式和内容，不得擅自删改）</w:t>
            </w:r>
          </w:p>
        </w:tc>
      </w:tr>
    </w:tbl>
    <w:p w14:paraId="1A09AF69">
      <w:pPr>
        <w:rPr>
          <w:rFonts w:hint="eastAsia"/>
          <w:lang w:val="en-US" w:eastAsia="zh-CN"/>
        </w:rPr>
      </w:pPr>
    </w:p>
    <w:p w14:paraId="50FABA97">
      <w:pPr>
        <w:bidi w:val="0"/>
        <w:rPr>
          <w:rFonts w:hint="eastAsia"/>
          <w:b/>
          <w:bCs/>
          <w:lang w:val="en-US" w:eastAsia="zh-CN"/>
        </w:rPr>
      </w:pPr>
      <w:r>
        <w:rPr>
          <w:rFonts w:hint="eastAsia"/>
          <w:b/>
          <w:bCs/>
          <w:lang w:val="en-US" w:eastAsia="zh-CN"/>
        </w:rPr>
        <w:t>二、符合性审查</w:t>
      </w:r>
    </w:p>
    <w:p w14:paraId="76C07B4B">
      <w:pPr>
        <w:bidi w:val="0"/>
        <w:jc w:val="center"/>
        <w:rPr>
          <w:rFonts w:hint="eastAsia"/>
        </w:rPr>
      </w:pPr>
      <w:r>
        <w:rPr>
          <w:rFonts w:hint="eastAsia"/>
          <w:lang w:val="en-US" w:eastAsia="zh-CN"/>
        </w:rPr>
        <w:t>《符合性审查表》</w:t>
      </w:r>
    </w:p>
    <w:tbl>
      <w:tblPr>
        <w:tblStyle w:val="24"/>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1"/>
        <w:gridCol w:w="8531"/>
      </w:tblGrid>
      <w:tr w14:paraId="7810C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6EB9FE5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序号</w:t>
            </w:r>
          </w:p>
        </w:tc>
        <w:tc>
          <w:tcPr>
            <w:tcW w:w="8531" w:type="dxa"/>
            <w:tcBorders>
              <w:top w:val="single" w:color="auto" w:sz="4" w:space="0"/>
              <w:left w:val="nil"/>
              <w:bottom w:val="single" w:color="auto" w:sz="4" w:space="0"/>
              <w:right w:val="single" w:color="auto" w:sz="4" w:space="0"/>
            </w:tcBorders>
            <w:shd w:val="clear" w:color="auto" w:fill="auto"/>
          </w:tcPr>
          <w:p w14:paraId="563AD2B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内容</w:t>
            </w:r>
          </w:p>
        </w:tc>
      </w:tr>
      <w:tr w14:paraId="7196A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41382CC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p>
          <w:p w14:paraId="68D5842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1</w:t>
            </w:r>
          </w:p>
        </w:tc>
        <w:tc>
          <w:tcPr>
            <w:tcW w:w="8531" w:type="dxa"/>
            <w:tcBorders>
              <w:top w:val="single" w:color="auto" w:sz="4" w:space="0"/>
              <w:left w:val="nil"/>
              <w:bottom w:val="single" w:color="auto" w:sz="4" w:space="0"/>
              <w:right w:val="single" w:color="auto" w:sz="4" w:space="0"/>
            </w:tcBorders>
            <w:shd w:val="clear" w:color="auto" w:fill="auto"/>
          </w:tcPr>
          <w:p w14:paraId="1ED618D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响应报价：</w:t>
            </w:r>
          </w:p>
          <w:p w14:paraId="0783A26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①对本项目的全部内容进行折扣率报价。</w:t>
            </w:r>
          </w:p>
          <w:p w14:paraId="57C254F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②响应报价不存在明显低于其他通过符合性审查响应人报价的，或报价虽明显低于其他通过符合性审查响应人报价，但响应人能够提供证明其诚信履约且不影响服务质量的书面说明等相关证明材料的。</w:t>
            </w:r>
          </w:p>
          <w:p w14:paraId="4B446AD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③响应报价是唯一确定的。</w:t>
            </w:r>
          </w:p>
          <w:p w14:paraId="65D5BA7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④响应报价均应包含国家规定的税费。</w:t>
            </w:r>
          </w:p>
        </w:tc>
      </w:tr>
      <w:tr w14:paraId="2E280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7F54610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2</w:t>
            </w:r>
          </w:p>
        </w:tc>
        <w:tc>
          <w:tcPr>
            <w:tcW w:w="8531" w:type="dxa"/>
            <w:tcBorders>
              <w:top w:val="single" w:color="auto" w:sz="4" w:space="0"/>
              <w:left w:val="nil"/>
              <w:bottom w:val="single" w:color="auto" w:sz="4" w:space="0"/>
              <w:right w:val="single" w:color="auto" w:sz="4" w:space="0"/>
            </w:tcBorders>
            <w:shd w:val="clear" w:color="auto" w:fill="auto"/>
          </w:tcPr>
          <w:p w14:paraId="2A7495F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提供《响应承诺函》，响应有效期为提交响应文件的截止之日起90天</w:t>
            </w:r>
          </w:p>
        </w:tc>
      </w:tr>
      <w:tr w14:paraId="1D2C0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0B319E5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3</w:t>
            </w:r>
          </w:p>
        </w:tc>
        <w:tc>
          <w:tcPr>
            <w:tcW w:w="8531" w:type="dxa"/>
            <w:tcBorders>
              <w:top w:val="single" w:color="auto" w:sz="4" w:space="0"/>
              <w:left w:val="nil"/>
              <w:bottom w:val="single" w:color="auto" w:sz="4" w:space="0"/>
              <w:right w:val="single" w:color="auto" w:sz="4" w:space="0"/>
            </w:tcBorders>
            <w:shd w:val="clear" w:color="auto" w:fill="auto"/>
          </w:tcPr>
          <w:p w14:paraId="399DAC8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法定代表人资格证明书及授权委托书：按对应格式文件签署、盖章(原件)</w:t>
            </w:r>
          </w:p>
        </w:tc>
      </w:tr>
      <w:tr w14:paraId="3E3AF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73B6781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p>
          <w:p w14:paraId="53B1D2C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4</w:t>
            </w:r>
          </w:p>
        </w:tc>
        <w:tc>
          <w:tcPr>
            <w:tcW w:w="8531" w:type="dxa"/>
            <w:tcBorders>
              <w:top w:val="single" w:color="auto" w:sz="4" w:space="0"/>
              <w:left w:val="nil"/>
              <w:bottom w:val="single" w:color="auto" w:sz="4" w:space="0"/>
              <w:right w:val="single" w:color="auto" w:sz="4" w:space="0"/>
            </w:tcBorders>
            <w:shd w:val="clear" w:color="auto" w:fill="auto"/>
          </w:tcPr>
          <w:p w14:paraId="12DF867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响应文件按照采购文件规定要求签署、盖章（包括封面、骑缝以及含有“签字”“盖章”字眼的每一处），不得改动本采购文件中已明确要求不得擅自删改的部分，以及遵守采购文件中已列明必须遵照执行否则按无效响应处理的各类要求。</w:t>
            </w:r>
          </w:p>
        </w:tc>
      </w:tr>
      <w:tr w14:paraId="15C6F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05959DE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5</w:t>
            </w:r>
          </w:p>
        </w:tc>
        <w:tc>
          <w:tcPr>
            <w:tcW w:w="8531" w:type="dxa"/>
            <w:tcBorders>
              <w:top w:val="single" w:color="auto" w:sz="4" w:space="0"/>
              <w:left w:val="nil"/>
              <w:bottom w:val="single" w:color="auto" w:sz="4" w:space="0"/>
              <w:right w:val="single" w:color="auto" w:sz="4" w:space="0"/>
            </w:tcBorders>
            <w:shd w:val="clear" w:color="auto" w:fill="auto"/>
          </w:tcPr>
          <w:p w14:paraId="534BF7F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本公开采购文件中的“★”号条款要求：响应方案一一满足采购文件“★”号条款要求</w:t>
            </w:r>
          </w:p>
        </w:tc>
      </w:tr>
      <w:tr w14:paraId="3FAC5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62BF2EE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6</w:t>
            </w:r>
          </w:p>
        </w:tc>
        <w:tc>
          <w:tcPr>
            <w:tcW w:w="8531" w:type="dxa"/>
            <w:tcBorders>
              <w:top w:val="single" w:color="auto" w:sz="4" w:space="0"/>
              <w:left w:val="nil"/>
              <w:bottom w:val="single" w:color="auto" w:sz="4" w:space="0"/>
              <w:right w:val="single" w:color="auto" w:sz="4" w:space="0"/>
            </w:tcBorders>
            <w:shd w:val="clear" w:color="auto" w:fill="auto"/>
          </w:tcPr>
          <w:p w14:paraId="7506D76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响应文件未含有采购人不能接受的附加条件。</w:t>
            </w:r>
          </w:p>
        </w:tc>
      </w:tr>
    </w:tbl>
    <w:p w14:paraId="3E0D840D">
      <w:pPr>
        <w:rPr>
          <w:rFonts w:hint="eastAsia"/>
        </w:rPr>
      </w:pPr>
    </w:p>
    <w:p w14:paraId="2171690D">
      <w:pPr>
        <w:bidi w:val="0"/>
        <w:rPr>
          <w:rFonts w:hint="default"/>
          <w:b/>
          <w:bCs/>
          <w:lang w:val="en-US" w:eastAsia="zh-CN"/>
        </w:rPr>
      </w:pPr>
      <w:r>
        <w:rPr>
          <w:rFonts w:hint="eastAsia"/>
          <w:b/>
          <w:bCs/>
          <w:lang w:val="en-US" w:eastAsia="zh-CN"/>
        </w:rPr>
        <w:t>三、评分</w:t>
      </w:r>
    </w:p>
    <w:p w14:paraId="60B9074D">
      <w:pPr>
        <w:bidi w:val="0"/>
        <w:rPr>
          <w:rFonts w:hint="eastAsia"/>
        </w:rPr>
      </w:pPr>
      <w:r>
        <w:rPr>
          <w:rFonts w:hint="eastAsia"/>
          <w:lang w:val="en-US" w:eastAsia="zh-CN"/>
        </w:rPr>
        <w:t>（1）评分总值最高为100分，商务、技术及最终报价得分分值（权重）设置如下：</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fixed"/>
        <w:tblCellMar>
          <w:top w:w="0" w:type="dxa"/>
          <w:left w:w="108" w:type="dxa"/>
          <w:bottom w:w="0" w:type="dxa"/>
          <w:right w:w="108" w:type="dxa"/>
        </w:tblCellMar>
      </w:tblPr>
      <w:tblGrid>
        <w:gridCol w:w="2254"/>
        <w:gridCol w:w="2337"/>
        <w:gridCol w:w="2337"/>
        <w:gridCol w:w="2337"/>
      </w:tblGrid>
      <w:tr w14:paraId="02E7BE3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254" w:type="dxa"/>
            <w:tcBorders>
              <w:top w:val="single" w:color="auto" w:sz="12" w:space="0"/>
              <w:left w:val="single" w:color="auto" w:sz="12" w:space="0"/>
              <w:bottom w:val="single" w:color="auto" w:sz="2" w:space="0"/>
              <w:right w:val="single" w:color="auto" w:sz="2" w:space="0"/>
            </w:tcBorders>
            <w:shd w:val="clear" w:color="auto" w:fill="auto"/>
            <w:vAlign w:val="bottom"/>
          </w:tcPr>
          <w:p w14:paraId="77EA163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bCs/>
                <w:color w:val="000000"/>
                <w:spacing w:val="10"/>
                <w:kern w:val="0"/>
                <w:sz w:val="24"/>
                <w:szCs w:val="24"/>
                <w:highlight w:val="none"/>
                <w:lang w:val="en-US" w:eastAsia="zh-CN" w:bidi="ar-SA"/>
                <w14:ligatures w14:val="standardContextual"/>
              </w:rPr>
            </w:pPr>
            <w:r>
              <w:rPr>
                <w:rFonts w:hint="eastAsia" w:ascii="宋体" w:hAnsi="宋体" w:eastAsia="宋体" w:cs="宋体"/>
                <w:b/>
                <w:bCs/>
                <w:color w:val="000000"/>
                <w:spacing w:val="10"/>
                <w:kern w:val="0"/>
                <w:sz w:val="24"/>
                <w:szCs w:val="24"/>
                <w:highlight w:val="none"/>
                <w:lang w:val="en-US" w:eastAsia="zh-CN" w:bidi="ar-SA"/>
                <w14:ligatures w14:val="standardContextual"/>
              </w:rPr>
              <w:t>分值比例（100%）</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14:paraId="7C133A9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bCs/>
                <w:color w:val="000000"/>
                <w:spacing w:val="10"/>
                <w:kern w:val="0"/>
                <w:sz w:val="24"/>
                <w:szCs w:val="24"/>
                <w:highlight w:val="none"/>
                <w:lang w:val="en-US" w:eastAsia="zh-CN" w:bidi="ar-SA"/>
                <w14:ligatures w14:val="standardContextual"/>
              </w:rPr>
            </w:pPr>
            <w:r>
              <w:rPr>
                <w:rFonts w:hint="eastAsia" w:ascii="宋体" w:hAnsi="宋体" w:eastAsia="宋体" w:cs="宋体"/>
                <w:b/>
                <w:bCs/>
                <w:color w:val="000000"/>
                <w:spacing w:val="10"/>
                <w:kern w:val="0"/>
                <w:sz w:val="24"/>
                <w:szCs w:val="24"/>
                <w:highlight w:val="none"/>
                <w:lang w:val="en-US" w:eastAsia="zh-CN" w:bidi="ar-SA"/>
                <w14:ligatures w14:val="standardContextual"/>
              </w:rPr>
              <w:t>商务评分（20%）</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14:paraId="4ED72D5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bCs/>
                <w:color w:val="000000"/>
                <w:spacing w:val="10"/>
                <w:kern w:val="0"/>
                <w:sz w:val="24"/>
                <w:szCs w:val="24"/>
                <w:highlight w:val="none"/>
                <w:lang w:val="en-US" w:eastAsia="zh-CN" w:bidi="ar-SA"/>
                <w14:ligatures w14:val="standardContextual"/>
              </w:rPr>
            </w:pPr>
            <w:r>
              <w:rPr>
                <w:rFonts w:hint="eastAsia" w:ascii="宋体" w:hAnsi="宋体" w:eastAsia="宋体" w:cs="宋体"/>
                <w:b/>
                <w:bCs/>
                <w:color w:val="000000"/>
                <w:spacing w:val="10"/>
                <w:kern w:val="0"/>
                <w:sz w:val="24"/>
                <w:szCs w:val="24"/>
                <w:highlight w:val="none"/>
                <w:lang w:val="en-US" w:eastAsia="zh-CN" w:bidi="ar-SA"/>
                <w14:ligatures w14:val="standardContextual"/>
              </w:rPr>
              <w:t>技术评分（50%）</w:t>
            </w:r>
          </w:p>
        </w:tc>
        <w:tc>
          <w:tcPr>
            <w:tcW w:w="2337" w:type="dxa"/>
            <w:tcBorders>
              <w:top w:val="single" w:color="auto" w:sz="12" w:space="0"/>
              <w:left w:val="single" w:color="auto" w:sz="2" w:space="0"/>
              <w:bottom w:val="single" w:color="auto" w:sz="2" w:space="0"/>
              <w:right w:val="single" w:color="auto" w:sz="12" w:space="0"/>
            </w:tcBorders>
            <w:shd w:val="clear" w:color="auto" w:fill="auto"/>
            <w:vAlign w:val="bottom"/>
          </w:tcPr>
          <w:p w14:paraId="51F61DC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bCs/>
                <w:color w:val="000000"/>
                <w:spacing w:val="10"/>
                <w:kern w:val="0"/>
                <w:sz w:val="24"/>
                <w:szCs w:val="24"/>
                <w:highlight w:val="none"/>
                <w:lang w:val="en-US" w:eastAsia="zh-CN" w:bidi="ar-SA"/>
                <w14:ligatures w14:val="standardContextual"/>
              </w:rPr>
            </w:pPr>
            <w:r>
              <w:rPr>
                <w:rFonts w:hint="eastAsia" w:ascii="宋体" w:hAnsi="宋体" w:eastAsia="宋体" w:cs="宋体"/>
                <w:b/>
                <w:bCs/>
                <w:color w:val="000000"/>
                <w:spacing w:val="10"/>
                <w:kern w:val="0"/>
                <w:sz w:val="24"/>
                <w:szCs w:val="24"/>
                <w:highlight w:val="none"/>
                <w:lang w:val="en-US" w:eastAsia="zh-CN" w:bidi="ar-SA"/>
                <w14:ligatures w14:val="standardContextual"/>
              </w:rPr>
              <w:t>价格得分（30%）</w:t>
            </w:r>
          </w:p>
        </w:tc>
      </w:tr>
      <w:tr w14:paraId="1B2C1BA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tcBorders>
              <w:top w:val="single" w:color="auto" w:sz="2" w:space="0"/>
              <w:left w:val="single" w:color="auto" w:sz="12" w:space="0"/>
              <w:bottom w:val="single" w:color="auto" w:sz="12" w:space="0"/>
              <w:right w:val="single" w:color="auto" w:sz="2" w:space="0"/>
            </w:tcBorders>
            <w:shd w:val="clear" w:color="auto" w:fill="auto"/>
            <w:vAlign w:val="bottom"/>
          </w:tcPr>
          <w:p w14:paraId="6FEFD48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得分100</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4625E6F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20分</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43195CE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50分</w:t>
            </w:r>
          </w:p>
        </w:tc>
        <w:tc>
          <w:tcPr>
            <w:tcW w:w="2337" w:type="dxa"/>
            <w:tcBorders>
              <w:top w:val="single" w:color="auto" w:sz="2" w:space="0"/>
              <w:left w:val="single" w:color="auto" w:sz="2" w:space="0"/>
              <w:bottom w:val="single" w:color="auto" w:sz="12" w:space="0"/>
              <w:right w:val="single" w:color="auto" w:sz="12" w:space="0"/>
            </w:tcBorders>
            <w:shd w:val="clear" w:color="auto" w:fill="auto"/>
            <w:vAlign w:val="bottom"/>
          </w:tcPr>
          <w:p w14:paraId="49D7DF9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30分</w:t>
            </w:r>
          </w:p>
        </w:tc>
      </w:tr>
    </w:tbl>
    <w:p w14:paraId="24276A1E">
      <w:pPr>
        <w:bidi w:val="0"/>
        <w:rPr>
          <w:rFonts w:hint="eastAsia"/>
        </w:rPr>
      </w:pPr>
      <w:r>
        <w:rPr>
          <w:rFonts w:hint="eastAsia"/>
          <w:lang w:val="en-US" w:eastAsia="zh-CN"/>
        </w:rPr>
        <w:t>（2）商务评分：评审小组就各响应文件对商务评审内容的各项要求进行评分，评审的具体内容见《商务评审表》：</w:t>
      </w:r>
    </w:p>
    <w:p w14:paraId="035F5559">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仿宋" w:hAnsi="仿宋" w:eastAsia="仿宋" w:cs="仿宋"/>
          <w:b/>
          <w:bCs w:val="0"/>
          <w:color w:val="000000"/>
          <w:kern w:val="1"/>
          <w:sz w:val="28"/>
          <w:szCs w:val="28"/>
          <w:highlight w:val="none"/>
          <w:lang w:val="en-US" w:eastAsia="zh-CN"/>
        </w:rPr>
      </w:pPr>
      <w:r>
        <w:rPr>
          <w:rFonts w:hint="eastAsia" w:ascii="仿宋" w:hAnsi="仿宋" w:eastAsia="仿宋" w:cs="仿宋"/>
          <w:b/>
          <w:bCs w:val="0"/>
          <w:color w:val="000000"/>
          <w:kern w:val="1"/>
          <w:sz w:val="28"/>
          <w:szCs w:val="28"/>
          <w:highlight w:val="none"/>
          <w:lang w:val="en-US" w:eastAsia="zh-CN"/>
        </w:rPr>
        <w:t>商务评审表（20分）</w:t>
      </w:r>
    </w:p>
    <w:tbl>
      <w:tblPr>
        <w:tblStyle w:val="24"/>
        <w:tblW w:w="9262" w:type="dxa"/>
        <w:jc w:val="center"/>
        <w:tblLayout w:type="fixed"/>
        <w:tblCellMar>
          <w:top w:w="0" w:type="dxa"/>
          <w:left w:w="108" w:type="dxa"/>
          <w:bottom w:w="0" w:type="dxa"/>
          <w:right w:w="108" w:type="dxa"/>
        </w:tblCellMar>
      </w:tblPr>
      <w:tblGrid>
        <w:gridCol w:w="2062"/>
        <w:gridCol w:w="677"/>
        <w:gridCol w:w="6523"/>
      </w:tblGrid>
      <w:tr w14:paraId="35FD97B4">
        <w:tblPrEx>
          <w:tblCellMar>
            <w:top w:w="0" w:type="dxa"/>
            <w:left w:w="108" w:type="dxa"/>
            <w:bottom w:w="0" w:type="dxa"/>
            <w:right w:w="108" w:type="dxa"/>
          </w:tblCellMar>
        </w:tblPrEx>
        <w:trPr>
          <w:trHeight w:val="510"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842F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bCs/>
                <w:color w:val="000000"/>
                <w:spacing w:val="10"/>
                <w:kern w:val="0"/>
                <w:sz w:val="24"/>
                <w:szCs w:val="24"/>
                <w:highlight w:val="none"/>
                <w:lang w:val="en-US" w:eastAsia="zh-CN" w:bidi="ar-SA"/>
                <w14:ligatures w14:val="standardContextual"/>
              </w:rPr>
            </w:pPr>
            <w:r>
              <w:rPr>
                <w:rFonts w:hint="eastAsia" w:ascii="宋体" w:hAnsi="宋体" w:eastAsia="宋体" w:cs="宋体"/>
                <w:b/>
                <w:bCs/>
                <w:color w:val="000000"/>
                <w:spacing w:val="10"/>
                <w:kern w:val="0"/>
                <w:sz w:val="24"/>
                <w:szCs w:val="24"/>
                <w:highlight w:val="none"/>
                <w:lang w:val="en-US" w:eastAsia="zh-CN" w:bidi="ar-SA"/>
                <w14:ligatures w14:val="standardContextual"/>
              </w:rPr>
              <w:t>评审内容</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BACD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bCs/>
                <w:color w:val="000000"/>
                <w:spacing w:val="10"/>
                <w:kern w:val="0"/>
                <w:sz w:val="24"/>
                <w:szCs w:val="24"/>
                <w:highlight w:val="none"/>
                <w:lang w:val="en-US" w:eastAsia="zh-CN" w:bidi="ar-SA"/>
                <w14:ligatures w14:val="standardContextual"/>
              </w:rPr>
            </w:pPr>
            <w:r>
              <w:rPr>
                <w:rFonts w:hint="eastAsia" w:ascii="宋体" w:hAnsi="宋体" w:eastAsia="宋体" w:cs="宋体"/>
                <w:b/>
                <w:bCs/>
                <w:color w:val="000000"/>
                <w:spacing w:val="10"/>
                <w:kern w:val="0"/>
                <w:sz w:val="24"/>
                <w:szCs w:val="24"/>
                <w:highlight w:val="none"/>
                <w:lang w:val="en-US" w:eastAsia="zh-CN" w:bidi="ar-SA"/>
                <w14:ligatures w14:val="standardContextual"/>
              </w:rPr>
              <w:t>分值</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1E75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bCs/>
                <w:color w:val="000000"/>
                <w:spacing w:val="10"/>
                <w:kern w:val="0"/>
                <w:sz w:val="24"/>
                <w:szCs w:val="24"/>
                <w:highlight w:val="none"/>
                <w:lang w:val="en-US" w:eastAsia="zh-CN" w:bidi="ar-SA"/>
                <w14:ligatures w14:val="standardContextual"/>
              </w:rPr>
            </w:pPr>
            <w:r>
              <w:rPr>
                <w:rFonts w:hint="eastAsia" w:ascii="宋体" w:hAnsi="宋体" w:eastAsia="宋体" w:cs="宋体"/>
                <w:b/>
                <w:bCs/>
                <w:color w:val="000000"/>
                <w:spacing w:val="10"/>
                <w:kern w:val="0"/>
                <w:sz w:val="24"/>
                <w:szCs w:val="24"/>
                <w:highlight w:val="none"/>
                <w:lang w:val="en-US" w:eastAsia="zh-CN" w:bidi="ar-SA"/>
                <w14:ligatures w14:val="standardContextual"/>
              </w:rPr>
              <w:t>评审细则</w:t>
            </w:r>
          </w:p>
        </w:tc>
      </w:tr>
      <w:tr w14:paraId="6B151128">
        <w:tblPrEx>
          <w:tblCellMar>
            <w:top w:w="0" w:type="dxa"/>
            <w:left w:w="108" w:type="dxa"/>
            <w:bottom w:w="0" w:type="dxa"/>
            <w:right w:w="108" w:type="dxa"/>
          </w:tblCellMar>
        </w:tblPrEx>
        <w:trPr>
          <w:trHeight w:val="2192" w:hRule="atLeast"/>
          <w:jc w:val="center"/>
        </w:trPr>
        <w:tc>
          <w:tcPr>
            <w:tcW w:w="2062" w:type="dxa"/>
            <w:tcBorders>
              <w:top w:val="single" w:color="000000" w:sz="4" w:space="0"/>
              <w:left w:val="single" w:color="000000" w:sz="4" w:space="0"/>
              <w:right w:val="single" w:color="000000" w:sz="4" w:space="0"/>
            </w:tcBorders>
            <w:shd w:val="clear" w:color="auto" w:fill="auto"/>
            <w:vAlign w:val="center"/>
          </w:tcPr>
          <w:p w14:paraId="474919C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自2023年1月1日以来（以合同签订时间为准）的同类项目业绩</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FE6E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10</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AA0A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 xml:space="preserve">每提供一项同类型项目业绩的合同并加盖公章得2分，最高得10分，不提供不得分。 </w:t>
            </w:r>
          </w:p>
          <w:p w14:paraId="0A6F021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注：须提供加盖响应人公章的业绩合同复印件（关键页内容必须清晰阐明项目名称、合同履行主要内容）。业绩合同主体不得为外包、转包或联合体。公章或合同章上的供应商名称与响应人名称不一致的视为无效，如响应人变更过名称，需提供有关部门证明。未按要求提供的不得分。同一客户单位不重复计分。</w:t>
            </w:r>
          </w:p>
        </w:tc>
      </w:tr>
      <w:tr w14:paraId="4F93F4F8">
        <w:tblPrEx>
          <w:tblCellMar>
            <w:top w:w="0" w:type="dxa"/>
            <w:left w:w="108" w:type="dxa"/>
            <w:bottom w:w="0" w:type="dxa"/>
            <w:right w:w="108" w:type="dxa"/>
          </w:tblCellMar>
        </w:tblPrEx>
        <w:trPr>
          <w:trHeight w:val="752"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6534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履约评价</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7FF6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5</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A16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提供上述有效业绩的履约评价，每提供一个类似“满意”或“非常满意”或“优”的履约评价得1分，本项最高不超过5分。须提供用户单位的评价证明（格式自拟，须加盖用户单位印章）。其他表达满意度的词语，由评委参照以上评价等级程度认定对应的评价等级。</w:t>
            </w:r>
          </w:p>
          <w:p w14:paraId="6930B16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注：须提供与上述同类项目业绩吻合的履约评价情况，同一客户或同一项目提供多项满意度评价的，按一项计算。如提供履约评价的采购合同未被评审指标中“同类项目业绩”认可，则该履约评价无效。</w:t>
            </w:r>
          </w:p>
        </w:tc>
      </w:tr>
      <w:tr w14:paraId="270BA837">
        <w:tblPrEx>
          <w:tblCellMar>
            <w:top w:w="0" w:type="dxa"/>
            <w:left w:w="108" w:type="dxa"/>
            <w:bottom w:w="0" w:type="dxa"/>
            <w:right w:w="108" w:type="dxa"/>
          </w:tblCellMar>
        </w:tblPrEx>
        <w:trPr>
          <w:trHeight w:val="90"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A814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企业体系认证情况</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1FE4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5</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26E1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响应人具有有效期内的质量管理体系认证，得2分；</w:t>
            </w:r>
          </w:p>
          <w:p w14:paraId="33FAF81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响应人具有有效期内的环境管理体系认证，得2分；</w:t>
            </w:r>
          </w:p>
          <w:p w14:paraId="73E46A9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响应人具有有效期内的职业健康安全管理体系认证，得1分。</w:t>
            </w:r>
          </w:p>
          <w:p w14:paraId="480EA37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最高得5分。</w:t>
            </w:r>
          </w:p>
          <w:p w14:paraId="1750179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注：须提供有效期内的证书复印件，加盖响应人公章，未提供不得分。</w:t>
            </w:r>
          </w:p>
        </w:tc>
      </w:tr>
    </w:tbl>
    <w:p w14:paraId="00311E6E">
      <w:pPr>
        <w:bidi w:val="0"/>
        <w:rPr>
          <w:rFonts w:hint="eastAsia"/>
          <w:lang w:val="en-US" w:eastAsia="zh-CN"/>
        </w:rPr>
      </w:pPr>
      <w:r>
        <w:rPr>
          <w:rFonts w:hint="eastAsia"/>
          <w:lang w:val="en-US" w:eastAsia="zh-CN"/>
        </w:rPr>
        <w:t>（3）技术评分：评审小组就各响应人对技术评审内容的各项要求进行评分，评审的具体内容见《技术评审表》。</w:t>
      </w:r>
    </w:p>
    <w:p w14:paraId="525EC7B0">
      <w:pPr>
        <w:keepNext w:val="0"/>
        <w:keepLines w:val="0"/>
        <w:widowControl w:val="0"/>
        <w:suppressLineNumbers w:val="0"/>
        <w:spacing w:before="0" w:beforeAutospacing="0" w:after="0" w:afterAutospacing="0"/>
        <w:ind w:left="0" w:right="0" w:firstLine="562"/>
        <w:jc w:val="center"/>
        <w:rPr>
          <w:rFonts w:hint="eastAsia" w:ascii="仿宋" w:hAnsi="仿宋" w:eastAsia="仿宋" w:cs="仿宋"/>
          <w:b/>
          <w:bCs/>
          <w:color w:val="000000"/>
          <w:kern w:val="2"/>
          <w:sz w:val="28"/>
          <w:szCs w:val="28"/>
          <w:highlight w:val="none"/>
          <w:lang w:val="en-US" w:eastAsia="zh-CN"/>
        </w:rPr>
      </w:pPr>
      <w:r>
        <w:rPr>
          <w:rFonts w:hint="eastAsia" w:ascii="仿宋" w:hAnsi="仿宋" w:eastAsia="仿宋" w:cs="仿宋"/>
          <w:b/>
          <w:bCs/>
          <w:color w:val="000000"/>
          <w:kern w:val="2"/>
          <w:sz w:val="28"/>
          <w:szCs w:val="28"/>
          <w:highlight w:val="none"/>
          <w:lang w:val="en-US" w:eastAsia="zh-CN"/>
        </w:rPr>
        <w:t>技术评审表（50分）</w:t>
      </w:r>
    </w:p>
    <w:tbl>
      <w:tblPr>
        <w:tblStyle w:val="24"/>
        <w:tblW w:w="9567" w:type="dxa"/>
        <w:jc w:val="center"/>
        <w:tblLayout w:type="autofit"/>
        <w:tblCellMar>
          <w:top w:w="0" w:type="dxa"/>
          <w:left w:w="108" w:type="dxa"/>
          <w:bottom w:w="0" w:type="dxa"/>
          <w:right w:w="108" w:type="dxa"/>
        </w:tblCellMar>
      </w:tblPr>
      <w:tblGrid>
        <w:gridCol w:w="1314"/>
        <w:gridCol w:w="1091"/>
        <w:gridCol w:w="7162"/>
      </w:tblGrid>
      <w:tr w14:paraId="6B001065">
        <w:tblPrEx>
          <w:tblCellMar>
            <w:top w:w="0" w:type="dxa"/>
            <w:left w:w="108" w:type="dxa"/>
            <w:bottom w:w="0" w:type="dxa"/>
            <w:right w:w="108" w:type="dxa"/>
          </w:tblCellMar>
        </w:tblPrEx>
        <w:trPr>
          <w:trHeight w:val="312" w:hRule="atLeast"/>
          <w:jc w:val="center"/>
        </w:trPr>
        <w:tc>
          <w:tcPr>
            <w:tcW w:w="13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540F8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bCs/>
                <w:color w:val="000000"/>
                <w:spacing w:val="10"/>
                <w:kern w:val="0"/>
                <w:sz w:val="24"/>
                <w:szCs w:val="24"/>
                <w:highlight w:val="none"/>
                <w:lang w:val="en-US" w:eastAsia="zh-CN" w:bidi="ar-SA"/>
                <w14:ligatures w14:val="standardContextual"/>
              </w:rPr>
            </w:pPr>
            <w:r>
              <w:rPr>
                <w:rFonts w:hint="eastAsia" w:ascii="宋体" w:hAnsi="宋体" w:eastAsia="宋体" w:cs="宋体"/>
                <w:b/>
                <w:bCs/>
                <w:color w:val="000000"/>
                <w:spacing w:val="10"/>
                <w:kern w:val="0"/>
                <w:sz w:val="24"/>
                <w:szCs w:val="24"/>
                <w:highlight w:val="none"/>
                <w:lang w:val="en-US" w:eastAsia="zh-CN" w:bidi="ar-SA"/>
                <w14:ligatures w14:val="standardContextual"/>
              </w:rPr>
              <w:t>评审内容</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93FAD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bCs/>
                <w:color w:val="000000"/>
                <w:spacing w:val="10"/>
                <w:kern w:val="0"/>
                <w:sz w:val="24"/>
                <w:szCs w:val="24"/>
                <w:highlight w:val="none"/>
                <w:lang w:val="en-US" w:eastAsia="zh-CN" w:bidi="ar-SA"/>
                <w14:ligatures w14:val="standardContextual"/>
              </w:rPr>
            </w:pPr>
            <w:r>
              <w:rPr>
                <w:rFonts w:hint="eastAsia" w:ascii="宋体" w:hAnsi="宋体" w:eastAsia="宋体" w:cs="宋体"/>
                <w:b/>
                <w:bCs/>
                <w:color w:val="000000"/>
                <w:spacing w:val="10"/>
                <w:kern w:val="0"/>
                <w:sz w:val="24"/>
                <w:szCs w:val="24"/>
                <w:highlight w:val="none"/>
                <w:lang w:val="en-US" w:eastAsia="zh-CN" w:bidi="ar-SA"/>
                <w14:ligatures w14:val="standardContextual"/>
              </w:rPr>
              <w:t>分值</w:t>
            </w:r>
          </w:p>
        </w:tc>
        <w:tc>
          <w:tcPr>
            <w:tcW w:w="71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90B14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bCs/>
                <w:color w:val="000000"/>
                <w:spacing w:val="10"/>
                <w:kern w:val="0"/>
                <w:sz w:val="24"/>
                <w:szCs w:val="24"/>
                <w:highlight w:val="none"/>
                <w:lang w:val="en-US" w:eastAsia="zh-CN" w:bidi="ar-SA"/>
                <w14:ligatures w14:val="standardContextual"/>
              </w:rPr>
            </w:pPr>
            <w:r>
              <w:rPr>
                <w:rFonts w:hint="eastAsia" w:ascii="宋体" w:hAnsi="宋体" w:eastAsia="宋体" w:cs="宋体"/>
                <w:b/>
                <w:bCs/>
                <w:color w:val="000000"/>
                <w:spacing w:val="10"/>
                <w:kern w:val="0"/>
                <w:sz w:val="24"/>
                <w:szCs w:val="24"/>
                <w:highlight w:val="none"/>
                <w:lang w:val="en-US" w:eastAsia="zh-CN" w:bidi="ar-SA"/>
                <w14:ligatures w14:val="standardContextual"/>
              </w:rPr>
              <w:t>评审细则</w:t>
            </w:r>
          </w:p>
        </w:tc>
      </w:tr>
      <w:tr w14:paraId="1A7509EF">
        <w:tblPrEx>
          <w:tblCellMar>
            <w:top w:w="0" w:type="dxa"/>
            <w:left w:w="108" w:type="dxa"/>
            <w:bottom w:w="0" w:type="dxa"/>
            <w:right w:w="108" w:type="dxa"/>
          </w:tblCellMar>
        </w:tblPrEx>
        <w:trPr>
          <w:trHeight w:val="312" w:hRule="atLeast"/>
          <w:jc w:val="center"/>
        </w:trPr>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4C00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5BB4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p>
        </w:tc>
        <w:tc>
          <w:tcPr>
            <w:tcW w:w="7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341E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p>
        </w:tc>
      </w:tr>
      <w:tr w14:paraId="7506B7C6">
        <w:tblPrEx>
          <w:tblCellMar>
            <w:top w:w="0" w:type="dxa"/>
            <w:left w:w="108" w:type="dxa"/>
            <w:bottom w:w="0" w:type="dxa"/>
            <w:right w:w="108" w:type="dxa"/>
          </w:tblCellMar>
        </w:tblPrEx>
        <w:trPr>
          <w:trHeight w:val="312" w:hRule="atLeast"/>
          <w:jc w:val="center"/>
        </w:trPr>
        <w:tc>
          <w:tcPr>
            <w:tcW w:w="1314" w:type="dxa"/>
            <w:tcBorders>
              <w:top w:val="single" w:color="000000" w:sz="4" w:space="0"/>
              <w:left w:val="single" w:color="000000" w:sz="4" w:space="0"/>
              <w:right w:val="single" w:color="000000" w:sz="4" w:space="0"/>
            </w:tcBorders>
            <w:shd w:val="clear" w:color="auto" w:fill="auto"/>
            <w:vAlign w:val="center"/>
          </w:tcPr>
          <w:p w14:paraId="76C163A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所投货物技术参数及性能与技术规格要求的符合性</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DBA4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28</w:t>
            </w:r>
          </w:p>
        </w:tc>
        <w:tc>
          <w:tcPr>
            <w:tcW w:w="7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D452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1.标注“▲”条款的关键技术参数共计4项，每项标注“▲”号的关键技术参数无偏离得3分，最高12分。</w:t>
            </w:r>
          </w:p>
          <w:p w14:paraId="1AFFEA8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注：“▲”技术参数：以具备检测资质的第三方检测机构出具的有效的检测报告，或响应产品彩页/厂家使用说明书/厂家盖章的技术参数确认函等证明文件为准，技术参数中对证明材料另有要求的从其要求，否则视为负偏离。如发现响应人所填写的参数为照抄采购需求范围值或存在范围值的，评委有权不予得分。</w:t>
            </w:r>
          </w:p>
          <w:p w14:paraId="2A101E8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2.标注“★”条款的关键技术参数共计8项，每项标注“★”号的关键技术参数无偏离得2分，最高16分。</w:t>
            </w:r>
          </w:p>
          <w:p w14:paraId="3064A48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注：“★”技术参数：如技术要求及参数中有明确要求证明材料的，以技术要求及参数中要求的证明材料为准，如果技术要求及参数中没有明确要求证明材料的，则响应人应当依据响应产品彩页或厂家使用说明书等技术证明文件，真实准确地列出实际响应参数，以承诺函形式作出一一承诺。如发现响应人所填写的参数为照抄采购需求范围值或存在范围值的，评委有权不予得分。</w:t>
            </w:r>
          </w:p>
        </w:tc>
      </w:tr>
      <w:tr w14:paraId="059A2BE9">
        <w:tblPrEx>
          <w:tblCellMar>
            <w:top w:w="0" w:type="dxa"/>
            <w:left w:w="108" w:type="dxa"/>
            <w:bottom w:w="0" w:type="dxa"/>
            <w:right w:w="108" w:type="dxa"/>
          </w:tblCellMar>
        </w:tblPrEx>
        <w:trPr>
          <w:trHeight w:val="281" w:hRule="atLeast"/>
          <w:jc w:val="center"/>
        </w:trPr>
        <w:tc>
          <w:tcPr>
            <w:tcW w:w="1314" w:type="dxa"/>
            <w:tcBorders>
              <w:top w:val="single" w:color="000000" w:sz="4" w:space="0"/>
              <w:left w:val="single" w:color="000000" w:sz="4" w:space="0"/>
              <w:bottom w:val="single" w:color="auto" w:sz="4" w:space="0"/>
              <w:right w:val="single" w:color="000000" w:sz="4" w:space="0"/>
            </w:tcBorders>
            <w:shd w:val="clear" w:color="auto" w:fill="auto"/>
            <w:vAlign w:val="center"/>
          </w:tcPr>
          <w:p w14:paraId="2AE6923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整体服务方案</w:t>
            </w:r>
          </w:p>
        </w:tc>
        <w:tc>
          <w:tcPr>
            <w:tcW w:w="1091" w:type="dxa"/>
            <w:tcBorders>
              <w:top w:val="single" w:color="000000" w:sz="4" w:space="0"/>
              <w:left w:val="single" w:color="000000" w:sz="4" w:space="0"/>
              <w:bottom w:val="single" w:color="auto" w:sz="4" w:space="0"/>
              <w:right w:val="single" w:color="000000" w:sz="4" w:space="0"/>
            </w:tcBorders>
            <w:shd w:val="clear" w:color="auto" w:fill="auto"/>
            <w:vAlign w:val="center"/>
          </w:tcPr>
          <w:p w14:paraId="095CDB2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12</w:t>
            </w:r>
          </w:p>
        </w:tc>
        <w:tc>
          <w:tcPr>
            <w:tcW w:w="7162" w:type="dxa"/>
            <w:tcBorders>
              <w:top w:val="single" w:color="000000" w:sz="4" w:space="0"/>
              <w:left w:val="single" w:color="000000" w:sz="4" w:space="0"/>
              <w:bottom w:val="single" w:color="auto" w:sz="4" w:space="0"/>
              <w:right w:val="single" w:color="000000" w:sz="4" w:space="0"/>
            </w:tcBorders>
            <w:shd w:val="clear" w:color="auto" w:fill="auto"/>
            <w:vAlign w:val="center"/>
          </w:tcPr>
          <w:p w14:paraId="32BEE94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根据响应人提供的整体服务方案作为评审依据，包括但不限于以下内容：</w:t>
            </w:r>
          </w:p>
          <w:p w14:paraId="534174D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（1）供货（配送）方案（含响应和到达现场时间及计划）；</w:t>
            </w:r>
          </w:p>
          <w:p w14:paraId="3010DC9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（2）产品质量管控；</w:t>
            </w:r>
          </w:p>
          <w:p w14:paraId="7FE2DC0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（3）售后服务方案（含服务人员安排、退换产品服务措施及承诺）。</w:t>
            </w:r>
          </w:p>
          <w:p w14:paraId="223BEAE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评审标准：</w:t>
            </w:r>
          </w:p>
          <w:p w14:paraId="13288CB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（1）以上每提供一项内容得3分，最高得9分，不提供不得分。</w:t>
            </w:r>
          </w:p>
          <w:p w14:paraId="1E8A4C1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（2）在此基础上，根据各响应人的具体响应情况按照以下内容进一步评审：</w:t>
            </w:r>
          </w:p>
          <w:p w14:paraId="4A0E948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①每一小项方案内容响应全面具体，科学合理、可操作性强，符合项目实际情况的，得3分；</w:t>
            </w:r>
          </w:p>
          <w:p w14:paraId="6D53FCF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②每一小项方案内容响应内容不够完整、科学、考虑片面的，得1分；</w:t>
            </w:r>
          </w:p>
          <w:p w14:paraId="3E6AF9B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③其它情况不得分。</w:t>
            </w:r>
          </w:p>
        </w:tc>
      </w:tr>
      <w:tr w14:paraId="728F81B2">
        <w:tblPrEx>
          <w:tblCellMar>
            <w:top w:w="0" w:type="dxa"/>
            <w:left w:w="108" w:type="dxa"/>
            <w:bottom w:w="0" w:type="dxa"/>
            <w:right w:w="108" w:type="dxa"/>
          </w:tblCellMar>
        </w:tblPrEx>
        <w:trPr>
          <w:trHeight w:val="281" w:hRule="atLeast"/>
          <w:jc w:val="center"/>
        </w:trPr>
        <w:tc>
          <w:tcPr>
            <w:tcW w:w="1314" w:type="dxa"/>
            <w:tcBorders>
              <w:top w:val="single" w:color="auto" w:sz="4" w:space="0"/>
              <w:left w:val="single" w:color="auto" w:sz="4" w:space="0"/>
              <w:bottom w:val="single" w:color="auto" w:sz="4" w:space="0"/>
              <w:right w:val="single" w:color="000000" w:sz="4" w:space="0"/>
            </w:tcBorders>
            <w:shd w:val="clear" w:color="auto" w:fill="auto"/>
            <w:vAlign w:val="center"/>
          </w:tcPr>
          <w:p w14:paraId="01993E6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样品评审（仅对样品本身进行评审，该项无需提供检测报告）</w:t>
            </w:r>
          </w:p>
        </w:tc>
        <w:tc>
          <w:tcPr>
            <w:tcW w:w="1091" w:type="dxa"/>
            <w:tcBorders>
              <w:top w:val="single" w:color="auto" w:sz="4" w:space="0"/>
              <w:left w:val="single" w:color="000000" w:sz="4" w:space="0"/>
              <w:bottom w:val="single" w:color="auto" w:sz="4" w:space="0"/>
              <w:right w:val="single" w:color="000000" w:sz="4" w:space="0"/>
            </w:tcBorders>
            <w:shd w:val="clear" w:color="auto" w:fill="auto"/>
            <w:vAlign w:val="center"/>
          </w:tcPr>
          <w:p w14:paraId="36DDD03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10</w:t>
            </w:r>
          </w:p>
        </w:tc>
        <w:tc>
          <w:tcPr>
            <w:tcW w:w="7162" w:type="dxa"/>
            <w:tcBorders>
              <w:top w:val="single" w:color="auto" w:sz="4" w:space="0"/>
              <w:left w:val="single" w:color="000000" w:sz="4" w:space="0"/>
              <w:bottom w:val="single" w:color="auto" w:sz="4" w:space="0"/>
              <w:right w:val="single" w:color="auto" w:sz="4" w:space="0"/>
            </w:tcBorders>
            <w:shd w:val="clear" w:color="auto" w:fill="auto"/>
            <w:vAlign w:val="center"/>
          </w:tcPr>
          <w:p w14:paraId="1B7A639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须提供成人、儿童、新生儿全套样品，缺任一类本项直接 0 分。</w:t>
            </w:r>
          </w:p>
          <w:p w14:paraId="70635BF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外观材质：医用级柔软亲肤、无异味、无毛刺、边角圆润，符合以下一项得1.5分，共9分；</w:t>
            </w:r>
          </w:p>
          <w:p w14:paraId="56039C7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⑴打印手腕带[成人]热敏复合材料 1.5分</w:t>
            </w:r>
          </w:p>
          <w:p w14:paraId="4223B5E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⑵打印手腕带[儿童]热敏复合材料 1.5分</w:t>
            </w:r>
          </w:p>
          <w:p w14:paraId="3F4B5AA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⑶打印手腕带[爱婴专用]热转印纳米硅胶材料1.5分</w:t>
            </w:r>
          </w:p>
          <w:p w14:paraId="473D34E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⑷手写识别带[女成人]PVC 1.5分</w:t>
            </w:r>
          </w:p>
          <w:p w14:paraId="5F72FCD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⑸手写识别带[陪护]PVC  1.5分</w:t>
            </w:r>
          </w:p>
          <w:p w14:paraId="1DB9871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⑹打印手腕带[其他]热敏复合材料  1.5分</w:t>
            </w:r>
          </w:p>
          <w:p w14:paraId="2988638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锁扣设计：一次性防拆防盗、锁止牢固、不可复用 得1分；</w:t>
            </w:r>
          </w:p>
          <w:p w14:paraId="2883D6A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val="0"/>
                <w:color w:val="000000"/>
                <w:spacing w:val="10"/>
                <w:kern w:val="0"/>
                <w:sz w:val="24"/>
                <w:szCs w:val="24"/>
                <w:highlight w:val="none"/>
                <w:lang w:val="en-US" w:eastAsia="zh-CN" w:bidi="ar-SA"/>
                <w14:ligatures w14:val="standardContextual"/>
              </w:rPr>
            </w:pPr>
            <w:r>
              <w:rPr>
                <w:rFonts w:hint="eastAsia" w:ascii="宋体" w:hAnsi="宋体" w:eastAsia="宋体" w:cs="宋体"/>
                <w:bCs w:val="0"/>
                <w:color w:val="000000"/>
                <w:spacing w:val="10"/>
                <w:kern w:val="0"/>
                <w:sz w:val="24"/>
                <w:szCs w:val="24"/>
                <w:highlight w:val="none"/>
                <w:lang w:val="en-US" w:eastAsia="zh-CN" w:bidi="ar-SA"/>
                <w14:ligatures w14:val="standardContextual"/>
              </w:rPr>
              <w:t>未提交全套样品本项计 0 分</w:t>
            </w:r>
          </w:p>
        </w:tc>
      </w:tr>
    </w:tbl>
    <w:p w14:paraId="188BBF06">
      <w:pPr>
        <w:numPr>
          <w:ilvl w:val="0"/>
          <w:numId w:val="3"/>
        </w:numPr>
        <w:bidi w:val="0"/>
        <w:rPr>
          <w:rFonts w:hint="eastAsia"/>
          <w:lang w:val="en-US" w:eastAsia="zh-CN"/>
        </w:rPr>
      </w:pPr>
      <w:r>
        <w:rPr>
          <w:rFonts w:hint="eastAsia"/>
          <w:lang w:val="en-US" w:eastAsia="zh-CN"/>
        </w:rPr>
        <w:t>价格评分：</w:t>
      </w:r>
    </w:p>
    <w:p w14:paraId="291050B9">
      <w:pPr>
        <w:bidi w:val="0"/>
        <w:rPr>
          <w:rFonts w:hint="eastAsia"/>
          <w:lang w:val="en-US" w:eastAsia="zh-CN"/>
        </w:rPr>
      </w:pPr>
      <w:r>
        <w:rPr>
          <w:rFonts w:hint="eastAsia"/>
          <w:lang w:val="en-US" w:eastAsia="zh-CN"/>
        </w:rPr>
        <w:t>本项目统一采用低价优先法计算，以折扣率作为价格评分的评审依据。</w:t>
      </w:r>
    </w:p>
    <w:p w14:paraId="2AAFFCCD">
      <w:pPr>
        <w:bidi w:val="0"/>
        <w:rPr>
          <w:rFonts w:hint="eastAsia"/>
          <w:lang w:val="en-US" w:eastAsia="zh-CN"/>
        </w:rPr>
      </w:pPr>
      <w:r>
        <w:rPr>
          <w:rFonts w:hint="eastAsia"/>
          <w:lang w:val="en-US" w:eastAsia="zh-CN"/>
        </w:rPr>
        <w:t>满足采购文件要求且折扣率最低的价格为评分基准价，价格得分＝（评分基准价/响应报价）*30，保留两位小数。</w:t>
      </w:r>
    </w:p>
    <w:p w14:paraId="1E7A7FEE">
      <w:pPr>
        <w:bidi w:val="0"/>
        <w:rPr>
          <w:rFonts w:hint="eastAsia"/>
          <w:b/>
          <w:bCs/>
        </w:rPr>
      </w:pPr>
      <w:r>
        <w:rPr>
          <w:rFonts w:hint="eastAsia"/>
          <w:b/>
          <w:bCs/>
          <w:lang w:val="en-US" w:eastAsia="zh-CN"/>
        </w:rPr>
        <w:t>4.</w:t>
      </w:r>
      <w:r>
        <w:rPr>
          <w:rFonts w:hint="eastAsia"/>
          <w:b/>
          <w:bCs/>
        </w:rPr>
        <w:t>综合比较与评价</w:t>
      </w:r>
    </w:p>
    <w:p w14:paraId="37A8C5D5">
      <w:pPr>
        <w:bidi w:val="0"/>
        <w:rPr>
          <w:rFonts w:hint="eastAsia"/>
        </w:rPr>
      </w:pPr>
      <w:r>
        <w:rPr>
          <w:rFonts w:hint="eastAsia"/>
        </w:rPr>
        <w:t xml:space="preserve">根据每个响应人在上述各评审阶段中的得分，采用下面公式算出每个响应人的综合得分： </w:t>
      </w:r>
    </w:p>
    <w:p w14:paraId="00946618">
      <w:pPr>
        <w:bidi w:val="0"/>
        <w:rPr>
          <w:rFonts w:hint="eastAsia"/>
        </w:rPr>
      </w:pPr>
      <w:r>
        <w:rPr>
          <w:rFonts w:hint="eastAsia"/>
        </w:rPr>
        <w:t xml:space="preserve">W＝C ＋ </w:t>
      </w:r>
      <w:r>
        <w:rPr>
          <w:rFonts w:hint="eastAsia"/>
          <w:lang w:val="en-US" w:eastAsia="zh-CN"/>
        </w:rPr>
        <w:t>T</w:t>
      </w:r>
      <w:r>
        <w:rPr>
          <w:rFonts w:hint="eastAsia"/>
        </w:rPr>
        <w:t xml:space="preserve"> ＋ M </w:t>
      </w:r>
    </w:p>
    <w:p w14:paraId="2AA30152">
      <w:pPr>
        <w:bidi w:val="0"/>
        <w:rPr>
          <w:rFonts w:hint="eastAsia"/>
        </w:rPr>
      </w:pPr>
      <w:r>
        <w:rPr>
          <w:rFonts w:hint="eastAsia"/>
        </w:rPr>
        <w:t>其中：</w:t>
      </w:r>
    </w:p>
    <w:p w14:paraId="4971F5AD">
      <w:pPr>
        <w:bidi w:val="0"/>
        <w:rPr>
          <w:rFonts w:hint="eastAsia"/>
        </w:rPr>
      </w:pPr>
      <w:r>
        <w:rPr>
          <w:rFonts w:hint="eastAsia"/>
        </w:rPr>
        <w:t>W某个</w:t>
      </w:r>
      <w:r>
        <w:rPr>
          <w:rFonts w:hint="eastAsia"/>
          <w:lang w:val="en-US" w:eastAsia="zh-CN"/>
        </w:rPr>
        <w:t>响应人</w:t>
      </w:r>
      <w:r>
        <w:rPr>
          <w:rFonts w:hint="eastAsia"/>
        </w:rPr>
        <w:t>的综合得分；</w:t>
      </w:r>
    </w:p>
    <w:p w14:paraId="09A2E443">
      <w:pPr>
        <w:bidi w:val="0"/>
        <w:rPr>
          <w:rFonts w:hint="eastAsia"/>
        </w:rPr>
      </w:pPr>
      <w:r>
        <w:rPr>
          <w:rFonts w:hint="eastAsia"/>
        </w:rPr>
        <w:t>C某个</w:t>
      </w:r>
      <w:r>
        <w:rPr>
          <w:rFonts w:hint="eastAsia"/>
          <w:lang w:val="en-US" w:eastAsia="zh-CN"/>
        </w:rPr>
        <w:t>响应人</w:t>
      </w:r>
      <w:r>
        <w:rPr>
          <w:rFonts w:hint="eastAsia"/>
        </w:rPr>
        <w:t>的</w:t>
      </w:r>
      <w:r>
        <w:rPr>
          <w:rFonts w:hint="eastAsia"/>
          <w:lang w:val="en-US" w:eastAsia="zh-CN"/>
        </w:rPr>
        <w:t>价格得分</w:t>
      </w:r>
      <w:r>
        <w:rPr>
          <w:rFonts w:hint="eastAsia"/>
        </w:rPr>
        <w:t>；</w:t>
      </w:r>
    </w:p>
    <w:p w14:paraId="1692BAE5">
      <w:pPr>
        <w:bidi w:val="0"/>
        <w:rPr>
          <w:rFonts w:hint="eastAsia"/>
        </w:rPr>
      </w:pPr>
      <w:r>
        <w:rPr>
          <w:rFonts w:hint="eastAsia"/>
          <w:lang w:val="en-US" w:eastAsia="zh-CN"/>
        </w:rPr>
        <w:t>T</w:t>
      </w:r>
      <w:r>
        <w:rPr>
          <w:rFonts w:hint="eastAsia"/>
        </w:rPr>
        <w:t>某个响应人的</w:t>
      </w:r>
      <w:r>
        <w:rPr>
          <w:rFonts w:hint="eastAsia"/>
          <w:lang w:val="en-US" w:eastAsia="zh-CN"/>
        </w:rPr>
        <w:t>技术</w:t>
      </w:r>
      <w:r>
        <w:rPr>
          <w:rFonts w:hint="eastAsia"/>
        </w:rPr>
        <w:t>评审得分；</w:t>
      </w:r>
    </w:p>
    <w:p w14:paraId="0541ADE4">
      <w:pPr>
        <w:bidi w:val="0"/>
        <w:rPr>
          <w:rFonts w:hint="eastAsia"/>
          <w:lang w:eastAsia="zh-CN"/>
        </w:rPr>
      </w:pPr>
      <w:r>
        <w:rPr>
          <w:rFonts w:hint="eastAsia"/>
        </w:rPr>
        <w:t>M某个响应人的商务评审得分</w:t>
      </w:r>
      <w:r>
        <w:rPr>
          <w:rFonts w:hint="eastAsia"/>
          <w:lang w:val="en-US" w:eastAsia="zh-CN"/>
        </w:rPr>
        <w:t>。</w:t>
      </w:r>
    </w:p>
    <w:p w14:paraId="57B754F4">
      <w:pPr>
        <w:bidi w:val="0"/>
        <w:rPr>
          <w:rFonts w:hint="eastAsia"/>
        </w:rPr>
      </w:pPr>
      <w:r>
        <w:rPr>
          <w:rFonts w:hint="eastAsia"/>
        </w:rPr>
        <w:t>（注：</w:t>
      </w:r>
      <w:r>
        <w:rPr>
          <w:rFonts w:hint="eastAsia"/>
          <w:lang w:val="en-US" w:eastAsia="zh-CN"/>
        </w:rPr>
        <w:t>T</w:t>
      </w:r>
      <w:r>
        <w:rPr>
          <w:rFonts w:hint="eastAsia"/>
        </w:rPr>
        <w:t>、M均为所有</w:t>
      </w:r>
      <w:r>
        <w:rPr>
          <w:rFonts w:hint="eastAsia"/>
          <w:lang w:val="en-US" w:eastAsia="zh-CN"/>
        </w:rPr>
        <w:t>评审专家</w:t>
      </w:r>
      <w:r>
        <w:rPr>
          <w:rFonts w:hint="eastAsia"/>
        </w:rPr>
        <w:t>评分的算术平均值）</w:t>
      </w:r>
    </w:p>
    <w:p w14:paraId="2D16ED83">
      <w:pPr>
        <w:rPr>
          <w:rFonts w:hint="eastAsia"/>
          <w:lang w:val="en-US" w:eastAsia="zh-CN"/>
        </w:rPr>
      </w:pPr>
      <w:r>
        <w:rPr>
          <w:rFonts w:hint="eastAsia"/>
          <w:lang w:val="en-US" w:eastAsia="zh-CN"/>
        </w:rPr>
        <w:br w:type="page"/>
      </w:r>
    </w:p>
    <w:p w14:paraId="31C0FB5D">
      <w:pPr>
        <w:pStyle w:val="3"/>
        <w:bidi w:val="0"/>
        <w:ind w:left="0" w:leftChars="0" w:firstLine="0" w:firstLineChars="0"/>
        <w:jc w:val="center"/>
        <w:rPr>
          <w:rFonts w:hint="eastAsia"/>
          <w:lang w:val="en-US" w:eastAsia="zh-CN"/>
        </w:rPr>
      </w:pPr>
      <w:r>
        <w:rPr>
          <w:rFonts w:hint="eastAsia"/>
          <w:lang w:val="en-US" w:eastAsia="zh-CN"/>
        </w:rPr>
        <w:t>合同格式</w:t>
      </w:r>
    </w:p>
    <w:p w14:paraId="28EE68A8">
      <w:pPr>
        <w:rPr>
          <w:rFonts w:hint="eastAsia"/>
          <w:lang w:val="en-US" w:eastAsia="zh-CN"/>
        </w:rPr>
      </w:pPr>
    </w:p>
    <w:p w14:paraId="17D2EB50">
      <w:pPr>
        <w:pStyle w:val="3"/>
        <w:numPr>
          <w:ilvl w:val="0"/>
          <w:numId w:val="0"/>
        </w:numPr>
        <w:bidi w:val="0"/>
        <w:ind w:leftChars="0" w:firstLine="964" w:firstLineChars="300"/>
        <w:jc w:val="both"/>
        <w:rPr>
          <w:rFonts w:hint="eastAsia"/>
        </w:rPr>
      </w:pPr>
      <w:r>
        <w:rPr>
          <w:rFonts w:hint="eastAsia"/>
        </w:rPr>
        <w:t>中山大学孙逸仙纪念医院</w:t>
      </w:r>
      <w:r>
        <w:rPr>
          <w:rFonts w:hint="eastAsia"/>
          <w:lang w:eastAsia="zh-CN"/>
        </w:rPr>
        <w:t>总务货物</w:t>
      </w:r>
      <w:r>
        <w:rPr>
          <w:rFonts w:hint="eastAsia"/>
        </w:rPr>
        <w:t>采购合同</w:t>
      </w:r>
    </w:p>
    <w:p w14:paraId="2EB17F71">
      <w:pPr>
        <w:ind w:left="0" w:leftChars="0" w:firstLine="0" w:firstLineChars="0"/>
        <w:jc w:val="left"/>
        <w:rPr>
          <w:rFonts w:hint="eastAsia" w:ascii="仿宋_GB2312" w:hAnsi="仿宋_GB2312" w:eastAsia="仿宋_GB2312" w:cs="仿宋_GB2312"/>
          <w:sz w:val="28"/>
          <w:szCs w:val="32"/>
        </w:rPr>
      </w:pPr>
    </w:p>
    <w:p w14:paraId="01C84A3E">
      <w:pPr>
        <w:ind w:left="0" w:leftChars="0" w:firstLine="0" w:firstLineChars="0"/>
        <w:jc w:val="left"/>
        <w:rPr>
          <w:rFonts w:hint="eastAsia" w:ascii="仿宋_GB2312" w:hAnsi="仿宋_GB2312" w:eastAsia="仿宋_GB2312" w:cs="仿宋_GB2312"/>
          <w:sz w:val="28"/>
          <w:szCs w:val="32"/>
          <w:lang w:val="en-US" w:eastAsia="zh-CN"/>
        </w:rPr>
      </w:pPr>
      <w:r>
        <w:rPr>
          <w:rFonts w:hint="eastAsia" w:ascii="仿宋_GB2312" w:hAnsi="仿宋_GB2312" w:eastAsia="仿宋_GB2312" w:cs="仿宋_GB2312"/>
          <w:sz w:val="28"/>
          <w:szCs w:val="32"/>
        </w:rPr>
        <w:t>合同编号：</w:t>
      </w:r>
    </w:p>
    <w:p w14:paraId="7180621C">
      <w:pPr>
        <w:ind w:left="0" w:leftChars="0" w:firstLine="0" w:firstLineChars="0"/>
        <w:jc w:val="left"/>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甲方：中山大学孙逸仙纪念医院</w:t>
      </w:r>
    </w:p>
    <w:p w14:paraId="154F41FA">
      <w:pPr>
        <w:ind w:left="0" w:leftChars="0" w:firstLine="0" w:firstLineChars="0"/>
        <w:jc w:val="left"/>
        <w:rPr>
          <w:rFonts w:hint="eastAsia" w:ascii="仿宋_GB2312" w:hAnsi="仿宋_GB2312" w:eastAsia="仿宋_GB2312" w:cs="仿宋_GB2312"/>
          <w:sz w:val="28"/>
          <w:szCs w:val="32"/>
          <w:lang w:val="en-US" w:eastAsia="zh-CN"/>
        </w:rPr>
      </w:pPr>
      <w:r>
        <w:rPr>
          <w:rFonts w:hint="eastAsia" w:ascii="仿宋_GB2312" w:hAnsi="仿宋_GB2312" w:eastAsia="仿宋_GB2312" w:cs="仿宋_GB2312"/>
          <w:sz w:val="28"/>
          <w:szCs w:val="32"/>
        </w:rPr>
        <w:t>乙方：</w:t>
      </w:r>
    </w:p>
    <w:p w14:paraId="6780D784">
      <w:pPr>
        <w:ind w:left="0" w:leftChars="0" w:firstLine="0" w:firstLineChars="0"/>
        <w:jc w:val="left"/>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根据《中华人民共和国民法典》，现经甲、乙双方协商一致，甲方向乙方订购</w:t>
      </w:r>
      <w:r>
        <w:rPr>
          <w:rFonts w:hint="eastAsia" w:ascii="仿宋_GB2312" w:hAnsi="仿宋_GB2312" w:eastAsia="仿宋_GB2312" w:cs="仿宋_GB2312"/>
          <w:sz w:val="28"/>
          <w:szCs w:val="32"/>
          <w:u w:val="single"/>
          <w:lang w:val="en-US" w:eastAsia="zh-CN"/>
        </w:rPr>
        <w:t xml:space="preserve">             </w:t>
      </w:r>
      <w:r>
        <w:rPr>
          <w:rFonts w:hint="eastAsia" w:ascii="仿宋_GB2312" w:hAnsi="仿宋_GB2312" w:eastAsia="仿宋_GB2312" w:cs="仿宋_GB2312"/>
          <w:sz w:val="28"/>
          <w:szCs w:val="32"/>
        </w:rPr>
        <w:t>，为明确双方责任和权利，特签订本合同，共同遵守。具体条款如下：</w:t>
      </w:r>
    </w:p>
    <w:p w14:paraId="19307BDC">
      <w:pPr>
        <w:ind w:left="0" w:leftChars="0" w:firstLine="0" w:firstLineChars="0"/>
        <w:jc w:val="left"/>
        <w:rPr>
          <w:rFonts w:hint="eastAsia" w:ascii="仿宋_GB2312" w:hAnsi="仿宋_GB2312" w:eastAsia="仿宋_GB2312" w:cs="仿宋_GB2312"/>
          <w:sz w:val="28"/>
          <w:szCs w:val="32"/>
        </w:rPr>
      </w:pPr>
    </w:p>
    <w:p w14:paraId="3359F740">
      <w:pPr>
        <w:ind w:left="0" w:leftChars="0" w:firstLine="0" w:firstLineChars="0"/>
        <w:jc w:val="left"/>
        <w:rPr>
          <w:rFonts w:hint="eastAsia" w:ascii="仿宋_GB2312" w:hAnsi="仿宋_GB2312" w:eastAsia="仿宋_GB2312" w:cs="仿宋_GB2312"/>
          <w:b/>
          <w:bCs/>
          <w:sz w:val="28"/>
          <w:szCs w:val="32"/>
        </w:rPr>
      </w:pPr>
      <w:r>
        <w:rPr>
          <w:rFonts w:hint="eastAsia" w:ascii="仿宋_GB2312" w:hAnsi="仿宋_GB2312" w:eastAsia="仿宋_GB2312" w:cs="仿宋_GB2312"/>
          <w:b/>
          <w:bCs/>
          <w:sz w:val="28"/>
          <w:szCs w:val="32"/>
        </w:rPr>
        <w:t>一、合同价格</w:t>
      </w:r>
    </w:p>
    <w:p w14:paraId="614680B9">
      <w:pPr>
        <w:ind w:left="0" w:leftChars="0" w:firstLine="560" w:firstLineChars="200"/>
        <w:jc w:val="left"/>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1.合同所指价格为抵达甲方指定交货地点的含税价</w:t>
      </w:r>
      <w:r>
        <w:rPr>
          <w:rFonts w:hint="eastAsia" w:ascii="仿宋_GB2312" w:hAnsi="仿宋_GB2312" w:eastAsia="仿宋_GB2312" w:cs="仿宋_GB2312"/>
          <w:sz w:val="28"/>
          <w:szCs w:val="32"/>
          <w:u w:val="single"/>
          <w:lang w:val="en-US" w:eastAsia="zh-CN"/>
        </w:rPr>
        <w:t xml:space="preserve">              </w:t>
      </w:r>
      <w:r>
        <w:rPr>
          <w:rFonts w:hint="eastAsia" w:ascii="仿宋_GB2312" w:hAnsi="仿宋_GB2312" w:eastAsia="仿宋_GB2312" w:cs="仿宋_GB2312"/>
          <w:sz w:val="28"/>
          <w:szCs w:val="32"/>
          <w:u w:val="none"/>
          <w:lang w:val="en-US" w:eastAsia="zh-CN"/>
        </w:rPr>
        <w:t>，</w:t>
      </w:r>
      <w:r>
        <w:rPr>
          <w:rFonts w:hint="eastAsia" w:ascii="仿宋_GB2312" w:hAnsi="仿宋_GB2312" w:eastAsia="仿宋_GB2312" w:cs="仿宋_GB2312"/>
          <w:sz w:val="28"/>
          <w:szCs w:val="32"/>
          <w:lang w:val="en-US" w:eastAsia="zh-CN"/>
        </w:rPr>
        <w:t>单价</w:t>
      </w:r>
      <w:r>
        <w:rPr>
          <w:rFonts w:hint="eastAsia" w:ascii="仿宋_GB2312" w:hAnsi="仿宋_GB2312" w:eastAsia="仿宋_GB2312" w:cs="仿宋_GB2312"/>
          <w:sz w:val="28"/>
          <w:szCs w:val="32"/>
          <w:u w:val="single"/>
          <w:lang w:val="en-US" w:eastAsia="zh-CN"/>
        </w:rPr>
        <w:t xml:space="preserve">        </w:t>
      </w:r>
      <w:r>
        <w:rPr>
          <w:rFonts w:hint="eastAsia" w:ascii="仿宋_GB2312" w:hAnsi="仿宋_GB2312" w:eastAsia="仿宋_GB2312" w:cs="仿宋_GB2312"/>
          <w:sz w:val="28"/>
          <w:szCs w:val="32"/>
          <w:lang w:val="en-US" w:eastAsia="zh-CN"/>
        </w:rPr>
        <w:t>，数量</w:t>
      </w:r>
      <w:r>
        <w:rPr>
          <w:rFonts w:hint="eastAsia" w:ascii="仿宋_GB2312" w:hAnsi="仿宋_GB2312" w:eastAsia="仿宋_GB2312" w:cs="仿宋_GB2312"/>
          <w:sz w:val="28"/>
          <w:szCs w:val="32"/>
          <w:u w:val="single"/>
          <w:lang w:val="en-US" w:eastAsia="zh-CN"/>
        </w:rPr>
        <w:t xml:space="preserve">      </w:t>
      </w:r>
      <w:r>
        <w:rPr>
          <w:rFonts w:hint="eastAsia" w:ascii="仿宋_GB2312" w:hAnsi="仿宋_GB2312" w:eastAsia="仿宋_GB2312" w:cs="仿宋_GB2312"/>
          <w:sz w:val="28"/>
          <w:szCs w:val="32"/>
          <w:lang w:val="en-US" w:eastAsia="zh-CN"/>
        </w:rPr>
        <w:t>，金额为：</w:t>
      </w:r>
      <w:r>
        <w:rPr>
          <w:rFonts w:hint="eastAsia" w:ascii="仿宋_GB2312" w:hAnsi="仿宋_GB2312" w:eastAsia="仿宋_GB2312" w:cs="仿宋_GB2312"/>
          <w:sz w:val="28"/>
          <w:szCs w:val="32"/>
        </w:rPr>
        <w:t>RMB</w:t>
      </w:r>
      <w:r>
        <w:rPr>
          <w:rFonts w:hint="eastAsia" w:ascii="仿宋_GB2312" w:hAnsi="仿宋_GB2312" w:eastAsia="仿宋_GB2312" w:cs="仿宋_GB2312"/>
          <w:sz w:val="28"/>
          <w:szCs w:val="32"/>
          <w:u w:val="single"/>
          <w:lang w:val="en-US" w:eastAsia="zh-CN"/>
        </w:rPr>
        <w:t xml:space="preserve">￥         </w:t>
      </w:r>
      <w:r>
        <w:rPr>
          <w:rFonts w:hint="eastAsia" w:ascii="仿宋_GB2312" w:hAnsi="仿宋_GB2312" w:eastAsia="仿宋_GB2312" w:cs="仿宋_GB2312"/>
          <w:sz w:val="28"/>
          <w:szCs w:val="32"/>
          <w:lang w:val="en-US" w:eastAsia="zh-CN"/>
        </w:rPr>
        <w:t>；合计总金额</w:t>
      </w:r>
      <w:r>
        <w:rPr>
          <w:rFonts w:hint="eastAsia" w:ascii="仿宋_GB2312" w:hAnsi="仿宋_GB2312" w:eastAsia="仿宋_GB2312" w:cs="仿宋_GB2312"/>
          <w:sz w:val="28"/>
          <w:szCs w:val="32"/>
        </w:rPr>
        <w:t>为(大写)</w:t>
      </w:r>
      <w:r>
        <w:rPr>
          <w:rFonts w:hint="eastAsia" w:ascii="仿宋_GB2312" w:hAnsi="仿宋_GB2312" w:eastAsia="仿宋_GB2312" w:cs="仿宋_GB2312"/>
          <w:sz w:val="28"/>
          <w:szCs w:val="32"/>
          <w:u w:val="single"/>
          <w:lang w:val="en-US" w:eastAsia="zh-CN"/>
        </w:rPr>
        <w:t xml:space="preserve">：            </w:t>
      </w:r>
      <w:r>
        <w:rPr>
          <w:rFonts w:hint="eastAsia" w:ascii="仿宋_GB2312" w:hAnsi="仿宋_GB2312" w:eastAsia="仿宋_GB2312" w:cs="仿宋_GB2312"/>
          <w:sz w:val="28"/>
          <w:szCs w:val="32"/>
        </w:rPr>
        <w:t>，即</w:t>
      </w:r>
      <w:r>
        <w:rPr>
          <w:rFonts w:hint="eastAsia" w:ascii="仿宋_GB2312" w:hAnsi="仿宋_GB2312" w:eastAsia="仿宋_GB2312" w:cs="仿宋_GB2312"/>
          <w:sz w:val="28"/>
          <w:szCs w:val="32"/>
          <w:u w:val="none"/>
          <w:lang w:val="en-US" w:eastAsia="zh-CN"/>
        </w:rPr>
        <w:t>RMB</w:t>
      </w:r>
      <w:r>
        <w:rPr>
          <w:rFonts w:hint="eastAsia" w:ascii="仿宋_GB2312" w:hAnsi="仿宋_GB2312" w:eastAsia="仿宋_GB2312" w:cs="仿宋_GB2312"/>
          <w:sz w:val="28"/>
          <w:szCs w:val="32"/>
          <w:u w:val="single"/>
          <w:lang w:val="en-US" w:eastAsia="zh-CN"/>
        </w:rPr>
        <w:t xml:space="preserve">￥：                   </w:t>
      </w:r>
      <w:r>
        <w:rPr>
          <w:rFonts w:hint="eastAsia" w:ascii="仿宋_GB2312" w:hAnsi="仿宋_GB2312" w:eastAsia="仿宋_GB2312" w:cs="仿宋_GB2312"/>
          <w:sz w:val="28"/>
          <w:szCs w:val="32"/>
        </w:rPr>
        <w:t>，该合同总金额为设计、生产、包装、运输、卸货及保修等所发生的所有含税费用，本合同执行期间合同单价不变，按甲方实际采购数量计算费用。</w:t>
      </w:r>
    </w:p>
    <w:p w14:paraId="1711460D">
      <w:pPr>
        <w:ind w:left="0" w:leftChars="0" w:firstLine="560" w:firstLineChars="200"/>
        <w:jc w:val="left"/>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2．甲方享受乙方提供的单价应为该产品市场价格的最低价（VIP价），自合同签署之日起不受市场价格浮动影响。成交供应商（乙方）对采购人（甲方）的采购价格一经确定，当事人不再进行议价。</w:t>
      </w:r>
    </w:p>
    <w:p w14:paraId="294170CC">
      <w:pPr>
        <w:ind w:left="0" w:leftChars="0" w:firstLine="0" w:firstLineChars="0"/>
        <w:jc w:val="left"/>
        <w:rPr>
          <w:rFonts w:hint="eastAsia" w:ascii="仿宋_GB2312" w:hAnsi="仿宋_GB2312" w:eastAsia="仿宋_GB2312" w:cs="仿宋_GB2312"/>
          <w:sz w:val="28"/>
          <w:szCs w:val="32"/>
        </w:rPr>
      </w:pPr>
    </w:p>
    <w:p w14:paraId="7EDFCB2A">
      <w:pPr>
        <w:ind w:left="0" w:leftChars="0" w:firstLine="0" w:firstLineChars="0"/>
        <w:jc w:val="left"/>
        <w:rPr>
          <w:rFonts w:hint="eastAsia" w:ascii="仿宋_GB2312" w:hAnsi="仿宋_GB2312" w:eastAsia="仿宋_GB2312" w:cs="仿宋_GB2312"/>
          <w:b/>
          <w:bCs/>
          <w:sz w:val="28"/>
          <w:szCs w:val="32"/>
        </w:rPr>
      </w:pPr>
      <w:r>
        <w:rPr>
          <w:rFonts w:hint="eastAsia" w:ascii="仿宋_GB2312" w:hAnsi="仿宋_GB2312" w:eastAsia="仿宋_GB2312" w:cs="仿宋_GB2312"/>
          <w:b/>
          <w:bCs/>
          <w:sz w:val="28"/>
          <w:szCs w:val="32"/>
        </w:rPr>
        <w:t>二、合同组成</w:t>
      </w:r>
    </w:p>
    <w:p w14:paraId="4D0EE4B5">
      <w:pPr>
        <w:ind w:left="0" w:leftChars="0" w:firstLine="560" w:firstLineChars="200"/>
        <w:jc w:val="left"/>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详细价格、技术说明及其它有关合同项目的特定信息由合同附件说明，所有附件及本项目的招</w:t>
      </w:r>
      <w:r>
        <w:rPr>
          <w:rFonts w:hint="eastAsia" w:cs="仿宋_GB2312"/>
          <w:sz w:val="28"/>
          <w:szCs w:val="32"/>
          <w:lang w:eastAsia="zh-CN"/>
        </w:rPr>
        <w:t>响应文件</w:t>
      </w:r>
      <w:r>
        <w:rPr>
          <w:rFonts w:hint="eastAsia" w:ascii="仿宋_GB2312" w:hAnsi="仿宋_GB2312" w:eastAsia="仿宋_GB2312" w:cs="仿宋_GB2312"/>
          <w:sz w:val="28"/>
          <w:szCs w:val="32"/>
        </w:rPr>
        <w:t>、会议纪要等均为本合同不可分割之一部分。</w:t>
      </w:r>
    </w:p>
    <w:p w14:paraId="2DD2A0E5">
      <w:pPr>
        <w:ind w:left="0" w:leftChars="0" w:firstLine="0" w:firstLineChars="0"/>
        <w:jc w:val="left"/>
        <w:rPr>
          <w:rFonts w:hint="eastAsia" w:ascii="仿宋_GB2312" w:hAnsi="仿宋_GB2312" w:eastAsia="仿宋_GB2312" w:cs="仿宋_GB2312"/>
          <w:sz w:val="28"/>
          <w:szCs w:val="32"/>
        </w:rPr>
      </w:pPr>
    </w:p>
    <w:p w14:paraId="5CA615BA">
      <w:pPr>
        <w:ind w:left="0" w:leftChars="0" w:firstLine="0" w:firstLineChars="0"/>
        <w:jc w:val="left"/>
        <w:rPr>
          <w:rFonts w:hint="eastAsia" w:ascii="仿宋_GB2312" w:hAnsi="仿宋_GB2312" w:eastAsia="仿宋_GB2312" w:cs="仿宋_GB2312"/>
          <w:b/>
          <w:bCs/>
          <w:sz w:val="28"/>
          <w:szCs w:val="32"/>
        </w:rPr>
      </w:pPr>
      <w:r>
        <w:rPr>
          <w:rFonts w:hint="eastAsia" w:ascii="仿宋_GB2312" w:hAnsi="仿宋_GB2312" w:eastAsia="仿宋_GB2312" w:cs="仿宋_GB2312"/>
          <w:b/>
          <w:bCs/>
          <w:sz w:val="28"/>
          <w:szCs w:val="32"/>
          <w:lang w:val="en-US" w:eastAsia="zh-CN"/>
        </w:rPr>
        <w:t>三</w:t>
      </w:r>
      <w:r>
        <w:rPr>
          <w:rFonts w:hint="eastAsia" w:ascii="仿宋_GB2312" w:hAnsi="仿宋_GB2312" w:eastAsia="仿宋_GB2312" w:cs="仿宋_GB2312"/>
          <w:b/>
          <w:bCs/>
          <w:sz w:val="28"/>
          <w:szCs w:val="32"/>
        </w:rPr>
        <w:t>、质量标准</w:t>
      </w:r>
    </w:p>
    <w:p w14:paraId="44D3A4B9">
      <w:pPr>
        <w:ind w:left="0" w:leftChars="0" w:firstLine="560" w:firstLineChars="200"/>
        <w:jc w:val="left"/>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乙方交付的总务货物应按行业标准提供装箱单、质量合格证书、保修证书、产品使用说明书及其他应当随箱的技术资料，以备验收检查。如发现质量问题，按有关规定执行及按本合同“</w:t>
      </w:r>
      <w:r>
        <w:rPr>
          <w:rFonts w:hint="eastAsia" w:ascii="仿宋_GB2312" w:hAnsi="仿宋_GB2312" w:eastAsia="仿宋_GB2312" w:cs="仿宋_GB2312"/>
          <w:sz w:val="28"/>
          <w:szCs w:val="32"/>
          <w:lang w:val="en-US" w:eastAsia="zh-CN"/>
        </w:rPr>
        <w:t>六</w:t>
      </w:r>
      <w:r>
        <w:rPr>
          <w:rFonts w:hint="eastAsia" w:ascii="仿宋_GB2312" w:hAnsi="仿宋_GB2312" w:eastAsia="仿宋_GB2312" w:cs="仿宋_GB2312"/>
          <w:sz w:val="28"/>
          <w:szCs w:val="32"/>
        </w:rPr>
        <w:t>、质量保证及售后服务”、“</w:t>
      </w:r>
      <w:r>
        <w:rPr>
          <w:rFonts w:hint="eastAsia" w:ascii="仿宋_GB2312" w:hAnsi="仿宋_GB2312" w:eastAsia="仿宋_GB2312" w:cs="仿宋_GB2312"/>
          <w:sz w:val="28"/>
          <w:szCs w:val="32"/>
          <w:lang w:val="en-US" w:eastAsia="zh-CN"/>
        </w:rPr>
        <w:t>八</w:t>
      </w:r>
      <w:r>
        <w:rPr>
          <w:rFonts w:hint="eastAsia" w:ascii="仿宋_GB2312" w:hAnsi="仿宋_GB2312" w:eastAsia="仿宋_GB2312" w:cs="仿宋_GB2312"/>
          <w:sz w:val="28"/>
          <w:szCs w:val="32"/>
        </w:rPr>
        <w:t>、违约责任”项下的规定处理。</w:t>
      </w:r>
    </w:p>
    <w:p w14:paraId="4CEA64D8">
      <w:pPr>
        <w:ind w:left="0" w:leftChars="0" w:firstLine="560" w:firstLineChars="200"/>
        <w:jc w:val="left"/>
        <w:rPr>
          <w:rFonts w:hint="eastAsia" w:ascii="仿宋_GB2312" w:hAnsi="仿宋_GB2312" w:eastAsia="仿宋_GB2312" w:cs="仿宋_GB2312"/>
          <w:sz w:val="28"/>
          <w:szCs w:val="32"/>
        </w:rPr>
      </w:pPr>
    </w:p>
    <w:p w14:paraId="1B248FDC">
      <w:pPr>
        <w:ind w:left="0" w:leftChars="0" w:firstLine="0" w:firstLineChars="0"/>
        <w:jc w:val="left"/>
        <w:rPr>
          <w:rFonts w:hint="eastAsia" w:ascii="仿宋_GB2312" w:hAnsi="仿宋_GB2312" w:eastAsia="仿宋_GB2312" w:cs="仿宋_GB2312"/>
          <w:b/>
          <w:bCs/>
          <w:sz w:val="28"/>
          <w:szCs w:val="32"/>
        </w:rPr>
      </w:pPr>
      <w:r>
        <w:rPr>
          <w:rFonts w:hint="eastAsia" w:ascii="仿宋_GB2312" w:hAnsi="仿宋_GB2312" w:eastAsia="仿宋_GB2312" w:cs="仿宋_GB2312"/>
          <w:b/>
          <w:bCs/>
          <w:sz w:val="28"/>
          <w:szCs w:val="32"/>
          <w:lang w:val="en-US" w:eastAsia="zh-CN"/>
        </w:rPr>
        <w:t>四</w:t>
      </w:r>
      <w:r>
        <w:rPr>
          <w:rFonts w:hint="eastAsia" w:ascii="仿宋_GB2312" w:hAnsi="仿宋_GB2312" w:eastAsia="仿宋_GB2312" w:cs="仿宋_GB2312"/>
          <w:b/>
          <w:bCs/>
          <w:sz w:val="28"/>
          <w:szCs w:val="32"/>
        </w:rPr>
        <w:t>、合同产品包装、配送及验收</w:t>
      </w:r>
    </w:p>
    <w:p w14:paraId="277DD97D">
      <w:pPr>
        <w:ind w:left="0" w:leftChars="0" w:firstLine="560" w:firstLineChars="200"/>
        <w:jc w:val="left"/>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1.包装标准</w:t>
      </w:r>
    </w:p>
    <w:p w14:paraId="53B48703">
      <w:pPr>
        <w:ind w:left="0" w:leftChars="0" w:firstLine="560" w:firstLineChars="200"/>
        <w:jc w:val="left"/>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乙方提供的全部货物均应按国家规定的标准保护措施进行包装，每一个包装箱内应附有一份详细装箱单。包装、标记和包装箱内外的单据应符合采购文件的要求。凡由于包装不良造成的损失和由此产生的费用均由乙方承担。</w:t>
      </w:r>
    </w:p>
    <w:p w14:paraId="53AF4FE6">
      <w:pPr>
        <w:ind w:left="0" w:leftChars="0" w:firstLine="560" w:firstLineChars="200"/>
        <w:jc w:val="left"/>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2.配送服务</w:t>
      </w:r>
    </w:p>
    <w:p w14:paraId="6B4426DE">
      <w:pPr>
        <w:ind w:left="0" w:leftChars="0" w:firstLine="560" w:firstLineChars="200"/>
        <w:jc w:val="left"/>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配送由乙方或乙方委托的配送企业负责，乙方按合同要求对甲方提供服务，每次配送的时间和数量以甲方的采购计划为准。属加急供货的应及时配送。交货地点由甲方指定。</w:t>
      </w:r>
    </w:p>
    <w:p w14:paraId="2F9CDF97">
      <w:pPr>
        <w:ind w:left="0" w:leftChars="0" w:firstLine="560" w:firstLineChars="200"/>
        <w:jc w:val="left"/>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3.产品验收</w:t>
      </w:r>
    </w:p>
    <w:p w14:paraId="58B6B417">
      <w:pPr>
        <w:ind w:left="0" w:leftChars="0" w:firstLine="0" w:firstLineChars="0"/>
        <w:jc w:val="left"/>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（1）验收应在双方共同参与情况下进行。</w:t>
      </w:r>
    </w:p>
    <w:p w14:paraId="2AC959D5">
      <w:pPr>
        <w:ind w:left="0" w:leftChars="0" w:firstLine="0" w:firstLineChars="0"/>
        <w:jc w:val="left"/>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2）验收按照国家有关规定、规范进行，货物验收开箱时发现的破损、近效期或其他不合格货物应及时更换，甲方作出详细现场记录，或由甲乙双方共同签署备忘录，此记录或备忘录作为此产品当场的有效证据，由此产生的有关费用由乙方承担。</w:t>
      </w:r>
    </w:p>
    <w:p w14:paraId="3CE35020">
      <w:pPr>
        <w:ind w:left="0" w:leftChars="0" w:firstLine="0" w:firstLineChars="0"/>
        <w:jc w:val="left"/>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（3）乙方保证所供产品不涉及侵权、侵犯第三方专利、商标及版权，否则乙方须承担由此带来的法律责任和费用。</w:t>
      </w:r>
    </w:p>
    <w:p w14:paraId="580BDDA2">
      <w:pPr>
        <w:ind w:left="0" w:leftChars="0" w:firstLine="0" w:firstLineChars="0"/>
        <w:jc w:val="left"/>
        <w:rPr>
          <w:rFonts w:hint="eastAsia" w:ascii="仿宋_GB2312" w:hAnsi="仿宋_GB2312" w:eastAsia="仿宋_GB2312" w:cs="仿宋_GB2312"/>
          <w:sz w:val="28"/>
          <w:szCs w:val="32"/>
          <w:lang w:eastAsia="zh-CN"/>
        </w:rPr>
      </w:pPr>
      <w:r>
        <w:rPr>
          <w:rFonts w:hint="eastAsia" w:ascii="仿宋_GB2312" w:hAnsi="仿宋_GB2312" w:eastAsia="仿宋_GB2312" w:cs="仿宋_GB2312"/>
          <w:sz w:val="28"/>
          <w:szCs w:val="32"/>
        </w:rPr>
        <w:t>（4）如无特殊约定,甲方要求送货后</w:t>
      </w:r>
      <w:r>
        <w:rPr>
          <w:rFonts w:hint="eastAsia" w:ascii="仿宋_GB2312" w:hAnsi="仿宋_GB2312" w:eastAsia="仿宋_GB2312" w:cs="仿宋_GB2312"/>
          <w:sz w:val="28"/>
          <w:szCs w:val="32"/>
          <w:lang w:val="en-US" w:eastAsia="zh-CN"/>
        </w:rPr>
        <w:t>30天</w:t>
      </w:r>
      <w:r>
        <w:rPr>
          <w:rFonts w:hint="eastAsia" w:ascii="仿宋_GB2312" w:hAnsi="仿宋_GB2312" w:eastAsia="仿宋_GB2312" w:cs="仿宋_GB2312"/>
          <w:sz w:val="28"/>
          <w:szCs w:val="32"/>
        </w:rPr>
        <w:t>内送货完成</w:t>
      </w:r>
      <w:r>
        <w:rPr>
          <w:rFonts w:hint="eastAsia" w:ascii="仿宋_GB2312" w:hAnsi="仿宋_GB2312" w:eastAsia="仿宋_GB2312" w:cs="仿宋_GB2312"/>
          <w:sz w:val="28"/>
          <w:szCs w:val="32"/>
          <w:lang w:eastAsia="zh-CN"/>
        </w:rPr>
        <w:t>。</w:t>
      </w:r>
    </w:p>
    <w:p w14:paraId="4B65DD13">
      <w:pPr>
        <w:ind w:left="0" w:leftChars="0" w:firstLine="0" w:firstLineChars="0"/>
        <w:jc w:val="left"/>
        <w:rPr>
          <w:rFonts w:hint="eastAsia" w:ascii="仿宋_GB2312" w:hAnsi="仿宋_GB2312" w:eastAsia="仿宋_GB2312" w:cs="仿宋_GB2312"/>
          <w:sz w:val="28"/>
          <w:szCs w:val="32"/>
          <w:lang w:eastAsia="zh-CN"/>
        </w:rPr>
      </w:pPr>
    </w:p>
    <w:p w14:paraId="16EC5EA6">
      <w:pPr>
        <w:ind w:left="0" w:leftChars="0" w:firstLine="0" w:firstLineChars="0"/>
        <w:jc w:val="left"/>
        <w:rPr>
          <w:rFonts w:hint="eastAsia" w:ascii="仿宋_GB2312" w:hAnsi="仿宋_GB2312" w:eastAsia="仿宋_GB2312" w:cs="仿宋_GB2312"/>
          <w:b/>
          <w:bCs/>
          <w:sz w:val="28"/>
          <w:szCs w:val="32"/>
        </w:rPr>
      </w:pPr>
      <w:r>
        <w:rPr>
          <w:rFonts w:hint="eastAsia" w:ascii="仿宋_GB2312" w:hAnsi="仿宋_GB2312" w:eastAsia="仿宋_GB2312" w:cs="仿宋_GB2312"/>
          <w:b/>
          <w:bCs/>
          <w:sz w:val="28"/>
          <w:szCs w:val="32"/>
          <w:lang w:val="en-US" w:eastAsia="zh-CN"/>
        </w:rPr>
        <w:t>五</w:t>
      </w:r>
      <w:r>
        <w:rPr>
          <w:rFonts w:hint="eastAsia" w:ascii="仿宋_GB2312" w:hAnsi="仿宋_GB2312" w:eastAsia="仿宋_GB2312" w:cs="仿宋_GB2312"/>
          <w:b/>
          <w:bCs/>
          <w:sz w:val="28"/>
          <w:szCs w:val="32"/>
        </w:rPr>
        <w:t>、付款期限及方式</w:t>
      </w:r>
    </w:p>
    <w:p w14:paraId="392EC3D0">
      <w:pPr>
        <w:ind w:left="0" w:leftChars="0" w:firstLine="280" w:firstLineChars="100"/>
        <w:jc w:val="left"/>
        <w:rPr>
          <w:rFonts w:hint="eastAsia" w:ascii="仿宋_GB2312" w:hAnsi="仿宋_GB2312" w:eastAsia="仿宋_GB2312" w:cs="仿宋_GB2312"/>
          <w:sz w:val="28"/>
          <w:szCs w:val="32"/>
        </w:rPr>
      </w:pPr>
      <w:r>
        <w:rPr>
          <w:rFonts w:hint="eastAsia" w:ascii="仿宋_GB2312" w:hAnsi="仿宋_GB2312" w:eastAsia="仿宋_GB2312" w:cs="仿宋_GB2312"/>
          <w:sz w:val="28"/>
          <w:szCs w:val="32"/>
          <w:lang w:val="en-US" w:eastAsia="zh-CN"/>
        </w:rPr>
        <w:t>1</w:t>
      </w:r>
      <w:r>
        <w:rPr>
          <w:rFonts w:hint="eastAsia" w:ascii="仿宋_GB2312" w:hAnsi="仿宋_GB2312" w:eastAsia="仿宋_GB2312" w:cs="仿宋_GB2312"/>
          <w:sz w:val="28"/>
          <w:szCs w:val="32"/>
        </w:rPr>
        <w:t>.</w:t>
      </w:r>
      <w:r>
        <w:rPr>
          <w:rFonts w:hint="eastAsia" w:ascii="仿宋_GB2312" w:hAnsi="仿宋_GB2312" w:eastAsia="仿宋_GB2312" w:cs="仿宋_GB2312"/>
          <w:sz w:val="28"/>
          <w:szCs w:val="32"/>
          <w:lang w:val="en-US" w:eastAsia="zh-CN"/>
        </w:rPr>
        <w:t>甲方按实际验收合格数量</w:t>
      </w:r>
      <w:r>
        <w:rPr>
          <w:rFonts w:hint="eastAsia" w:ascii="仿宋_GB2312" w:hAnsi="仿宋_GB2312" w:eastAsia="仿宋_GB2312" w:cs="仿宋_GB2312"/>
          <w:sz w:val="28"/>
          <w:szCs w:val="32"/>
        </w:rPr>
        <w:t>且乙方所提供有效发票之日起</w:t>
      </w:r>
      <w:r>
        <w:rPr>
          <w:rFonts w:hint="eastAsia" w:ascii="仿宋_GB2312" w:hAnsi="仿宋_GB2312" w:eastAsia="仿宋_GB2312" w:cs="仿宋_GB2312"/>
          <w:sz w:val="28"/>
          <w:szCs w:val="32"/>
          <w:lang w:val="en-US" w:eastAsia="zh-CN"/>
        </w:rPr>
        <w:t xml:space="preserve"> 30 日</w:t>
      </w:r>
      <w:r>
        <w:rPr>
          <w:rFonts w:hint="eastAsia" w:ascii="仿宋_GB2312" w:hAnsi="仿宋_GB2312" w:eastAsia="仿宋_GB2312" w:cs="仿宋_GB2312"/>
          <w:sz w:val="28"/>
          <w:szCs w:val="32"/>
        </w:rPr>
        <w:t>内付款</w:t>
      </w:r>
      <w:r>
        <w:rPr>
          <w:rFonts w:hint="eastAsia" w:ascii="仿宋_GB2312" w:hAnsi="仿宋_GB2312" w:eastAsia="仿宋_GB2312" w:cs="仿宋_GB2312"/>
          <w:sz w:val="28"/>
          <w:szCs w:val="32"/>
          <w:lang w:val="en-US" w:eastAsia="zh-CN"/>
        </w:rPr>
        <w:t>。</w:t>
      </w:r>
    </w:p>
    <w:p w14:paraId="4108E26A">
      <w:pPr>
        <w:ind w:left="0" w:leftChars="0" w:firstLine="560" w:firstLineChars="200"/>
        <w:jc w:val="left"/>
        <w:rPr>
          <w:rFonts w:hint="eastAsia" w:ascii="仿宋_GB2312" w:hAnsi="仿宋_GB2312" w:eastAsia="仿宋_GB2312" w:cs="仿宋_GB2312"/>
          <w:sz w:val="28"/>
          <w:szCs w:val="32"/>
        </w:rPr>
      </w:pPr>
      <w:r>
        <w:rPr>
          <w:rFonts w:hint="eastAsia" w:ascii="仿宋_GB2312" w:hAnsi="仿宋_GB2312" w:eastAsia="仿宋_GB2312" w:cs="仿宋_GB2312"/>
          <w:sz w:val="28"/>
          <w:szCs w:val="32"/>
          <w:lang w:val="en-US" w:eastAsia="zh-CN"/>
        </w:rPr>
        <w:t>2</w:t>
      </w:r>
      <w:r>
        <w:rPr>
          <w:rFonts w:hint="eastAsia" w:ascii="仿宋_GB2312" w:hAnsi="仿宋_GB2312" w:eastAsia="仿宋_GB2312" w:cs="仿宋_GB2312"/>
          <w:sz w:val="28"/>
          <w:szCs w:val="32"/>
        </w:rPr>
        <w:t>.乙方所提供的发票、收款账户及收款人等信息必须合法、无错误，否则乙方因此而未能收到货款所产生的后果由乙方负责。</w:t>
      </w:r>
    </w:p>
    <w:p w14:paraId="4CA1DE61">
      <w:pPr>
        <w:ind w:left="0" w:leftChars="0" w:firstLine="560" w:firstLineChars="200"/>
        <w:jc w:val="left"/>
        <w:rPr>
          <w:rFonts w:hint="eastAsia" w:ascii="仿宋_GB2312" w:hAnsi="仿宋_GB2312" w:eastAsia="仿宋_GB2312" w:cs="仿宋_GB2312"/>
          <w:sz w:val="28"/>
          <w:szCs w:val="32"/>
        </w:rPr>
      </w:pPr>
    </w:p>
    <w:p w14:paraId="52811D70">
      <w:pPr>
        <w:ind w:left="0" w:leftChars="0" w:firstLine="0" w:firstLineChars="0"/>
        <w:jc w:val="left"/>
        <w:rPr>
          <w:rFonts w:hint="eastAsia" w:ascii="仿宋_GB2312" w:hAnsi="仿宋_GB2312" w:eastAsia="仿宋_GB2312" w:cs="仿宋_GB2312"/>
          <w:b/>
          <w:bCs/>
          <w:sz w:val="28"/>
          <w:szCs w:val="32"/>
        </w:rPr>
      </w:pPr>
      <w:r>
        <w:rPr>
          <w:rFonts w:hint="eastAsia" w:ascii="仿宋_GB2312" w:hAnsi="仿宋_GB2312" w:eastAsia="仿宋_GB2312" w:cs="仿宋_GB2312"/>
          <w:b/>
          <w:bCs/>
          <w:sz w:val="28"/>
          <w:szCs w:val="32"/>
          <w:lang w:val="en-US" w:eastAsia="zh-CN"/>
        </w:rPr>
        <w:t>六</w:t>
      </w:r>
      <w:r>
        <w:rPr>
          <w:rFonts w:hint="eastAsia" w:ascii="仿宋_GB2312" w:hAnsi="仿宋_GB2312" w:eastAsia="仿宋_GB2312" w:cs="仿宋_GB2312"/>
          <w:b/>
          <w:bCs/>
          <w:sz w:val="28"/>
          <w:szCs w:val="32"/>
        </w:rPr>
        <w:t>、质量保证及售后服务</w:t>
      </w:r>
    </w:p>
    <w:p w14:paraId="3B448EC3">
      <w:pPr>
        <w:ind w:left="0" w:leftChars="0" w:firstLine="560" w:firstLineChars="200"/>
        <w:jc w:val="left"/>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1.乙方保证合同产品全新、未曾使用过、符合国家有关法律规定的产品，其质量、规格及技术特征符合合同附件的要求。</w:t>
      </w:r>
    </w:p>
    <w:p w14:paraId="4BA06C08">
      <w:pPr>
        <w:ind w:left="0" w:leftChars="0" w:firstLine="560" w:firstLineChars="200"/>
        <w:jc w:val="left"/>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2.合同项目保质保用期为本项目有关部门验收签字之日起</w:t>
      </w:r>
      <w:r>
        <w:rPr>
          <w:rFonts w:hint="eastAsia" w:ascii="仿宋_GB2312" w:hAnsi="仿宋_GB2312" w:eastAsia="仿宋_GB2312" w:cs="仿宋_GB2312"/>
          <w:sz w:val="28"/>
          <w:szCs w:val="32"/>
          <w:lang w:val="en-US" w:eastAsia="zh-CN"/>
        </w:rPr>
        <w:t>算</w:t>
      </w:r>
      <w:r>
        <w:rPr>
          <w:rFonts w:hint="eastAsia" w:ascii="仿宋_GB2312" w:hAnsi="仿宋_GB2312" w:eastAsia="仿宋_GB2312" w:cs="仿宋_GB2312"/>
          <w:sz w:val="28"/>
          <w:szCs w:val="32"/>
        </w:rPr>
        <w:t xml:space="preserve"> </w:t>
      </w:r>
      <w:r>
        <w:rPr>
          <w:rFonts w:hint="eastAsia" w:ascii="仿宋_GB2312" w:hAnsi="仿宋_GB2312" w:eastAsia="仿宋_GB2312" w:cs="仿宋_GB2312"/>
          <w:sz w:val="28"/>
          <w:szCs w:val="32"/>
          <w:lang w:val="en-US" w:eastAsia="zh-CN"/>
        </w:rPr>
        <w:t xml:space="preserve">5年 </w:t>
      </w:r>
      <w:r>
        <w:rPr>
          <w:rFonts w:hint="eastAsia" w:ascii="仿宋_GB2312" w:hAnsi="仿宋_GB2312" w:eastAsia="仿宋_GB2312" w:cs="仿宋_GB2312"/>
          <w:sz w:val="28"/>
          <w:szCs w:val="32"/>
        </w:rPr>
        <w:t>。保质保用期内非因甲方的人为原因而出现产品质量及安装问题，由乙方负责包修、包换或包退，并承担因此而产生的一切费用；乙方应在收到甲方通知后24小时内响应产品质量维护工作，在甲乙双方在场的情况下进行登记取证（技术要求另有规定除外）。</w:t>
      </w:r>
    </w:p>
    <w:p w14:paraId="73B1265F">
      <w:pPr>
        <w:ind w:left="0" w:leftChars="0" w:firstLine="560" w:firstLineChars="200"/>
        <w:jc w:val="left"/>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3.乙方无偿培训甲方产品使用人员，主要内容为产品的基本结构、性能、使用方法及日常保养，常见故障的排除、紧急情况的处理等注意事项，培训地点主要在使用者现场或按甲方安排。</w:t>
      </w:r>
    </w:p>
    <w:p w14:paraId="18E765FF">
      <w:pPr>
        <w:ind w:left="0" w:leftChars="0" w:firstLine="560" w:firstLineChars="200"/>
        <w:jc w:val="left"/>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4.未经甲方书面同意，乙方不得转让其应履行的合同义务。</w:t>
      </w:r>
    </w:p>
    <w:p w14:paraId="7A859918">
      <w:pPr>
        <w:ind w:left="0" w:leftChars="0" w:firstLine="560" w:firstLineChars="200"/>
        <w:jc w:val="left"/>
        <w:rPr>
          <w:rFonts w:hint="eastAsia" w:ascii="仿宋_GB2312" w:hAnsi="仿宋_GB2312" w:eastAsia="仿宋_GB2312" w:cs="仿宋_GB2312"/>
          <w:sz w:val="28"/>
          <w:szCs w:val="32"/>
        </w:rPr>
      </w:pPr>
    </w:p>
    <w:p w14:paraId="3597EAEA">
      <w:pPr>
        <w:ind w:left="0" w:leftChars="0" w:firstLine="0" w:firstLineChars="0"/>
        <w:jc w:val="left"/>
        <w:rPr>
          <w:rFonts w:hint="eastAsia" w:ascii="仿宋_GB2312" w:hAnsi="仿宋_GB2312" w:eastAsia="仿宋_GB2312" w:cs="仿宋_GB2312"/>
          <w:b/>
          <w:bCs/>
          <w:sz w:val="28"/>
          <w:szCs w:val="32"/>
        </w:rPr>
      </w:pPr>
      <w:r>
        <w:rPr>
          <w:rFonts w:hint="eastAsia" w:ascii="仿宋_GB2312" w:hAnsi="仿宋_GB2312" w:eastAsia="仿宋_GB2312" w:cs="仿宋_GB2312"/>
          <w:b/>
          <w:bCs/>
          <w:sz w:val="28"/>
          <w:szCs w:val="32"/>
          <w:lang w:val="en-US" w:eastAsia="zh-CN"/>
        </w:rPr>
        <w:t>七</w:t>
      </w:r>
      <w:r>
        <w:rPr>
          <w:rFonts w:hint="eastAsia" w:ascii="仿宋_GB2312" w:hAnsi="仿宋_GB2312" w:eastAsia="仿宋_GB2312" w:cs="仿宋_GB2312"/>
          <w:b/>
          <w:bCs/>
          <w:sz w:val="28"/>
          <w:szCs w:val="32"/>
        </w:rPr>
        <w:t>、双方的履约义务</w:t>
      </w:r>
    </w:p>
    <w:p w14:paraId="0B6F0D48">
      <w:pPr>
        <w:ind w:left="0" w:leftChars="0" w:firstLine="560" w:firstLineChars="200"/>
        <w:jc w:val="left"/>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1. 甲方在采购合同项下产品时，如需改变采购计划应提前3个工作日向乙方发出口头或书面通知。紧急采购和特殊采购的货物除外。</w:t>
      </w:r>
    </w:p>
    <w:p w14:paraId="232FB366">
      <w:pPr>
        <w:ind w:left="0" w:leftChars="0" w:firstLine="560" w:firstLineChars="200"/>
        <w:jc w:val="left"/>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2．甲方须在合同规定的时间内，按实际入库的货物数量，在货物验收入库后于合同规定期限内结清货款。</w:t>
      </w:r>
    </w:p>
    <w:p w14:paraId="1DDA3213">
      <w:pPr>
        <w:ind w:left="0" w:leftChars="0" w:firstLine="560" w:firstLineChars="200"/>
        <w:jc w:val="left"/>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3.乙方严格按照甲方要求的品牌、种类、质量（参照投标样品质量）、数量直接送到使用科室，由总务科监管人员和/或科室使用人员进行查验，甲方在接收货物时，若发现所送货物不符合合同约定或质量要求的，甲方有权拒绝接受。</w:t>
      </w:r>
    </w:p>
    <w:p w14:paraId="629FF0B2">
      <w:pPr>
        <w:ind w:left="0" w:leftChars="0" w:firstLine="560" w:firstLineChars="200"/>
        <w:jc w:val="left"/>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4.乙方应按照合同约定的期限，及时配送货物并提供伴随服务（急需使用时即时配送）。但在履行合同的过程中，如果乙方遇到妨碍按时配送货物和提供伴随服务的情况时，应及时以书面形式将拖延的事实、可能拖延的时间和原因通知甲方。无故拖延送货或收到甲方发出的“即时警告”超过两次者，甲方有理由无条件取消合同，由此而产生的法律问题及经济损失由乙方承担。</w:t>
      </w:r>
    </w:p>
    <w:p w14:paraId="2FFBBF4B">
      <w:pPr>
        <w:ind w:left="0" w:leftChars="0" w:firstLine="560" w:firstLineChars="200"/>
        <w:jc w:val="left"/>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5.乙方就保证甲方在使用供货产品时，不存在该产品专利权、商标权或保护期的争议，如产生争议其责任由乙方承担。</w:t>
      </w:r>
    </w:p>
    <w:p w14:paraId="6651AEE4">
      <w:pPr>
        <w:ind w:left="0" w:leftChars="0" w:firstLine="560" w:firstLineChars="200"/>
        <w:jc w:val="left"/>
        <w:rPr>
          <w:rFonts w:hint="eastAsia" w:ascii="仿宋_GB2312" w:hAnsi="仿宋_GB2312" w:eastAsia="仿宋_GB2312" w:cs="仿宋_GB2312"/>
          <w:sz w:val="28"/>
          <w:szCs w:val="32"/>
        </w:rPr>
      </w:pPr>
    </w:p>
    <w:p w14:paraId="1D7B24FD">
      <w:pPr>
        <w:ind w:left="0" w:leftChars="0" w:firstLine="0" w:firstLineChars="0"/>
        <w:jc w:val="left"/>
        <w:rPr>
          <w:rFonts w:hint="eastAsia" w:ascii="仿宋_GB2312" w:hAnsi="仿宋_GB2312" w:eastAsia="仿宋_GB2312" w:cs="仿宋_GB2312"/>
          <w:b/>
          <w:bCs/>
          <w:sz w:val="28"/>
          <w:szCs w:val="32"/>
        </w:rPr>
      </w:pPr>
      <w:r>
        <w:rPr>
          <w:rFonts w:hint="eastAsia" w:ascii="仿宋_GB2312" w:hAnsi="仿宋_GB2312" w:eastAsia="仿宋_GB2312" w:cs="仿宋_GB2312"/>
          <w:b/>
          <w:bCs/>
          <w:sz w:val="28"/>
          <w:szCs w:val="32"/>
          <w:lang w:val="en-US" w:eastAsia="zh-CN"/>
        </w:rPr>
        <w:t>八</w:t>
      </w:r>
      <w:r>
        <w:rPr>
          <w:rFonts w:hint="eastAsia" w:ascii="仿宋_GB2312" w:hAnsi="仿宋_GB2312" w:eastAsia="仿宋_GB2312" w:cs="仿宋_GB2312"/>
          <w:b/>
          <w:bCs/>
          <w:sz w:val="28"/>
          <w:szCs w:val="32"/>
        </w:rPr>
        <w:t>、违约责任</w:t>
      </w:r>
    </w:p>
    <w:p w14:paraId="0DED866C">
      <w:pPr>
        <w:ind w:left="0" w:leftChars="0" w:firstLine="560" w:firstLineChars="200"/>
        <w:jc w:val="left"/>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1.乙方提供的货物质量不符合合同约定或质量要求给甲方造成损失的，乙方应当赔偿损失。</w:t>
      </w:r>
    </w:p>
    <w:p w14:paraId="15D2003A">
      <w:pPr>
        <w:ind w:left="0" w:leftChars="0" w:firstLine="560" w:firstLineChars="200"/>
        <w:jc w:val="left"/>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2.如果乙方没能按合同约定的时间、地点配送货物或提供伴随服务，甲方可视情况要求乙方支付违约金，无故推迟交货者，每拖延一天须向甲方支付合同金额的5‰的违约金，直至交付指定货物为止；货物不符合合同规定的，违约金为合同金额的5%；违约未能提供货物的，违约金为合同金额的7.5%。违约金的最高限额是合同总价的7.5%，应付违约金累计达到或超过最高限额，甲方可以书面形式通知乙方终止合同，同时上报政府监管部门。</w:t>
      </w:r>
    </w:p>
    <w:p w14:paraId="4981BA9E">
      <w:pPr>
        <w:ind w:left="0" w:leftChars="0" w:firstLine="560" w:firstLineChars="200"/>
        <w:jc w:val="left"/>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乙方在支付违约金后，还应当履行应尽的义务。违约金不足以弥补甲方损失的，乙方应另行赔偿损失。</w:t>
      </w:r>
    </w:p>
    <w:p w14:paraId="31E42DFE">
      <w:pPr>
        <w:ind w:left="0" w:leftChars="0" w:firstLine="560" w:firstLineChars="200"/>
        <w:jc w:val="left"/>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乙方不能按照合同约定提供货物或乙方无正当理由不供货，给甲方造成损失的，乙方应承担全部责任，对甲方造成损失作出赔偿。</w:t>
      </w:r>
    </w:p>
    <w:p w14:paraId="548B8D9A">
      <w:pPr>
        <w:numPr>
          <w:ilvl w:val="0"/>
          <w:numId w:val="4"/>
        </w:numPr>
        <w:ind w:left="0" w:leftChars="0" w:firstLine="560" w:firstLineChars="200"/>
        <w:jc w:val="left"/>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如果甲方发出赔偿通知后30天内，乙方未作答复，上述赔偿应视为被乙方接受。甲方将向乙方追讨赔偿。</w:t>
      </w:r>
    </w:p>
    <w:p w14:paraId="367A1768">
      <w:pPr>
        <w:numPr>
          <w:ilvl w:val="0"/>
          <w:numId w:val="0"/>
        </w:numPr>
        <w:jc w:val="left"/>
        <w:rPr>
          <w:rFonts w:hint="eastAsia" w:ascii="仿宋_GB2312" w:hAnsi="仿宋_GB2312" w:eastAsia="仿宋_GB2312" w:cs="仿宋_GB2312"/>
          <w:b/>
          <w:bCs/>
          <w:sz w:val="28"/>
          <w:szCs w:val="32"/>
          <w:lang w:val="en-US" w:eastAsia="zh-CN"/>
        </w:rPr>
      </w:pPr>
    </w:p>
    <w:p w14:paraId="5BF5FD69">
      <w:pPr>
        <w:numPr>
          <w:ilvl w:val="0"/>
          <w:numId w:val="0"/>
        </w:numPr>
        <w:jc w:val="left"/>
        <w:rPr>
          <w:rFonts w:hint="eastAsia" w:ascii="仿宋_GB2312" w:hAnsi="仿宋_GB2312" w:eastAsia="仿宋_GB2312" w:cs="仿宋_GB2312"/>
          <w:b/>
          <w:bCs/>
          <w:sz w:val="28"/>
          <w:szCs w:val="32"/>
        </w:rPr>
      </w:pPr>
      <w:r>
        <w:rPr>
          <w:rFonts w:hint="eastAsia" w:ascii="仿宋_GB2312" w:hAnsi="仿宋_GB2312" w:eastAsia="仿宋_GB2312" w:cs="仿宋_GB2312"/>
          <w:b/>
          <w:bCs/>
          <w:sz w:val="28"/>
          <w:szCs w:val="32"/>
          <w:lang w:val="en-US" w:eastAsia="zh-CN"/>
        </w:rPr>
        <w:t>九</w:t>
      </w:r>
      <w:r>
        <w:rPr>
          <w:rFonts w:hint="eastAsia" w:ascii="仿宋_GB2312" w:hAnsi="仿宋_GB2312" w:eastAsia="仿宋_GB2312" w:cs="仿宋_GB2312"/>
          <w:b/>
          <w:bCs/>
          <w:sz w:val="28"/>
          <w:szCs w:val="32"/>
        </w:rPr>
        <w:t>、不可抗力</w:t>
      </w:r>
    </w:p>
    <w:p w14:paraId="184AE89E">
      <w:pPr>
        <w:ind w:left="0" w:leftChars="0" w:firstLine="560" w:firstLineChars="200"/>
        <w:jc w:val="left"/>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1．本条所述不可抗力是指合同当事人不能预见、不能避免和不能克服的客观情况，包括但不限于战争、严重自然灾害等造成的事件。因不可抗力导致合同延误履行或无法履行时，合同当事人不被视为违约。</w:t>
      </w:r>
    </w:p>
    <w:p w14:paraId="240A956C">
      <w:pPr>
        <w:ind w:left="0" w:leftChars="0" w:firstLine="560" w:firstLineChars="200"/>
        <w:jc w:val="left"/>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2．甲、乙双方因不可抗力导致合同延迟履行或不能履行的，应当及时通知对方，以减轻可能造成的损失，并应当在合理期限内提供证明。乙方应尽实际可能继续履行不受不可抗力影响的其他事项，待不可抗力消除后，双方可通过协商在合同的期限内达成进一步履行合同的协议。</w:t>
      </w:r>
    </w:p>
    <w:p w14:paraId="262963E0">
      <w:pPr>
        <w:ind w:left="0" w:leftChars="0" w:firstLine="560" w:firstLineChars="200"/>
        <w:jc w:val="left"/>
        <w:rPr>
          <w:rFonts w:hint="eastAsia" w:ascii="仿宋_GB2312" w:hAnsi="仿宋_GB2312" w:eastAsia="仿宋_GB2312" w:cs="仿宋_GB2312"/>
          <w:sz w:val="28"/>
          <w:szCs w:val="32"/>
        </w:rPr>
      </w:pPr>
    </w:p>
    <w:p w14:paraId="4B0EED06">
      <w:pPr>
        <w:ind w:left="0" w:leftChars="0" w:firstLine="0" w:firstLineChars="0"/>
        <w:jc w:val="left"/>
        <w:rPr>
          <w:rFonts w:hint="eastAsia" w:ascii="仿宋_GB2312" w:hAnsi="仿宋_GB2312" w:eastAsia="仿宋_GB2312" w:cs="仿宋_GB2312"/>
          <w:b/>
          <w:bCs/>
          <w:sz w:val="28"/>
          <w:szCs w:val="32"/>
        </w:rPr>
      </w:pPr>
      <w:r>
        <w:rPr>
          <w:rFonts w:hint="eastAsia" w:ascii="仿宋_GB2312" w:hAnsi="仿宋_GB2312" w:eastAsia="仿宋_GB2312" w:cs="仿宋_GB2312"/>
          <w:b/>
          <w:bCs/>
          <w:sz w:val="28"/>
          <w:szCs w:val="32"/>
        </w:rPr>
        <w:t>十、合同终止</w:t>
      </w:r>
    </w:p>
    <w:p w14:paraId="33DD823C">
      <w:pPr>
        <w:ind w:left="0" w:leftChars="0" w:firstLine="560" w:firstLineChars="200"/>
        <w:jc w:val="left"/>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如果一方违反合同，并在收到对方违约通知书后30天内未能改正违约行为的，另一方可终止本合同。</w:t>
      </w:r>
    </w:p>
    <w:p w14:paraId="307A02D6">
      <w:pPr>
        <w:ind w:left="0" w:leftChars="0" w:firstLine="0" w:firstLineChars="0"/>
        <w:jc w:val="left"/>
        <w:rPr>
          <w:rFonts w:hint="eastAsia" w:ascii="仿宋_GB2312" w:hAnsi="仿宋_GB2312" w:eastAsia="仿宋_GB2312" w:cs="仿宋_GB2312"/>
          <w:sz w:val="28"/>
          <w:szCs w:val="32"/>
        </w:rPr>
      </w:pPr>
    </w:p>
    <w:p w14:paraId="3B436590">
      <w:pPr>
        <w:ind w:left="0" w:leftChars="0" w:firstLine="0" w:firstLineChars="0"/>
        <w:jc w:val="left"/>
        <w:rPr>
          <w:rFonts w:hint="eastAsia" w:ascii="仿宋_GB2312" w:hAnsi="仿宋_GB2312" w:eastAsia="仿宋_GB2312" w:cs="仿宋_GB2312"/>
          <w:b/>
          <w:bCs/>
          <w:sz w:val="28"/>
          <w:szCs w:val="32"/>
        </w:rPr>
      </w:pPr>
      <w:r>
        <w:rPr>
          <w:rFonts w:hint="eastAsia" w:ascii="仿宋_GB2312" w:hAnsi="仿宋_GB2312" w:eastAsia="仿宋_GB2312" w:cs="仿宋_GB2312"/>
          <w:b/>
          <w:bCs/>
          <w:sz w:val="28"/>
          <w:szCs w:val="32"/>
        </w:rPr>
        <w:t>十</w:t>
      </w:r>
      <w:r>
        <w:rPr>
          <w:rFonts w:hint="eastAsia" w:ascii="仿宋_GB2312" w:hAnsi="仿宋_GB2312" w:eastAsia="仿宋_GB2312" w:cs="仿宋_GB2312"/>
          <w:b/>
          <w:bCs/>
          <w:sz w:val="28"/>
          <w:szCs w:val="32"/>
          <w:lang w:val="en-US" w:eastAsia="zh-CN"/>
        </w:rPr>
        <w:t>一</w:t>
      </w:r>
      <w:r>
        <w:rPr>
          <w:rFonts w:hint="eastAsia" w:ascii="仿宋_GB2312" w:hAnsi="仿宋_GB2312" w:eastAsia="仿宋_GB2312" w:cs="仿宋_GB2312"/>
          <w:b/>
          <w:bCs/>
          <w:sz w:val="28"/>
          <w:szCs w:val="32"/>
        </w:rPr>
        <w:t>、法律诉讼</w:t>
      </w:r>
    </w:p>
    <w:p w14:paraId="51AE9B48">
      <w:pPr>
        <w:ind w:left="0" w:leftChars="0" w:firstLine="560" w:firstLineChars="200"/>
        <w:jc w:val="left"/>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签约双方在履约中发生争执和分歧，双方应通过友好协商解决，若协商不能达成协议，则向</w:t>
      </w:r>
      <w:r>
        <w:rPr>
          <w:rFonts w:hint="eastAsia" w:ascii="仿宋_GB2312" w:hAnsi="仿宋_GB2312" w:eastAsia="仿宋_GB2312" w:cs="仿宋_GB2312"/>
          <w:sz w:val="28"/>
          <w:szCs w:val="32"/>
          <w:lang w:val="en-US" w:eastAsia="zh-CN"/>
        </w:rPr>
        <w:t>甲方</w:t>
      </w:r>
      <w:r>
        <w:rPr>
          <w:rFonts w:hint="eastAsia" w:ascii="仿宋_GB2312" w:hAnsi="仿宋_GB2312" w:eastAsia="仿宋_GB2312" w:cs="仿宋_GB2312"/>
          <w:sz w:val="28"/>
          <w:szCs w:val="32"/>
        </w:rPr>
        <w:t>所在地人民法院提起诉讼。受理期间，双方应继续执行合同其余条款。</w:t>
      </w:r>
    </w:p>
    <w:p w14:paraId="58D623F9">
      <w:pPr>
        <w:ind w:left="0" w:leftChars="0" w:firstLine="0" w:firstLineChars="0"/>
        <w:jc w:val="left"/>
        <w:rPr>
          <w:rFonts w:hint="eastAsia" w:ascii="仿宋_GB2312" w:hAnsi="仿宋_GB2312" w:eastAsia="仿宋_GB2312" w:cs="仿宋_GB2312"/>
          <w:sz w:val="28"/>
          <w:szCs w:val="32"/>
        </w:rPr>
      </w:pPr>
    </w:p>
    <w:p w14:paraId="720F9A7A">
      <w:pPr>
        <w:ind w:left="0" w:leftChars="0" w:firstLine="0" w:firstLineChars="0"/>
        <w:jc w:val="left"/>
        <w:rPr>
          <w:rFonts w:hint="eastAsia" w:ascii="仿宋_GB2312" w:hAnsi="仿宋_GB2312" w:eastAsia="仿宋_GB2312" w:cs="仿宋_GB2312"/>
          <w:b/>
          <w:bCs/>
          <w:sz w:val="28"/>
          <w:szCs w:val="32"/>
        </w:rPr>
      </w:pPr>
      <w:r>
        <w:rPr>
          <w:rFonts w:hint="eastAsia" w:ascii="仿宋_GB2312" w:hAnsi="仿宋_GB2312" w:eastAsia="仿宋_GB2312" w:cs="仿宋_GB2312"/>
          <w:b/>
          <w:bCs/>
          <w:sz w:val="28"/>
          <w:szCs w:val="32"/>
        </w:rPr>
        <w:t>十</w:t>
      </w:r>
      <w:r>
        <w:rPr>
          <w:rFonts w:hint="eastAsia" w:ascii="仿宋_GB2312" w:hAnsi="仿宋_GB2312" w:eastAsia="仿宋_GB2312" w:cs="仿宋_GB2312"/>
          <w:b/>
          <w:bCs/>
          <w:sz w:val="28"/>
          <w:szCs w:val="32"/>
          <w:lang w:val="en-US" w:eastAsia="zh-CN"/>
        </w:rPr>
        <w:t>二</w:t>
      </w:r>
      <w:r>
        <w:rPr>
          <w:rFonts w:hint="eastAsia" w:ascii="仿宋_GB2312" w:hAnsi="仿宋_GB2312" w:eastAsia="仿宋_GB2312" w:cs="仿宋_GB2312"/>
          <w:b/>
          <w:bCs/>
          <w:sz w:val="28"/>
          <w:szCs w:val="32"/>
        </w:rPr>
        <w:t>、其他约定</w:t>
      </w:r>
    </w:p>
    <w:p w14:paraId="2A13DBCA">
      <w:pPr>
        <w:ind w:left="0" w:leftChars="0" w:firstLine="560" w:firstLineChars="200"/>
        <w:jc w:val="left"/>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乙方必须保证所提供证件、技术资料等的有效性和合法性，相关证件若有期限限制的，乙方必须在其失效之前及时提供给甲方，否则，甲方有权立即停止乙方的供货资格。</w:t>
      </w:r>
    </w:p>
    <w:p w14:paraId="6D9AD489">
      <w:pPr>
        <w:ind w:left="0" w:leftChars="0" w:firstLine="560" w:firstLineChars="200"/>
        <w:jc w:val="left"/>
        <w:rPr>
          <w:rFonts w:hint="eastAsia" w:ascii="仿宋_GB2312" w:hAnsi="仿宋_GB2312" w:eastAsia="仿宋_GB2312" w:cs="仿宋_GB2312"/>
          <w:sz w:val="28"/>
          <w:szCs w:val="32"/>
        </w:rPr>
      </w:pPr>
    </w:p>
    <w:p w14:paraId="44B48F0A">
      <w:pPr>
        <w:ind w:left="0" w:leftChars="0" w:firstLine="0" w:firstLineChars="0"/>
        <w:jc w:val="left"/>
        <w:rPr>
          <w:rFonts w:hint="eastAsia" w:ascii="仿宋_GB2312" w:hAnsi="仿宋_GB2312" w:eastAsia="仿宋_GB2312" w:cs="仿宋_GB2312"/>
          <w:b/>
          <w:bCs/>
          <w:sz w:val="28"/>
          <w:szCs w:val="32"/>
        </w:rPr>
      </w:pPr>
      <w:r>
        <w:rPr>
          <w:rFonts w:hint="eastAsia" w:ascii="仿宋_GB2312" w:hAnsi="仿宋_GB2312" w:eastAsia="仿宋_GB2312" w:cs="仿宋_GB2312"/>
          <w:b/>
          <w:bCs/>
          <w:sz w:val="28"/>
          <w:szCs w:val="32"/>
        </w:rPr>
        <w:t>十</w:t>
      </w:r>
      <w:r>
        <w:rPr>
          <w:rFonts w:hint="eastAsia" w:ascii="仿宋_GB2312" w:hAnsi="仿宋_GB2312" w:eastAsia="仿宋_GB2312" w:cs="仿宋_GB2312"/>
          <w:b/>
          <w:bCs/>
          <w:sz w:val="28"/>
          <w:szCs w:val="32"/>
          <w:lang w:val="en-US" w:eastAsia="zh-CN"/>
        </w:rPr>
        <w:t>三</w:t>
      </w:r>
      <w:r>
        <w:rPr>
          <w:rFonts w:hint="eastAsia" w:ascii="仿宋_GB2312" w:hAnsi="仿宋_GB2312" w:eastAsia="仿宋_GB2312" w:cs="仿宋_GB2312"/>
          <w:b/>
          <w:bCs/>
          <w:sz w:val="28"/>
          <w:szCs w:val="32"/>
        </w:rPr>
        <w:t>、合同补充协议</w:t>
      </w:r>
    </w:p>
    <w:p w14:paraId="47288726">
      <w:pPr>
        <w:ind w:left="0" w:leftChars="0" w:firstLine="560" w:firstLineChars="200"/>
        <w:jc w:val="left"/>
        <w:rPr>
          <w:rFonts w:hint="eastAsia" w:ascii="仿宋_GB2312" w:hAnsi="仿宋_GB2312" w:eastAsia="仿宋_GB2312" w:cs="仿宋_GB2312"/>
          <w:sz w:val="28"/>
          <w:szCs w:val="32"/>
        </w:rPr>
      </w:pPr>
      <w:r>
        <w:rPr>
          <w:rFonts w:hint="eastAsia" w:ascii="仿宋_GB2312" w:hAnsi="仿宋_GB2312" w:eastAsia="仿宋_GB2312" w:cs="仿宋_GB2312"/>
          <w:sz w:val="28"/>
          <w:szCs w:val="32"/>
          <w:lang w:val="en-US" w:eastAsia="zh-CN"/>
        </w:rPr>
        <w:t>1.</w:t>
      </w:r>
      <w:r>
        <w:rPr>
          <w:rFonts w:hint="eastAsia" w:ascii="仿宋_GB2312" w:hAnsi="仿宋_GB2312" w:eastAsia="仿宋_GB2312" w:cs="仿宋_GB2312"/>
          <w:sz w:val="28"/>
          <w:szCs w:val="32"/>
        </w:rPr>
        <w:t>如乙方所供产品为应急物资和设备，必须保证甲方备有库存或应召送货。</w:t>
      </w:r>
    </w:p>
    <w:p w14:paraId="5738419B">
      <w:pPr>
        <w:ind w:left="0" w:leftChars="0" w:firstLine="560" w:firstLineChars="200"/>
        <w:jc w:val="left"/>
        <w:rPr>
          <w:rFonts w:hint="eastAsia" w:ascii="仿宋_GB2312" w:hAnsi="仿宋_GB2312" w:eastAsia="仿宋_GB2312" w:cs="仿宋_GB2312"/>
          <w:sz w:val="28"/>
          <w:szCs w:val="32"/>
        </w:rPr>
      </w:pPr>
      <w:r>
        <w:rPr>
          <w:rFonts w:hint="eastAsia" w:ascii="仿宋_GB2312" w:hAnsi="仿宋_GB2312" w:eastAsia="仿宋_GB2312" w:cs="仿宋_GB2312"/>
          <w:sz w:val="28"/>
          <w:szCs w:val="32"/>
          <w:lang w:val="en-US" w:eastAsia="zh-CN"/>
        </w:rPr>
        <w:t>2.</w:t>
      </w:r>
      <w:r>
        <w:rPr>
          <w:rFonts w:hint="eastAsia" w:ascii="仿宋_GB2312" w:hAnsi="仿宋_GB2312" w:eastAsia="仿宋_GB2312" w:cs="仿宋_GB2312"/>
          <w:sz w:val="28"/>
          <w:szCs w:val="32"/>
        </w:rPr>
        <w:t>本合同正本</w:t>
      </w:r>
      <w:r>
        <w:rPr>
          <w:rFonts w:hint="eastAsia" w:ascii="仿宋_GB2312" w:hAnsi="仿宋_GB2312" w:eastAsia="仿宋_GB2312" w:cs="仿宋_GB2312"/>
          <w:sz w:val="28"/>
          <w:szCs w:val="32"/>
          <w:lang w:val="en-US" w:eastAsia="zh-CN"/>
        </w:rPr>
        <w:t>肆</w:t>
      </w:r>
      <w:r>
        <w:rPr>
          <w:rFonts w:hint="eastAsia" w:ascii="仿宋_GB2312" w:hAnsi="仿宋_GB2312" w:eastAsia="仿宋_GB2312" w:cs="仿宋_GB2312"/>
          <w:sz w:val="28"/>
          <w:szCs w:val="32"/>
        </w:rPr>
        <w:t>份，具有同等法律效力，甲方</w:t>
      </w:r>
      <w:r>
        <w:rPr>
          <w:rFonts w:hint="eastAsia" w:ascii="仿宋_GB2312" w:hAnsi="仿宋_GB2312" w:eastAsia="仿宋_GB2312" w:cs="仿宋_GB2312"/>
          <w:sz w:val="28"/>
          <w:szCs w:val="32"/>
          <w:lang w:val="en-US" w:eastAsia="zh-CN"/>
        </w:rPr>
        <w:t>叁</w:t>
      </w:r>
      <w:r>
        <w:rPr>
          <w:rFonts w:hint="eastAsia" w:ascii="仿宋_GB2312" w:hAnsi="仿宋_GB2312" w:eastAsia="仿宋_GB2312" w:cs="仿宋_GB2312"/>
          <w:sz w:val="28"/>
          <w:szCs w:val="32"/>
        </w:rPr>
        <w:t>份，乙方</w:t>
      </w:r>
      <w:r>
        <w:rPr>
          <w:rFonts w:hint="eastAsia" w:ascii="仿宋_GB2312" w:hAnsi="仿宋_GB2312" w:eastAsia="仿宋_GB2312" w:cs="仿宋_GB2312"/>
          <w:sz w:val="28"/>
          <w:szCs w:val="32"/>
          <w:lang w:val="en-US" w:eastAsia="zh-CN"/>
        </w:rPr>
        <w:t>壹</w:t>
      </w:r>
      <w:r>
        <w:rPr>
          <w:rFonts w:hint="eastAsia" w:ascii="仿宋_GB2312" w:hAnsi="仿宋_GB2312" w:eastAsia="仿宋_GB2312" w:cs="仿宋_GB2312"/>
          <w:sz w:val="28"/>
          <w:szCs w:val="32"/>
        </w:rPr>
        <w:t>份，经双方法定代表人（委托代理人）签字并加盖单位合同印章生效。</w:t>
      </w:r>
    </w:p>
    <w:p w14:paraId="7C43A298">
      <w:pPr>
        <w:ind w:left="0" w:leftChars="0" w:firstLine="560" w:firstLineChars="200"/>
        <w:jc w:val="left"/>
        <w:rPr>
          <w:rFonts w:hint="eastAsia" w:ascii="仿宋_GB2312" w:hAnsi="仿宋_GB2312" w:eastAsia="仿宋_GB2312" w:cs="仿宋_GB2312"/>
          <w:sz w:val="28"/>
          <w:szCs w:val="32"/>
        </w:rPr>
      </w:pPr>
      <w:r>
        <w:rPr>
          <w:rFonts w:hint="eastAsia" w:ascii="仿宋_GB2312" w:hAnsi="仿宋_GB2312" w:eastAsia="仿宋_GB2312" w:cs="仿宋_GB2312"/>
          <w:sz w:val="28"/>
          <w:szCs w:val="32"/>
          <w:lang w:val="en-US" w:eastAsia="zh-CN"/>
        </w:rPr>
        <w:t>3.</w:t>
      </w:r>
      <w:r>
        <w:rPr>
          <w:rFonts w:hint="eastAsia" w:ascii="仿宋_GB2312" w:hAnsi="仿宋_GB2312" w:eastAsia="仿宋_GB2312" w:cs="仿宋_GB2312"/>
          <w:sz w:val="28"/>
          <w:szCs w:val="32"/>
        </w:rPr>
        <w:t>本合同未尽事宜或需修改，由双方协商作出补充协议，补充协议为本合同的附件与本合同具有同等效力。</w:t>
      </w:r>
    </w:p>
    <w:p w14:paraId="5E6A49B7">
      <w:pPr>
        <w:ind w:left="0" w:leftChars="0" w:firstLine="560" w:firstLineChars="200"/>
        <w:jc w:val="left"/>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本合同未尽事宜，按照《中华人民共和国民法典》等相关法律法规执行。</w:t>
      </w:r>
    </w:p>
    <w:p w14:paraId="435A25B4">
      <w:pPr>
        <w:ind w:left="0" w:leftChars="0" w:firstLine="0" w:firstLineChars="0"/>
        <w:jc w:val="center"/>
        <w:rPr>
          <w:rFonts w:hint="eastAsia" w:ascii="仿宋_GB2312" w:hAnsi="仿宋_GB2312" w:eastAsia="仿宋_GB2312" w:cs="仿宋_GB2312"/>
          <w:sz w:val="28"/>
          <w:szCs w:val="32"/>
        </w:rPr>
      </w:pPr>
    </w:p>
    <w:p w14:paraId="79C08B89">
      <w:pPr>
        <w:ind w:left="0" w:leftChars="0" w:firstLine="0" w:firstLineChars="0"/>
        <w:jc w:val="left"/>
        <w:rPr>
          <w:rFonts w:hint="eastAsia" w:ascii="仿宋_GB2312" w:hAnsi="仿宋_GB2312" w:eastAsia="仿宋_GB2312" w:cs="仿宋_GB2312"/>
          <w:sz w:val="28"/>
          <w:szCs w:val="32"/>
        </w:rPr>
      </w:pPr>
    </w:p>
    <w:p w14:paraId="20303A2D">
      <w:pPr>
        <w:ind w:left="0" w:leftChars="0" w:firstLine="0" w:firstLineChars="0"/>
        <w:jc w:val="left"/>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甲方：中山大学孙逸仙纪念医院    乙方：</w:t>
      </w:r>
    </w:p>
    <w:p w14:paraId="2155C9FD">
      <w:pPr>
        <w:ind w:left="0" w:leftChars="0" w:firstLine="0" w:firstLineChars="0"/>
        <w:jc w:val="left"/>
        <w:rPr>
          <w:rFonts w:hint="eastAsia" w:ascii="仿宋_GB2312" w:hAnsi="仿宋_GB2312" w:eastAsia="仿宋_GB2312" w:cs="仿宋_GB2312"/>
          <w:sz w:val="28"/>
          <w:szCs w:val="32"/>
          <w:lang w:val="en-US" w:eastAsia="zh-CN"/>
        </w:rPr>
      </w:pPr>
      <w:r>
        <w:rPr>
          <w:rFonts w:hint="eastAsia" w:ascii="仿宋_GB2312" w:hAnsi="仿宋_GB2312" w:eastAsia="仿宋_GB2312" w:cs="仿宋_GB2312"/>
          <w:sz w:val="28"/>
          <w:szCs w:val="32"/>
        </w:rPr>
        <w:t>法人代表签名</w:t>
      </w:r>
      <w:r>
        <w:rPr>
          <w:rFonts w:hint="eastAsia" w:ascii="仿宋_GB2312" w:hAnsi="仿宋_GB2312" w:eastAsia="仿宋_GB2312" w:cs="仿宋_GB2312"/>
          <w:sz w:val="28"/>
          <w:szCs w:val="32"/>
          <w:lang w:eastAsia="zh-CN"/>
        </w:rPr>
        <w:t>：</w:t>
      </w:r>
      <w:r>
        <w:rPr>
          <w:rFonts w:hint="eastAsia" w:ascii="仿宋_GB2312" w:hAnsi="仿宋_GB2312" w:eastAsia="仿宋_GB2312" w:cs="仿宋_GB2312"/>
          <w:sz w:val="28"/>
          <w:szCs w:val="32"/>
        </w:rPr>
        <w:t xml:space="preserve">                  法人代表签名：</w:t>
      </w:r>
      <w:r>
        <w:rPr>
          <w:rFonts w:hint="eastAsia" w:ascii="仿宋_GB2312" w:hAnsi="仿宋_GB2312" w:eastAsia="仿宋_GB2312" w:cs="仿宋_GB2312"/>
          <w:sz w:val="28"/>
          <w:szCs w:val="32"/>
          <w:lang w:val="en-US" w:eastAsia="zh-CN"/>
        </w:rPr>
        <w:t xml:space="preserve">      </w:t>
      </w:r>
    </w:p>
    <w:p w14:paraId="2190D0E7">
      <w:pPr>
        <w:ind w:left="0" w:leftChars="0" w:firstLine="0" w:firstLineChars="0"/>
        <w:jc w:val="left"/>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ab/>
      </w:r>
      <w:r>
        <w:rPr>
          <w:rFonts w:hint="eastAsia" w:ascii="仿宋_GB2312" w:hAnsi="仿宋_GB2312" w:eastAsia="仿宋_GB2312" w:cs="仿宋_GB2312"/>
          <w:sz w:val="28"/>
          <w:szCs w:val="32"/>
        </w:rPr>
        <mc:AlternateContent>
          <mc:Choice Requires="wps">
            <w:drawing>
              <wp:anchor distT="0" distB="0" distL="114300" distR="114300" simplePos="0" relativeHeight="251663360" behindDoc="0" locked="0" layoutInCell="0" allowOverlap="1">
                <wp:simplePos x="0" y="0"/>
                <wp:positionH relativeFrom="column">
                  <wp:posOffset>3886200</wp:posOffset>
                </wp:positionH>
                <wp:positionV relativeFrom="paragraph">
                  <wp:posOffset>0</wp:posOffset>
                </wp:positionV>
                <wp:extent cx="1485900" cy="0"/>
                <wp:effectExtent l="0" t="4445" r="0" b="5080"/>
                <wp:wrapNone/>
                <wp:docPr id="4" name="Line 5"/>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ln>
                        <a:effectLst/>
                      </wps:spPr>
                      <wps:bodyPr/>
                    </wps:wsp>
                  </a:graphicData>
                </a:graphic>
              </wp:anchor>
            </w:drawing>
          </mc:Choice>
          <mc:Fallback>
            <w:pict>
              <v:line id="Line 5" o:spid="_x0000_s1026" o:spt="20" style="position:absolute;left:0pt;margin-left:306pt;margin-top:0pt;height:0pt;width:117pt;z-index:251663360;mso-width-relative:page;mso-height-relative:page;" filled="f" stroked="t" coordsize="21600,21600" o:allowincell="f" o:gfxdata="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bRQE7TAAAABQEAAA8AAAAAAAAAAQAgAAAAIgAAAGRycy9k&#10;b3ducmV2LnhtbFBLAQIUABQAAAAIAIdO4kA/Py1QzgEAAK0DAAAOAAAAAAAAAAEAIAAAACIBAABk&#10;cnMvZTJvRG9jLnhtbFBLBQYAAAAABgAGAFkBAABiBQAAAAA=&#10;">
                <v:fill on="f" focussize="0,0"/>
                <v:stroke color="#000000" joinstyle="round"/>
                <v:imagedata o:title=""/>
                <o:lock v:ext="edit" aspectratio="f"/>
              </v:line>
            </w:pict>
          </mc:Fallback>
        </mc:AlternateContent>
      </w:r>
      <w:r>
        <w:rPr>
          <w:rFonts w:hint="eastAsia" w:ascii="仿宋_GB2312" w:hAnsi="仿宋_GB2312" w:eastAsia="仿宋_GB2312" w:cs="仿宋_GB2312"/>
          <w:sz w:val="28"/>
          <w:szCs w:val="32"/>
        </w:rPr>
        <mc:AlternateContent>
          <mc:Choice Requires="wps">
            <w:drawing>
              <wp:anchor distT="0" distB="0" distL="114300" distR="114300" simplePos="0" relativeHeight="251662336" behindDoc="0" locked="0" layoutInCell="0" allowOverlap="1">
                <wp:simplePos x="0" y="0"/>
                <wp:positionH relativeFrom="column">
                  <wp:posOffset>1143000</wp:posOffset>
                </wp:positionH>
                <wp:positionV relativeFrom="paragraph">
                  <wp:posOffset>0</wp:posOffset>
                </wp:positionV>
                <wp:extent cx="1371600" cy="0"/>
                <wp:effectExtent l="0" t="4445" r="0" b="5080"/>
                <wp:wrapNone/>
                <wp:docPr id="3" name="Line 4"/>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ln>
                        <a:effectLst/>
                      </wps:spPr>
                      <wps:bodyPr/>
                    </wps:wsp>
                  </a:graphicData>
                </a:graphic>
              </wp:anchor>
            </w:drawing>
          </mc:Choice>
          <mc:Fallback>
            <w:pict>
              <v:line id="Line 4" o:spid="_x0000_s1026" o:spt="20" style="position:absolute;left:0pt;margin-left:90pt;margin-top:0pt;height:0pt;width:108pt;z-index:251662336;mso-width-relative:page;mso-height-relative:page;" filled="f" stroked="t" coordsize="21600,21600" o:allowincell="f" o:gfxdata="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9yYgh0wAAAAUBAAAPAAAAAAAAAAEAIAAAACIAAABkcnMv&#10;ZG93bnJldi54bWxQSwECFAAUAAAACACHTuJA9Uqjn88BAACtAwAADgAAAAAAAAABACAAAAAiAQAA&#10;ZHJzL2Uyb0RvYy54bWxQSwUGAAAAAAYABgBZAQAAYwUAAAAA&#10;">
                <v:fill on="f" focussize="0,0"/>
                <v:stroke color="#000000" joinstyle="round"/>
                <v:imagedata o:title=""/>
                <o:lock v:ext="edit" aspectratio="f"/>
              </v:line>
            </w:pict>
          </mc:Fallback>
        </mc:AlternateContent>
      </w:r>
    </w:p>
    <w:p w14:paraId="543D92A9">
      <w:pPr>
        <w:ind w:left="0" w:leftChars="0" w:firstLine="0" w:firstLineChars="0"/>
        <w:jc w:val="left"/>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签约代表：                      签约代表：</w:t>
      </w:r>
      <w:r>
        <w:rPr>
          <w:rFonts w:hint="eastAsia" w:ascii="仿宋_GB2312" w:hAnsi="仿宋_GB2312" w:eastAsia="仿宋_GB2312" w:cs="仿宋_GB2312"/>
          <w:sz w:val="28"/>
          <w:szCs w:val="32"/>
          <w:lang w:val="en-US" w:eastAsia="zh-CN"/>
        </w:rPr>
        <w:t xml:space="preserve">  </w:t>
      </w:r>
      <w:r>
        <w:rPr>
          <w:rFonts w:hint="eastAsia" w:ascii="仿宋_GB2312" w:hAnsi="仿宋_GB2312" w:eastAsia="仿宋_GB2312" w:cs="仿宋_GB2312"/>
          <w:sz w:val="28"/>
          <w:szCs w:val="32"/>
        </w:rPr>
        <w:t xml:space="preserve"> </w:t>
      </w:r>
    </w:p>
    <w:p w14:paraId="38B25A4C">
      <w:pPr>
        <w:ind w:left="0" w:leftChars="0" w:firstLine="0" w:firstLineChars="0"/>
        <w:jc w:val="left"/>
        <w:rPr>
          <w:rFonts w:hint="eastAsia" w:ascii="仿宋_GB2312" w:hAnsi="仿宋_GB2312" w:eastAsia="仿宋_GB2312" w:cs="仿宋_GB2312"/>
          <w:sz w:val="28"/>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60288" behindDoc="0" locked="0" layoutInCell="0" allowOverlap="1">
                <wp:simplePos x="0" y="0"/>
                <wp:positionH relativeFrom="column">
                  <wp:posOffset>1028700</wp:posOffset>
                </wp:positionH>
                <wp:positionV relativeFrom="paragraph">
                  <wp:posOffset>0</wp:posOffset>
                </wp:positionV>
                <wp:extent cx="1485900" cy="0"/>
                <wp:effectExtent l="0" t="4445" r="0" b="5080"/>
                <wp:wrapNone/>
                <wp:docPr id="5" name="Line 2"/>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ln>
                        <a:effectLst/>
                      </wps:spPr>
                      <wps:bodyPr/>
                    </wps:wsp>
                  </a:graphicData>
                </a:graphic>
              </wp:anchor>
            </w:drawing>
          </mc:Choice>
          <mc:Fallback>
            <w:pict>
              <v:line id="Line 2" o:spid="_x0000_s1026" o:spt="20" style="position:absolute;left:0pt;margin-left:81pt;margin-top:0pt;height:0pt;width:117pt;z-index:251660288;mso-width-relative:page;mso-height-relative:page;" filled="f" stroked="t" coordsize="21600,21600" o:allowincell="f" o:gfxdata="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C/MOlPTAAAABQEAAA8AAAAAAAAAAQAgAAAAIgAAAGRycy9k&#10;b3ducmV2LnhtbFBLAQIUABQAAAAIAIdO4kAljaF/zgEAAK0DAAAOAAAAAAAAAAEAIAAAACIBAABk&#10;cnMvZTJvRG9jLnhtbFBLBQYAAAAABgAGAFkBAABiBQAAAAA=&#10;">
                <v:fill on="f" focussize="0,0"/>
                <v:stroke color="#000000" joinstyle="round"/>
                <v:imagedata o:title=""/>
                <o:lock v:ext="edit" aspectratio="f"/>
              </v:lin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61312" behindDoc="0" locked="0" layoutInCell="0" allowOverlap="1">
                <wp:simplePos x="0" y="0"/>
                <wp:positionH relativeFrom="column">
                  <wp:posOffset>3543300</wp:posOffset>
                </wp:positionH>
                <wp:positionV relativeFrom="paragraph">
                  <wp:posOffset>0</wp:posOffset>
                </wp:positionV>
                <wp:extent cx="1485900" cy="0"/>
                <wp:effectExtent l="0" t="4445" r="0" b="5080"/>
                <wp:wrapNone/>
                <wp:docPr id="6" name="Line 3"/>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ln>
                        <a:effectLst/>
                      </wps:spPr>
                      <wps:bodyPr/>
                    </wps:wsp>
                  </a:graphicData>
                </a:graphic>
              </wp:anchor>
            </w:drawing>
          </mc:Choice>
          <mc:Fallback>
            <w:pict>
              <v:line id="Line 3" o:spid="_x0000_s1026" o:spt="20" style="position:absolute;left:0pt;margin-left:279pt;margin-top:0pt;height:0pt;width:117pt;z-index:251661312;mso-width-relative:page;mso-height-relative:page;" filled="f" stroked="t" coordsize="21600,21600" o:allowincell="f" o:gfxdata="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UQ1qm1AAAAAUBAAAPAAAAAAAAAAEAIAAAACIAAABkcnMv&#10;ZG93bnJldi54bWxQSwECFAAUAAAACACHTuJAUulqU84BAACtAwAADgAAAAAAAAABACAAAAAjAQAA&#10;ZHJzL2Uyb0RvYy54bWxQSwUGAAAAAAYABgBZAQAAYwUAAAAA&#10;">
                <v:fill on="f" focussize="0,0"/>
                <v:stroke color="#000000" joinstyle="round"/>
                <v:imagedata o:title=""/>
                <o:lock v:ext="edit" aspectratio="f"/>
              </v:line>
            </w:pict>
          </mc:Fallback>
        </mc:AlternateContent>
      </w:r>
      <w:r>
        <w:rPr>
          <w:rFonts w:hint="eastAsia" w:ascii="仿宋_GB2312" w:hAnsi="仿宋_GB2312" w:eastAsia="仿宋_GB2312" w:cs="仿宋_GB2312"/>
          <w:sz w:val="28"/>
          <w:szCs w:val="32"/>
        </w:rPr>
        <w:t xml:space="preserve">  </w:t>
      </w:r>
    </w:p>
    <w:p w14:paraId="39DF9193">
      <w:pPr>
        <w:ind w:left="0" w:leftChars="0" w:firstLine="0" w:firstLineChars="0"/>
        <w:jc w:val="left"/>
        <w:rPr>
          <w:rFonts w:hint="eastAsia" w:ascii="仿宋_GB2312" w:hAnsi="仿宋_GB2312" w:eastAsia="仿宋_GB2312" w:cs="仿宋_GB2312"/>
          <w:sz w:val="28"/>
          <w:szCs w:val="32"/>
          <w:lang w:val="en-US" w:eastAsia="zh-CN"/>
        </w:rPr>
      </w:pPr>
      <w:r>
        <w:rPr>
          <w:rFonts w:hint="eastAsia" w:ascii="仿宋_GB2312" w:hAnsi="仿宋_GB2312" w:eastAsia="仿宋_GB2312" w:cs="仿宋_GB2312"/>
          <w:sz w:val="28"/>
          <w:szCs w:val="32"/>
        </w:rPr>
        <w:t>地址：广州市沿江西路107号      地址：</w:t>
      </w:r>
    </w:p>
    <w:p w14:paraId="14BD3ABB">
      <w:pPr>
        <w:ind w:left="0" w:leftChars="0" w:firstLine="0" w:firstLineChars="0"/>
        <w:jc w:val="left"/>
        <w:rPr>
          <w:rFonts w:hint="eastAsia" w:ascii="仿宋_GB2312" w:hAnsi="仿宋_GB2312" w:eastAsia="仿宋_GB2312" w:cs="仿宋_GB2312"/>
          <w:sz w:val="28"/>
          <w:szCs w:val="32"/>
          <w:lang w:val="en-US" w:eastAsia="zh-CN"/>
        </w:rPr>
      </w:pPr>
      <w:r>
        <w:rPr>
          <w:rFonts w:hint="eastAsia" w:ascii="仿宋_GB2312" w:hAnsi="仿宋_GB2312" w:eastAsia="仿宋_GB2312" w:cs="仿宋_GB2312"/>
          <w:sz w:val="28"/>
          <w:szCs w:val="32"/>
        </w:rPr>
        <w:t>电话：020-81332203              电话：</w:t>
      </w:r>
    </w:p>
    <w:p w14:paraId="7CAA5CB2">
      <w:pPr>
        <w:ind w:left="0" w:leftChars="0" w:firstLine="0" w:firstLineChars="0"/>
        <w:jc w:val="left"/>
        <w:rPr>
          <w:rFonts w:hint="eastAsia" w:ascii="仿宋_GB2312" w:hAnsi="仿宋_GB2312" w:eastAsia="仿宋_GB2312" w:cs="仿宋_GB2312"/>
          <w:sz w:val="28"/>
          <w:szCs w:val="32"/>
          <w:lang w:val="en-US" w:eastAsia="zh-CN"/>
        </w:rPr>
      </w:pPr>
      <w:r>
        <w:rPr>
          <w:rFonts w:hint="eastAsia" w:ascii="仿宋_GB2312" w:hAnsi="仿宋_GB2312" w:eastAsia="仿宋_GB2312" w:cs="仿宋_GB2312"/>
          <w:sz w:val="28"/>
          <w:szCs w:val="32"/>
        </w:rPr>
        <w:t xml:space="preserve">传真：                   </w:t>
      </w:r>
      <w:r>
        <w:rPr>
          <w:rFonts w:hint="eastAsia" w:ascii="仿宋_GB2312" w:hAnsi="仿宋_GB2312" w:eastAsia="仿宋_GB2312" w:cs="仿宋_GB2312"/>
          <w:sz w:val="28"/>
          <w:szCs w:val="32"/>
          <w:lang w:val="en-US" w:eastAsia="zh-CN"/>
        </w:rPr>
        <w:t xml:space="preserve">       </w:t>
      </w:r>
      <w:r>
        <w:rPr>
          <w:rFonts w:hint="eastAsia" w:ascii="仿宋_GB2312" w:hAnsi="仿宋_GB2312" w:eastAsia="仿宋_GB2312" w:cs="仿宋_GB2312"/>
          <w:sz w:val="28"/>
          <w:szCs w:val="32"/>
        </w:rPr>
        <w:t>传真：</w:t>
      </w:r>
    </w:p>
    <w:p w14:paraId="07221762">
      <w:pPr>
        <w:ind w:left="0" w:leftChars="0" w:firstLine="0" w:firstLineChars="0"/>
        <w:jc w:val="left"/>
        <w:rPr>
          <w:rFonts w:hint="eastAsia" w:ascii="仿宋_GB2312" w:hAnsi="仿宋_GB2312" w:eastAsia="仿宋_GB2312" w:cs="仿宋_GB2312"/>
          <w:sz w:val="28"/>
          <w:szCs w:val="32"/>
          <w:lang w:eastAsia="zh-CN"/>
        </w:rPr>
      </w:pPr>
      <w:r>
        <w:rPr>
          <w:rFonts w:hint="eastAsia" w:ascii="仿宋_GB2312" w:hAnsi="仿宋_GB2312" w:eastAsia="仿宋_GB2312" w:cs="仿宋_GB2312"/>
          <w:sz w:val="28"/>
          <w:szCs w:val="32"/>
        </w:rPr>
        <w:t>签约日期：   年    月     日    签约日期：</w:t>
      </w:r>
      <w:r>
        <w:rPr>
          <w:rFonts w:hint="eastAsia" w:ascii="仿宋_GB2312" w:hAnsi="仿宋_GB2312" w:eastAsia="仿宋_GB2312" w:cs="仿宋_GB2312"/>
          <w:sz w:val="28"/>
          <w:szCs w:val="32"/>
          <w:lang w:val="en-US" w:eastAsia="zh-CN"/>
        </w:rPr>
        <w:t xml:space="preserve">     </w:t>
      </w:r>
      <w:r>
        <w:rPr>
          <w:rFonts w:hint="eastAsia" w:ascii="仿宋_GB2312" w:hAnsi="仿宋_GB2312" w:eastAsia="仿宋_GB2312" w:cs="仿宋_GB2312"/>
          <w:sz w:val="28"/>
          <w:szCs w:val="32"/>
        </w:rPr>
        <w:t xml:space="preserve">年 </w:t>
      </w:r>
      <w:r>
        <w:rPr>
          <w:rFonts w:hint="eastAsia" w:ascii="仿宋_GB2312" w:hAnsi="仿宋_GB2312" w:eastAsia="仿宋_GB2312" w:cs="仿宋_GB2312"/>
          <w:sz w:val="28"/>
          <w:szCs w:val="32"/>
          <w:lang w:val="en-US" w:eastAsia="zh-CN"/>
        </w:rPr>
        <w:t xml:space="preserve">  </w:t>
      </w:r>
      <w:r>
        <w:rPr>
          <w:rFonts w:hint="eastAsia" w:ascii="仿宋_GB2312" w:hAnsi="仿宋_GB2312" w:eastAsia="仿宋_GB2312" w:cs="仿宋_GB2312"/>
          <w:sz w:val="28"/>
          <w:szCs w:val="32"/>
        </w:rPr>
        <w:t xml:space="preserve"> 月 </w:t>
      </w:r>
      <w:r>
        <w:rPr>
          <w:rFonts w:hint="eastAsia" w:ascii="仿宋_GB2312" w:hAnsi="仿宋_GB2312" w:eastAsia="仿宋_GB2312" w:cs="仿宋_GB2312"/>
          <w:sz w:val="28"/>
          <w:szCs w:val="32"/>
          <w:lang w:val="en-US" w:eastAsia="zh-CN"/>
        </w:rPr>
        <w:t xml:space="preserve">  </w:t>
      </w:r>
      <w:r>
        <w:rPr>
          <w:rFonts w:hint="eastAsia" w:ascii="仿宋_GB2312" w:hAnsi="仿宋_GB2312" w:eastAsia="仿宋_GB2312" w:cs="仿宋_GB2312"/>
          <w:sz w:val="28"/>
          <w:szCs w:val="32"/>
        </w:rPr>
        <w:t xml:space="preserve"> 日</w:t>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0E5815E5-80B3-453F-81A7-A8D227FA7D89}"/>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2" w:fontKey="{26704BDF-BF81-42CF-A70F-647C39AFE55F}"/>
  </w:font>
  <w:font w:name="微软雅黑">
    <w:panose1 w:val="020B0503020204020204"/>
    <w:charset w:val="86"/>
    <w:family w:val="auto"/>
    <w:pitch w:val="default"/>
    <w:sig w:usb0="80000287" w:usb1="2ACF3C50" w:usb2="00000016" w:usb3="00000000" w:csb0="0004001F" w:csb1="00000000"/>
    <w:embedRegular r:id="rId3" w:fontKey="{56A39A5D-0157-4144-8F8D-62361D2A7EC7}"/>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59620">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985AFF">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D985AFF">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560"/>
      </w:pPr>
      <w:r>
        <w:separator/>
      </w:r>
    </w:p>
  </w:footnote>
  <w:footnote w:type="continuationSeparator" w:id="1">
    <w:p>
      <w:pPr>
        <w:spacing w:before="0" w:after="0" w:line="24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4"/>
      <w:numFmt w:val="decimal"/>
      <w:suff w:val="nothing"/>
      <w:lvlText w:val="（%1）"/>
      <w:lvlJc w:val="left"/>
    </w:lvl>
  </w:abstractNum>
  <w:abstractNum w:abstractNumId="1">
    <w:nsid w:val="2D5C9786"/>
    <w:multiLevelType w:val="singleLevel"/>
    <w:tmpl w:val="2D5C9786"/>
    <w:lvl w:ilvl="0" w:tentative="0">
      <w:start w:val="1"/>
      <w:numFmt w:val="chineseCounting"/>
      <w:pStyle w:val="3"/>
      <w:suff w:val="space"/>
      <w:lvlText w:val="第%1部分"/>
      <w:lvlJc w:val="left"/>
      <w:rPr>
        <w:rFonts w:hint="eastAsia"/>
      </w:rPr>
    </w:lvl>
  </w:abstractNum>
  <w:abstractNum w:abstractNumId="2">
    <w:nsid w:val="351D1372"/>
    <w:multiLevelType w:val="singleLevel"/>
    <w:tmpl w:val="351D1372"/>
    <w:lvl w:ilvl="0" w:tentative="0">
      <w:start w:val="3"/>
      <w:numFmt w:val="decimal"/>
      <w:lvlText w:val="%1."/>
      <w:lvlJc w:val="left"/>
      <w:pPr>
        <w:tabs>
          <w:tab w:val="left" w:pos="312"/>
        </w:tabs>
      </w:pPr>
    </w:lvl>
  </w:abstractNum>
  <w:abstractNum w:abstractNumId="3">
    <w:nsid w:val="7EFFD584"/>
    <w:multiLevelType w:val="singleLevel"/>
    <w:tmpl w:val="7EFFD584"/>
    <w:lvl w:ilvl="0" w:tentative="0">
      <w:start w:val="2"/>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563"/>
    <w:rsid w:val="0036273C"/>
    <w:rsid w:val="005A7208"/>
    <w:rsid w:val="00B51563"/>
    <w:rsid w:val="00D61E2A"/>
    <w:rsid w:val="00E235F2"/>
    <w:rsid w:val="02BB536C"/>
    <w:rsid w:val="04180F6C"/>
    <w:rsid w:val="054554BE"/>
    <w:rsid w:val="05E25F5C"/>
    <w:rsid w:val="066C5354"/>
    <w:rsid w:val="0A6F565E"/>
    <w:rsid w:val="0C171331"/>
    <w:rsid w:val="0C6D3E1F"/>
    <w:rsid w:val="0D4B1CD1"/>
    <w:rsid w:val="0EF53632"/>
    <w:rsid w:val="0F16079E"/>
    <w:rsid w:val="0F910915"/>
    <w:rsid w:val="0FA062BA"/>
    <w:rsid w:val="104203C6"/>
    <w:rsid w:val="1104363F"/>
    <w:rsid w:val="12C43412"/>
    <w:rsid w:val="1379754E"/>
    <w:rsid w:val="143C5753"/>
    <w:rsid w:val="15A85964"/>
    <w:rsid w:val="15DD2016"/>
    <w:rsid w:val="15E96C0C"/>
    <w:rsid w:val="163572AE"/>
    <w:rsid w:val="1684781D"/>
    <w:rsid w:val="19442173"/>
    <w:rsid w:val="194E1FFE"/>
    <w:rsid w:val="19E716B5"/>
    <w:rsid w:val="1B762CF0"/>
    <w:rsid w:val="1E2D340E"/>
    <w:rsid w:val="1E5906A7"/>
    <w:rsid w:val="1E9D0594"/>
    <w:rsid w:val="1ECB3353"/>
    <w:rsid w:val="20BA3D0A"/>
    <w:rsid w:val="22335A5E"/>
    <w:rsid w:val="23F65EE5"/>
    <w:rsid w:val="24E56CD9"/>
    <w:rsid w:val="25A1500D"/>
    <w:rsid w:val="26E66850"/>
    <w:rsid w:val="281F7070"/>
    <w:rsid w:val="2B4D4D7A"/>
    <w:rsid w:val="2BDD0222"/>
    <w:rsid w:val="2BE74477"/>
    <w:rsid w:val="2C184F68"/>
    <w:rsid w:val="2E730165"/>
    <w:rsid w:val="2EB45BB2"/>
    <w:rsid w:val="2F7E7FA9"/>
    <w:rsid w:val="30191A45"/>
    <w:rsid w:val="30662EDC"/>
    <w:rsid w:val="30F0199E"/>
    <w:rsid w:val="322A4419"/>
    <w:rsid w:val="325D20BC"/>
    <w:rsid w:val="37A90402"/>
    <w:rsid w:val="38D20824"/>
    <w:rsid w:val="3A850EB4"/>
    <w:rsid w:val="3B5E2708"/>
    <w:rsid w:val="3C595008"/>
    <w:rsid w:val="3DE2791A"/>
    <w:rsid w:val="3ED5122D"/>
    <w:rsid w:val="3F1D4438"/>
    <w:rsid w:val="3F473ED8"/>
    <w:rsid w:val="411432CE"/>
    <w:rsid w:val="421D53C4"/>
    <w:rsid w:val="45110CC1"/>
    <w:rsid w:val="45B7168C"/>
    <w:rsid w:val="465A1B19"/>
    <w:rsid w:val="47150813"/>
    <w:rsid w:val="477912EF"/>
    <w:rsid w:val="4819662E"/>
    <w:rsid w:val="48BB1493"/>
    <w:rsid w:val="48C9430F"/>
    <w:rsid w:val="4AF26149"/>
    <w:rsid w:val="4D902EEE"/>
    <w:rsid w:val="4DB12E65"/>
    <w:rsid w:val="50E84DEF"/>
    <w:rsid w:val="51330E09"/>
    <w:rsid w:val="54F17B94"/>
    <w:rsid w:val="56BB6889"/>
    <w:rsid w:val="58306D19"/>
    <w:rsid w:val="5895436D"/>
    <w:rsid w:val="58A75590"/>
    <w:rsid w:val="591A3FB4"/>
    <w:rsid w:val="5A7122F9"/>
    <w:rsid w:val="5C81360C"/>
    <w:rsid w:val="5E6A3DE0"/>
    <w:rsid w:val="5EC07633"/>
    <w:rsid w:val="5F911B67"/>
    <w:rsid w:val="5FB2068B"/>
    <w:rsid w:val="60E47381"/>
    <w:rsid w:val="62130A76"/>
    <w:rsid w:val="62260508"/>
    <w:rsid w:val="6449399F"/>
    <w:rsid w:val="64C06660"/>
    <w:rsid w:val="64CD45D0"/>
    <w:rsid w:val="65051D30"/>
    <w:rsid w:val="660404C6"/>
    <w:rsid w:val="66110720"/>
    <w:rsid w:val="66AE0F97"/>
    <w:rsid w:val="67B80EC0"/>
    <w:rsid w:val="67C021CA"/>
    <w:rsid w:val="68451708"/>
    <w:rsid w:val="6984294B"/>
    <w:rsid w:val="6A6C3526"/>
    <w:rsid w:val="6AFF300A"/>
    <w:rsid w:val="6B372957"/>
    <w:rsid w:val="6B6D624F"/>
    <w:rsid w:val="6C4C04D0"/>
    <w:rsid w:val="6E8C5638"/>
    <w:rsid w:val="6FC93B41"/>
    <w:rsid w:val="70081915"/>
    <w:rsid w:val="703C22B0"/>
    <w:rsid w:val="70A05702"/>
    <w:rsid w:val="70A97C9F"/>
    <w:rsid w:val="70BD176B"/>
    <w:rsid w:val="71330338"/>
    <w:rsid w:val="72D569D1"/>
    <w:rsid w:val="734819F2"/>
    <w:rsid w:val="736D4590"/>
    <w:rsid w:val="7370719A"/>
    <w:rsid w:val="746F1200"/>
    <w:rsid w:val="752024C6"/>
    <w:rsid w:val="77322E0B"/>
    <w:rsid w:val="77E617D9"/>
    <w:rsid w:val="78DA5D40"/>
    <w:rsid w:val="7AEB6B2B"/>
    <w:rsid w:val="7B097455"/>
    <w:rsid w:val="7B220D7A"/>
    <w:rsid w:val="7B2B073C"/>
    <w:rsid w:val="7C8A5E47"/>
    <w:rsid w:val="7F762FA4"/>
    <w:rsid w:val="7F7B6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spacing w:before="25" w:after="25" w:line="240" w:lineRule="auto"/>
      <w:ind w:firstLine="420" w:firstLineChars="200"/>
      <w:jc w:val="left"/>
    </w:pPr>
    <w:rPr>
      <w:rFonts w:ascii="仿宋_GB2312" w:hAnsi="仿宋_GB2312" w:eastAsia="仿宋_GB2312" w:cs="仿宋_GB2312"/>
      <w:color w:val="000000"/>
      <w:spacing w:val="0"/>
      <w:kern w:val="0"/>
      <w:sz w:val="28"/>
      <w:szCs w:val="32"/>
      <w:highlight w:val="none"/>
      <w:lang w:val="en-US" w:eastAsia="zh-CN" w:bidi="ar-SA"/>
      <w14:ligatures w14:val="standardContextual"/>
    </w:rPr>
  </w:style>
  <w:style w:type="paragraph" w:styleId="3">
    <w:name w:val="heading 1"/>
    <w:basedOn w:val="1"/>
    <w:next w:val="1"/>
    <w:link w:val="28"/>
    <w:qFormat/>
    <w:uiPriority w:val="9"/>
    <w:pPr>
      <w:numPr>
        <w:ilvl w:val="0"/>
        <w:numId w:val="1"/>
      </w:numPr>
      <w:ind w:firstLine="0" w:firstLineChars="0"/>
      <w:jc w:val="center"/>
      <w:outlineLvl w:val="0"/>
    </w:pPr>
    <w:rPr>
      <w:b/>
      <w:bCs/>
      <w:sz w:val="32"/>
    </w:rPr>
  </w:style>
  <w:style w:type="paragraph" w:styleId="2">
    <w:name w:val="heading 2"/>
    <w:basedOn w:val="1"/>
    <w:next w:val="1"/>
    <w:link w:val="29"/>
    <w:unhideWhenUsed/>
    <w:qFormat/>
    <w:uiPriority w:val="9"/>
    <w:pPr>
      <w:outlineLvl w:val="1"/>
    </w:pPr>
    <w:rPr>
      <w:rFonts w:ascii="仿宋_GB2312" w:hAnsi="仿宋_GB2312"/>
      <w:b/>
      <w:sz w:val="28"/>
    </w:rPr>
  </w:style>
  <w:style w:type="paragraph" w:styleId="4">
    <w:name w:val="heading 3"/>
    <w:basedOn w:val="5"/>
    <w:next w:val="1"/>
    <w:link w:val="30"/>
    <w:unhideWhenUsed/>
    <w:qFormat/>
    <w:uiPriority w:val="9"/>
    <w:pPr>
      <w:outlineLvl w:val="2"/>
    </w:pPr>
    <w:rPr>
      <w:rFonts w:ascii="仿宋_GB2312" w:hAnsi="仿宋_GB2312"/>
      <w:bCs w:val="0"/>
      <w:sz w:val="28"/>
    </w:rPr>
  </w:style>
  <w:style w:type="paragraph" w:styleId="7">
    <w:name w:val="heading 4"/>
    <w:basedOn w:val="1"/>
    <w:next w:val="1"/>
    <w:link w:val="3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8">
    <w:name w:val="heading 5"/>
    <w:basedOn w:val="1"/>
    <w:next w:val="1"/>
    <w:link w:val="32"/>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9">
    <w:name w:val="heading 6"/>
    <w:basedOn w:val="1"/>
    <w:next w:val="1"/>
    <w:link w:val="33"/>
    <w:semiHidden/>
    <w:unhideWhenUsed/>
    <w:qFormat/>
    <w:uiPriority w:val="9"/>
    <w:pPr>
      <w:keepNext/>
      <w:keepLines/>
      <w:spacing w:before="40"/>
      <w:outlineLvl w:val="5"/>
    </w:pPr>
    <w:rPr>
      <w:rFonts w:cstheme="majorBidi"/>
      <w:b/>
      <w:bCs/>
      <w:color w:val="104862" w:themeColor="accent1" w:themeShade="BF"/>
    </w:rPr>
  </w:style>
  <w:style w:type="paragraph" w:styleId="10">
    <w:name w:val="heading 7"/>
    <w:basedOn w:val="1"/>
    <w:next w:val="1"/>
    <w:link w:val="3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1">
    <w:name w:val="heading 8"/>
    <w:basedOn w:val="1"/>
    <w:next w:val="1"/>
    <w:link w:val="3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2">
    <w:name w:val="heading 9"/>
    <w:basedOn w:val="1"/>
    <w:next w:val="1"/>
    <w:link w:val="3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5">
    <w:name w:val="表格文字"/>
    <w:basedOn w:val="6"/>
    <w:qFormat/>
    <w:uiPriority w:val="0"/>
    <w:rPr>
      <w:bCs/>
      <w:spacing w:val="10"/>
      <w:sz w:val="24"/>
    </w:rPr>
  </w:style>
  <w:style w:type="paragraph" w:customStyle="1" w:styleId="6">
    <w:name w:val="表格文字（两侧对齐）"/>
    <w:basedOn w:val="1"/>
    <w:qFormat/>
    <w:uiPriority w:val="0"/>
    <w:pPr>
      <w:snapToGrid w:val="0"/>
    </w:pPr>
    <w:rPr>
      <w:rFonts w:ascii="Calibri" w:hAnsi="Calibri"/>
      <w:sz w:val="20"/>
    </w:rPr>
  </w:style>
  <w:style w:type="paragraph" w:styleId="13">
    <w:name w:val="Normal Indent"/>
    <w:basedOn w:val="1"/>
    <w:next w:val="14"/>
    <w:qFormat/>
    <w:uiPriority w:val="0"/>
    <w:pPr>
      <w:ind w:firstLine="420"/>
    </w:pPr>
  </w:style>
  <w:style w:type="paragraph" w:styleId="14">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rPr>
  </w:style>
  <w:style w:type="paragraph" w:styleId="15">
    <w:name w:val="Body Text"/>
    <w:basedOn w:val="1"/>
    <w:next w:val="1"/>
    <w:qFormat/>
    <w:uiPriority w:val="1"/>
    <w:rPr>
      <w:rFonts w:ascii="宋体" w:hAnsi="宋体"/>
      <w:szCs w:val="21"/>
    </w:rPr>
  </w:style>
  <w:style w:type="paragraph" w:styleId="16">
    <w:name w:val="Body Text Indent"/>
    <w:basedOn w:val="1"/>
    <w:qFormat/>
    <w:uiPriority w:val="0"/>
    <w:pPr>
      <w:spacing w:after="120"/>
      <w:ind w:left="420" w:leftChars="200"/>
    </w:pPr>
  </w:style>
  <w:style w:type="paragraph" w:styleId="17">
    <w:name w:val="footer"/>
    <w:basedOn w:val="1"/>
    <w:semiHidden/>
    <w:unhideWhenUsed/>
    <w:qFormat/>
    <w:uiPriority w:val="99"/>
    <w:pPr>
      <w:tabs>
        <w:tab w:val="center" w:pos="4153"/>
        <w:tab w:val="right" w:pos="8306"/>
      </w:tabs>
      <w:snapToGrid w:val="0"/>
      <w:jc w:val="left"/>
    </w:pPr>
    <w:rPr>
      <w:sz w:val="18"/>
    </w:rPr>
  </w:style>
  <w:style w:type="paragraph" w:styleId="18">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Subtitle"/>
    <w:basedOn w:val="1"/>
    <w:next w:val="1"/>
    <w:link w:val="3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0">
    <w:name w:val="Normal (Web)"/>
    <w:basedOn w:val="1"/>
    <w:qFormat/>
    <w:uiPriority w:val="0"/>
    <w:pPr>
      <w:spacing w:before="0" w:beforeAutospacing="1" w:after="0" w:afterAutospacing="1"/>
      <w:ind w:left="0" w:right="0"/>
      <w:jc w:val="left"/>
    </w:pPr>
    <w:rPr>
      <w:kern w:val="0"/>
      <w:sz w:val="24"/>
      <w:lang w:val="en-US" w:eastAsia="zh-CN"/>
    </w:rPr>
  </w:style>
  <w:style w:type="paragraph" w:styleId="21">
    <w:name w:val="Title"/>
    <w:basedOn w:val="1"/>
    <w:next w:val="1"/>
    <w:link w:val="37"/>
    <w:autoRedefine/>
    <w:qFormat/>
    <w:uiPriority w:val="10"/>
    <w:pPr>
      <w:spacing w:after="80" w:line="360" w:lineRule="auto"/>
      <w:ind w:firstLine="0" w:firstLineChars="0"/>
      <w:contextualSpacing/>
      <w:jc w:val="center"/>
    </w:pPr>
    <w:rPr>
      <w:rFonts w:asciiTheme="majorHAnsi" w:hAnsiTheme="majorHAnsi" w:cstheme="majorBidi"/>
      <w:b/>
      <w:spacing w:val="-10"/>
      <w:kern w:val="28"/>
      <w:sz w:val="72"/>
      <w:szCs w:val="56"/>
    </w:rPr>
  </w:style>
  <w:style w:type="paragraph" w:styleId="22">
    <w:name w:val="Body Text First Indent"/>
    <w:basedOn w:val="15"/>
    <w:unhideWhenUsed/>
    <w:qFormat/>
    <w:uiPriority w:val="99"/>
    <w:pPr>
      <w:widowControl w:val="0"/>
      <w:spacing w:after="120"/>
      <w:ind w:firstLine="420" w:firstLineChars="100"/>
      <w:jc w:val="both"/>
    </w:pPr>
    <w:rPr>
      <w:rFonts w:hint="default" w:ascii="Times New Roman" w:hAnsi="Times New Roman" w:eastAsia="宋体" w:cs="Times New Roman"/>
      <w:kern w:val="2"/>
      <w:sz w:val="21"/>
      <w:szCs w:val="24"/>
      <w:lang w:val="en-US" w:eastAsia="zh-CN" w:bidi="ar-SA"/>
    </w:rPr>
  </w:style>
  <w:style w:type="paragraph" w:styleId="23">
    <w:name w:val="Body Text First Indent 2"/>
    <w:basedOn w:val="16"/>
    <w:qFormat/>
    <w:uiPriority w:val="0"/>
    <w:pPr>
      <w:ind w:firstLine="420" w:firstLineChars="200"/>
    </w:p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rPr>
  </w:style>
  <w:style w:type="character" w:customStyle="1" w:styleId="28">
    <w:name w:val="标题 1 字符"/>
    <w:link w:val="3"/>
    <w:qFormat/>
    <w:uiPriority w:val="9"/>
    <w:rPr>
      <w:rFonts w:ascii="仿宋_GB2312" w:hAnsi="仿宋_GB2312" w:eastAsia="仿宋_GB2312" w:cs="仿宋_GB2312"/>
      <w:b/>
      <w:bCs/>
      <w:color w:val="000000"/>
      <w:spacing w:val="0"/>
      <w:kern w:val="0"/>
      <w:sz w:val="32"/>
      <w:szCs w:val="32"/>
      <w:highlight w:val="none"/>
      <w:lang w:val="en-US" w:eastAsia="zh-CN" w:bidi="ar-SA"/>
      <w14:ligatures w14:val="standardContextual"/>
    </w:rPr>
  </w:style>
  <w:style w:type="character" w:customStyle="1" w:styleId="29">
    <w:name w:val="标题 2 字符"/>
    <w:link w:val="2"/>
    <w:qFormat/>
    <w:uiPriority w:val="9"/>
    <w:rPr>
      <w:rFonts w:ascii="仿宋_GB2312" w:hAnsi="仿宋_GB2312" w:eastAsia="仿宋_GB2312" w:cs="仿宋_GB2312"/>
      <w:b/>
      <w:bCs/>
      <w:color w:val="000000"/>
      <w:spacing w:val="10"/>
      <w:kern w:val="0"/>
      <w:sz w:val="28"/>
      <w:szCs w:val="32"/>
      <w:highlight w:val="none"/>
      <w:lang w:val="en-US" w:eastAsia="zh-CN" w:bidi="ar-SA"/>
      <w14:ligatures w14:val="standardContextual"/>
    </w:rPr>
  </w:style>
  <w:style w:type="character" w:customStyle="1" w:styleId="30">
    <w:name w:val="标题 3 字符"/>
    <w:link w:val="4"/>
    <w:semiHidden/>
    <w:qFormat/>
    <w:uiPriority w:val="9"/>
    <w:rPr>
      <w:rFonts w:ascii="仿宋_GB2312" w:hAnsi="仿宋_GB2312" w:eastAsia="仿宋_GB2312" w:cs="仿宋_GB2312"/>
      <w:color w:val="000000"/>
      <w:spacing w:val="10"/>
      <w:kern w:val="0"/>
      <w:sz w:val="28"/>
      <w:szCs w:val="32"/>
      <w:highlight w:val="none"/>
      <w:lang w:val="en-US" w:eastAsia="zh-CN" w:bidi="ar-SA"/>
      <w14:ligatures w14:val="standardContextual"/>
    </w:rPr>
  </w:style>
  <w:style w:type="character" w:customStyle="1" w:styleId="31">
    <w:name w:val="标题 4 字符"/>
    <w:basedOn w:val="26"/>
    <w:link w:val="7"/>
    <w:semiHidden/>
    <w:qFormat/>
    <w:uiPriority w:val="9"/>
    <w:rPr>
      <w:rFonts w:cstheme="majorBidi"/>
      <w:color w:val="104862" w:themeColor="accent1" w:themeShade="BF"/>
      <w:sz w:val="28"/>
      <w:szCs w:val="28"/>
    </w:rPr>
  </w:style>
  <w:style w:type="character" w:customStyle="1" w:styleId="32">
    <w:name w:val="标题 5 字符"/>
    <w:basedOn w:val="26"/>
    <w:link w:val="8"/>
    <w:semiHidden/>
    <w:qFormat/>
    <w:uiPriority w:val="9"/>
    <w:rPr>
      <w:rFonts w:cstheme="majorBidi"/>
      <w:color w:val="104862" w:themeColor="accent1" w:themeShade="BF"/>
      <w:sz w:val="24"/>
      <w:szCs w:val="24"/>
    </w:rPr>
  </w:style>
  <w:style w:type="character" w:customStyle="1" w:styleId="33">
    <w:name w:val="标题 6 字符"/>
    <w:basedOn w:val="26"/>
    <w:link w:val="9"/>
    <w:semiHidden/>
    <w:qFormat/>
    <w:uiPriority w:val="9"/>
    <w:rPr>
      <w:rFonts w:cstheme="majorBidi"/>
      <w:b/>
      <w:bCs/>
      <w:color w:val="104862" w:themeColor="accent1" w:themeShade="BF"/>
    </w:rPr>
  </w:style>
  <w:style w:type="character" w:customStyle="1" w:styleId="34">
    <w:name w:val="标题 7 字符"/>
    <w:basedOn w:val="26"/>
    <w:link w:val="10"/>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5">
    <w:name w:val="标题 8 字符"/>
    <w:basedOn w:val="26"/>
    <w:link w:val="11"/>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6">
    <w:name w:val="标题 9 字符"/>
    <w:basedOn w:val="26"/>
    <w:link w:val="12"/>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7">
    <w:name w:val="标题 字符"/>
    <w:basedOn w:val="26"/>
    <w:link w:val="21"/>
    <w:qFormat/>
    <w:uiPriority w:val="10"/>
    <w:rPr>
      <w:rFonts w:eastAsia="仿宋" w:asciiTheme="majorHAnsi" w:hAnsiTheme="majorHAnsi" w:cstheme="majorBidi"/>
      <w:b/>
      <w:spacing w:val="-10"/>
      <w:kern w:val="28"/>
      <w:sz w:val="72"/>
      <w:szCs w:val="56"/>
    </w:rPr>
  </w:style>
  <w:style w:type="character" w:customStyle="1" w:styleId="38">
    <w:name w:val="副标题 字符"/>
    <w:basedOn w:val="26"/>
    <w:link w:val="19"/>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9">
    <w:name w:val="Quote"/>
    <w:basedOn w:val="1"/>
    <w:next w:val="1"/>
    <w:link w:val="4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40">
    <w:name w:val="引用 字符"/>
    <w:basedOn w:val="26"/>
    <w:link w:val="39"/>
    <w:qFormat/>
    <w:uiPriority w:val="29"/>
    <w:rPr>
      <w:i/>
      <w:iCs/>
      <w:color w:val="404040" w:themeColor="text1" w:themeTint="BF"/>
      <w14:textFill>
        <w14:solidFill>
          <w14:schemeClr w14:val="tx1">
            <w14:lumMod w14:val="75000"/>
            <w14:lumOff w14:val="25000"/>
          </w14:schemeClr>
        </w14:solidFill>
      </w14:textFill>
    </w:rPr>
  </w:style>
  <w:style w:type="paragraph" w:styleId="41">
    <w:name w:val="List Paragraph"/>
    <w:basedOn w:val="1"/>
    <w:qFormat/>
    <w:uiPriority w:val="34"/>
    <w:pPr>
      <w:ind w:left="720"/>
      <w:contextualSpacing/>
    </w:pPr>
  </w:style>
  <w:style w:type="character" w:customStyle="1" w:styleId="42">
    <w:name w:val="Intense Emphasis"/>
    <w:basedOn w:val="26"/>
    <w:qFormat/>
    <w:uiPriority w:val="21"/>
    <w:rPr>
      <w:i/>
      <w:iCs/>
      <w:color w:val="104862" w:themeColor="accent1" w:themeShade="BF"/>
    </w:rPr>
  </w:style>
  <w:style w:type="paragraph" w:styleId="43">
    <w:name w:val="Intense Quote"/>
    <w:basedOn w:val="1"/>
    <w:next w:val="1"/>
    <w:link w:val="4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4">
    <w:name w:val="明显引用 字符"/>
    <w:basedOn w:val="26"/>
    <w:link w:val="43"/>
    <w:qFormat/>
    <w:uiPriority w:val="30"/>
    <w:rPr>
      <w:i/>
      <w:iCs/>
      <w:color w:val="104862" w:themeColor="accent1" w:themeShade="BF"/>
    </w:rPr>
  </w:style>
  <w:style w:type="character" w:customStyle="1" w:styleId="45">
    <w:name w:val="Intense Reference"/>
    <w:basedOn w:val="26"/>
    <w:qFormat/>
    <w:uiPriority w:val="32"/>
    <w:rPr>
      <w:b/>
      <w:bCs/>
      <w:smallCaps/>
      <w:color w:val="104862" w:themeColor="accent1" w:themeShade="BF"/>
      <w:spacing w:val="5"/>
    </w:rPr>
  </w:style>
  <w:style w:type="paragraph" w:customStyle="1" w:styleId="46">
    <w:name w:val="font5"/>
    <w:basedOn w:val="1"/>
    <w:qFormat/>
    <w:uiPriority w:val="0"/>
    <w:pPr>
      <w:widowControl/>
      <w:spacing w:before="100" w:beforeAutospacing="1" w:after="100" w:afterAutospacing="1"/>
      <w:jc w:val="left"/>
    </w:pPr>
    <w:rPr>
      <w:rFonts w:ascii="宋体" w:hAnsi="宋体" w:cs="宋体"/>
      <w:sz w:val="18"/>
      <w:szCs w:val="18"/>
    </w:rPr>
  </w:style>
  <w:style w:type="paragraph" w:customStyle="1" w:styleId="47">
    <w:name w:val="_Style 3"/>
    <w:basedOn w:val="1"/>
    <w:qFormat/>
    <w:uiPriority w:val="0"/>
    <w:pPr>
      <w:ind w:firstLine="420" w:firstLineChars="200"/>
    </w:pPr>
    <w:rPr>
      <w:sz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5395</Words>
  <Characters>5768</Characters>
  <Lines>1</Lines>
  <Paragraphs>1</Paragraphs>
  <TotalTime>0</TotalTime>
  <ScaleCrop>false</ScaleCrop>
  <LinksUpToDate>false</LinksUpToDate>
  <CharactersWithSpaces>5784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2024-03-01T02:00:00Z</dcterms:created>
  <dc:creator>段小圆</dc:creator>
  <cp:lastModifiedBy>办公室修订</cp:lastModifiedBy>
  <dcterms:modified xsi:type="dcterms:W3CDTF">2026-06-15T07:41:13Z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eyJoZGlkIjoiMjBhNzc4OGU3Y2NjYjY4ZmE1MjVjNWY3MmIxYTA4NjAiLCJ1c2VySWQiOiIxNjU3NTM1NjcxIn0=</vt:lpwstr>
  </property>
  <property fmtid="{D5CDD505-2E9C-101B-9397-08002B2CF9AE}" pid="3" name="KSOProductBuildVer">
    <vt:lpwstr>2052-12.1.0.26375</vt:lpwstr>
  </property>
  <property fmtid="{D5CDD505-2E9C-101B-9397-08002B2CF9AE}" pid="4" name="ICV">
    <vt:lpwstr>FABB6E98042341668850D5D6E657520C_13</vt:lpwstr>
  </property>
</Properties>
</file>