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20"/>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项目编号：XJ-202604</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：2026年-2028年北院区、南院区建筑防雷设施检测项目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7</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5"/>
        <w:rPr>
          <w:rFonts w:ascii="宋体" w:hAnsi="宋体" w:cs="宋体"/>
          <w:b/>
          <w:bCs/>
          <w:sz w:val="28"/>
          <w:szCs w:val="28"/>
        </w:rPr>
      </w:pPr>
    </w:p>
    <w:p w14:paraId="7F5A9F38">
      <w:pPr>
        <w:pStyle w:val="16"/>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Theme="minorEastAsia" w:hAnsiTheme="minorEastAsia" w:cstheme="minorEastAsia"/>
          <w:sz w:val="24"/>
          <w:szCs w:val="24"/>
          <w:lang w:val="en-US" w:eastAsia="zh-CN"/>
        </w:rPr>
        <w:t>2026年-2028年</w:t>
      </w:r>
      <w:r>
        <w:rPr>
          <w:rFonts w:hint="eastAsia" w:eastAsia="宋体" w:asciiTheme="minorEastAsia" w:hAnsiTheme="minorEastAsia" w:cstheme="minorEastAsia"/>
          <w:sz w:val="24"/>
          <w:szCs w:val="24"/>
          <w:lang w:eastAsia="zh-CN"/>
        </w:rPr>
        <w:t>北院区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南院区建筑防雷设施检测项目</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4</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Theme="minorEastAsia" w:hAnsiTheme="minorEastAsia" w:cstheme="minorEastAsia"/>
          <w:sz w:val="24"/>
          <w:szCs w:val="24"/>
          <w:lang w:val="en-US" w:eastAsia="zh-CN"/>
        </w:rPr>
        <w:t>2026年-2028年</w:t>
      </w:r>
      <w:r>
        <w:rPr>
          <w:rFonts w:hint="eastAsia" w:eastAsia="宋体" w:asciiTheme="minorEastAsia" w:hAnsiTheme="minorEastAsia" w:cstheme="minorEastAsia"/>
          <w:sz w:val="24"/>
          <w:szCs w:val="24"/>
          <w:lang w:eastAsia="zh-CN"/>
        </w:rPr>
        <w:t>北院区</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南院区建筑防雷设施检测项目</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人民币</w:t>
      </w:r>
      <w:r>
        <w:rPr>
          <w:rFonts w:hint="eastAsia" w:asciiTheme="minorEastAsia" w:hAnsiTheme="minorEastAsia" w:cstheme="minorEastAsia"/>
          <w:kern w:val="2"/>
          <w:sz w:val="24"/>
          <w:szCs w:val="24"/>
          <w:lang w:val="en-US" w:eastAsia="zh-CN" w:bidi="ar-SA"/>
        </w:rPr>
        <w:t>65,310.00</w:t>
      </w:r>
      <w:r>
        <w:rPr>
          <w:rFonts w:hint="eastAsia" w:eastAsia="宋体" w:asciiTheme="minorEastAsia" w:hAnsiTheme="minorEastAsia" w:cstheme="minorEastAsia"/>
          <w:kern w:val="2"/>
          <w:sz w:val="24"/>
          <w:szCs w:val="24"/>
          <w:lang w:val="en-US" w:eastAsia="zh-CN" w:bidi="ar-SA"/>
        </w:rPr>
        <w:t>元。</w:t>
      </w:r>
    </w:p>
    <w:p w14:paraId="32949670">
      <w:pPr>
        <w:pStyle w:val="5"/>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eastAsia="宋体" w:cs="宋体"/>
          <w:color w:val="auto"/>
          <w:sz w:val="24"/>
          <w:szCs w:val="24"/>
          <w:lang w:val="zh-CN" w:eastAsia="zh-CN"/>
        </w:rPr>
        <w:t>根据现行最新的《建筑物防雷设计规范》《建筑物防雷装置检测技术规范》等规范，对</w:t>
      </w:r>
      <w:r>
        <w:rPr>
          <w:rFonts w:hint="eastAsia" w:ascii="宋体" w:hAnsi="宋体" w:eastAsia="宋体" w:cs="宋体"/>
          <w:color w:val="auto"/>
          <w:sz w:val="24"/>
          <w:szCs w:val="24"/>
          <w:lang w:val="en-US" w:eastAsia="zh-CN"/>
        </w:rPr>
        <w:t>中山大学孙逸仙纪念医院</w:t>
      </w:r>
      <w:r>
        <w:rPr>
          <w:rFonts w:hint="eastAsia" w:ascii="宋体" w:hAnsi="宋体" w:eastAsia="宋体" w:cs="宋体"/>
          <w:color w:val="auto"/>
          <w:sz w:val="24"/>
          <w:szCs w:val="24"/>
          <w:lang w:val="zh-CN" w:eastAsia="zh-CN"/>
        </w:rPr>
        <w:t>北院区、南院区所在建筑的接闪器、接地装置、浪涌保护器（SPD）、等电位连接等防雷装置进行检测，并出具检测合格报告和定期检测合格登记证。</w:t>
      </w:r>
    </w:p>
    <w:p w14:paraId="1F7A7B8E">
      <w:pPr>
        <w:spacing w:line="500" w:lineRule="atLeast"/>
        <w:ind w:firstLine="480" w:firstLineChars="200"/>
        <w:rPr>
          <w:rFonts w:hint="eastAsia" w:eastAsia="宋体" w:asciiTheme="minorEastAsia" w:hAnsiTheme="minorEastAsia" w:cstheme="minorEastAsia"/>
          <w:color w:val="auto"/>
          <w:kern w:val="2"/>
          <w:sz w:val="24"/>
          <w:szCs w:val="24"/>
          <w:highlight w:val="none"/>
          <w:lang w:val="en-US" w:eastAsia="zh-CN" w:bidi="ar-SA"/>
        </w:rPr>
      </w:pPr>
      <w:r>
        <w:rPr>
          <w:rFonts w:hint="eastAsia" w:ascii="宋体" w:hAnsi="宋体" w:eastAsia="宋体" w:cs="宋体"/>
          <w:color w:val="auto"/>
          <w:sz w:val="24"/>
          <w:szCs w:val="24"/>
        </w:rPr>
        <w:t>具体要求</w:t>
      </w:r>
      <w:r>
        <w:rPr>
          <w:rFonts w:hint="eastAsia" w:ascii="宋体" w:hAnsi="宋体" w:eastAsia="宋体" w:cs="宋体"/>
          <w:color w:val="auto"/>
          <w:sz w:val="24"/>
          <w:szCs w:val="24"/>
          <w:lang w:val="zh-CN"/>
        </w:rPr>
        <w:t>详见</w:t>
      </w:r>
      <w:r>
        <w:rPr>
          <w:rFonts w:hint="eastAsia" w:ascii="宋体" w:hAnsi="宋体" w:eastAsia="宋体" w:cs="宋体"/>
          <w:color w:val="auto"/>
          <w:sz w:val="24"/>
          <w:szCs w:val="24"/>
          <w:highlight w:val="none"/>
          <w:lang w:val="zh-CN"/>
        </w:rPr>
        <w:t>附</w:t>
      </w:r>
      <w:r>
        <w:rPr>
          <w:rFonts w:hint="eastAsia" w:ascii="宋体" w:hAnsi="宋体" w:eastAsia="宋体" w:cs="宋体"/>
          <w:color w:val="auto"/>
          <w:sz w:val="24"/>
          <w:szCs w:val="24"/>
          <w:highlight w:val="none"/>
          <w:lang w:val="en-US" w:eastAsia="zh-CN"/>
        </w:rPr>
        <w:t>表工程量清单</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lang w:val="en-US" w:eastAsia="zh-CN"/>
        </w:rPr>
        <w:t>2026年-2028年北院区、南院区建筑防雷设施检测</w:t>
      </w:r>
      <w:r>
        <w:rPr>
          <w:rFonts w:hint="eastAsia" w:ascii="宋体" w:hAnsi="宋体" w:eastAsia="宋体" w:cs="宋体"/>
          <w:color w:val="auto"/>
          <w:sz w:val="24"/>
          <w:szCs w:val="24"/>
        </w:rPr>
        <w:t>项目</w:t>
      </w:r>
      <w:r>
        <w:rPr>
          <w:rFonts w:hint="eastAsia" w:ascii="宋体" w:hAnsi="宋体" w:eastAsia="宋体" w:cs="宋体"/>
          <w:color w:val="auto"/>
          <w:sz w:val="24"/>
          <w:szCs w:val="24"/>
          <w:lang w:val="zh-CN"/>
        </w:rPr>
        <w:t>工程量清单。</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Theme="minorEastAsia" w:hAnsiTheme="minorEastAsia" w:cstheme="minorEastAsia"/>
          <w:color w:val="auto"/>
          <w:kern w:val="2"/>
          <w:sz w:val="24"/>
          <w:szCs w:val="24"/>
          <w:highlight w:val="none"/>
          <w:lang w:val="en-US" w:eastAsia="zh-CN" w:bidi="ar-SA"/>
        </w:rPr>
        <w:t>合同签</w:t>
      </w:r>
      <w:r>
        <w:rPr>
          <w:rFonts w:hint="eastAsia" w:eastAsia="宋体" w:asciiTheme="minorEastAsia" w:hAnsiTheme="minorEastAsia" w:cstheme="minorEastAsia"/>
          <w:color w:val="auto"/>
          <w:kern w:val="2"/>
          <w:sz w:val="24"/>
          <w:szCs w:val="24"/>
          <w:highlight w:val="none"/>
          <w:lang w:val="en-US" w:eastAsia="zh-CN" w:bidi="ar-SA"/>
        </w:rPr>
        <w:t>订之日起</w:t>
      </w:r>
      <w:r>
        <w:rPr>
          <w:rFonts w:hint="eastAsia" w:asciiTheme="minorEastAsia" w:hAnsiTheme="minorEastAsia" w:cstheme="minorEastAsia"/>
          <w:color w:val="auto"/>
          <w:kern w:val="2"/>
          <w:sz w:val="24"/>
          <w:szCs w:val="24"/>
          <w:highlight w:val="none"/>
          <w:lang w:val="en-US" w:eastAsia="zh-CN" w:bidi="ar-SA"/>
        </w:rPr>
        <w:t>3年</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color w:val="auto"/>
          <w:sz w:val="24"/>
          <w:szCs w:val="24"/>
          <w:lang w:val="zh-CN"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、服务质量保证：供应商</w:t>
      </w:r>
      <w:r>
        <w:rPr>
          <w:rFonts w:hint="eastAsia" w:ascii="宋体" w:hAnsi="宋体" w:eastAsia="宋体" w:cs="宋体"/>
          <w:color w:val="auto"/>
          <w:sz w:val="24"/>
          <w:szCs w:val="24"/>
          <w:lang w:val="zh-CN" w:eastAsia="zh-CN"/>
        </w:rPr>
        <w:t>应确保其检测服务的专业性和准确性。若因</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出具的检测报告存在错误、遗漏或不符合国家及行业标准，导致</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lang w:val="zh-CN" w:eastAsia="zh-CN"/>
        </w:rPr>
        <w:t>建筑物在后续使用中因防雷设施问题遭受损失的，</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val="zh-CN" w:eastAsia="zh-CN"/>
        </w:rPr>
        <w:t>应承担相应的赔偿责任。</w:t>
      </w:r>
    </w:p>
    <w:p w14:paraId="1097FC68">
      <w:pPr>
        <w:spacing w:line="500" w:lineRule="atLeas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4、建筑物防雷类别为二类。</w:t>
      </w: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2、</w:t>
      </w: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w:t>
      </w:r>
      <w:r>
        <w:rPr>
          <w:rFonts w:hint="eastAsia" w:eastAsia="宋体" w:asciiTheme="minorEastAsia" w:hAnsiTheme="minorEastAsia" w:cstheme="minorEastAsia"/>
          <w:color w:val="auto"/>
          <w:sz w:val="24"/>
          <w:szCs w:val="24"/>
          <w:lang w:val="en-US" w:eastAsia="zh-CN"/>
        </w:rPr>
        <w:t>甲级，资质证书须在有效期内</w:t>
      </w:r>
      <w:r>
        <w:rPr>
          <w:rFonts w:hint="eastAsia" w:eastAsia="宋体" w:asciiTheme="minorEastAsia" w:hAnsiTheme="minorEastAsia" w:cstheme="minorEastAsia"/>
          <w:color w:val="auto"/>
          <w:sz w:val="24"/>
          <w:szCs w:val="24"/>
          <w:lang w:eastAsia="zh-CN"/>
        </w:rPr>
        <w:t>。</w:t>
      </w:r>
    </w:p>
    <w:p w14:paraId="4076460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3、自2023年1月1日起至今（以完成时间为准），须具备至少1个类似项目业绩</w:t>
      </w:r>
      <w:r>
        <w:rPr>
          <w:rFonts w:hint="eastAsia" w:eastAsia="宋体" w:asciiTheme="minorEastAsia" w:hAnsiTheme="minorEastAsia" w:cstheme="minorEastAsia"/>
          <w:color w:val="auto"/>
          <w:sz w:val="24"/>
          <w:szCs w:val="24"/>
          <w:lang w:eastAsia="zh-CN"/>
        </w:rPr>
        <w:t>。提供</w:t>
      </w:r>
      <w:r>
        <w:rPr>
          <w:rFonts w:hint="eastAsia" w:eastAsia="宋体" w:asciiTheme="minorEastAsia" w:hAnsiTheme="minorEastAsia" w:cstheme="minorEastAsia"/>
          <w:color w:val="auto"/>
          <w:sz w:val="24"/>
          <w:szCs w:val="24"/>
          <w:lang w:val="en-US" w:eastAsia="zh-CN"/>
        </w:rPr>
        <w:t>该业绩合同关键页</w:t>
      </w:r>
      <w:r>
        <w:rPr>
          <w:rFonts w:hint="eastAsia" w:eastAsia="宋体" w:asciiTheme="minorEastAsia" w:hAnsiTheme="minorEastAsia" w:cstheme="minorEastAsia"/>
          <w:color w:val="auto"/>
          <w:sz w:val="24"/>
          <w:szCs w:val="24"/>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60F139AA">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4</w:t>
      </w:r>
      <w:r>
        <w:rPr>
          <w:rFonts w:hint="eastAsia" w:eastAsia="宋体" w:asciiTheme="minorEastAsia" w:hAnsiTheme="minorEastAsia" w:cstheme="minorEastAsia"/>
          <w:color w:val="auto"/>
          <w:sz w:val="24"/>
          <w:szCs w:val="24"/>
          <w:lang w:val="en-US" w:eastAsia="zh-CN"/>
        </w:rPr>
        <w:t>、拟派项目负责人</w:t>
      </w:r>
      <w:r>
        <w:rPr>
          <w:rFonts w:hint="eastAsia" w:eastAsia="宋体" w:asciiTheme="minorEastAsia" w:hAnsiTheme="minorEastAsia" w:cstheme="minorEastAsia"/>
          <w:color w:val="auto"/>
          <w:sz w:val="24"/>
          <w:szCs w:val="24"/>
        </w:rPr>
        <w:t>必须持有</w:t>
      </w:r>
      <w:r>
        <w:rPr>
          <w:rFonts w:hint="default" w:eastAsia="宋体" w:asciiTheme="minorEastAsia" w:hAnsiTheme="minorEastAsia" w:cstheme="minorEastAsia"/>
          <w:color w:val="auto"/>
          <w:sz w:val="24"/>
          <w:szCs w:val="24"/>
        </w:rPr>
        <w:t>广东省气象学会颁发的《防雷装置检测能力评价证书》（或国家级同等效力证书）。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83106D5">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r>
        <w:rPr>
          <w:rFonts w:hint="eastAsia" w:eastAsia="宋体" w:asciiTheme="minorEastAsia" w:hAnsiTheme="minorEastAsia" w:cstheme="minorEastAsia"/>
          <w:color w:val="auto"/>
          <w:sz w:val="24"/>
          <w:szCs w:val="24"/>
          <w:lang w:val="en-US" w:eastAsia="zh-CN"/>
        </w:rPr>
        <w:t>、若供应商为广东省外的企业，须提供在项目所在地省级气象主管机构的信息登记或备案证明。</w:t>
      </w: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yellow"/>
          <w:lang w:val="en-US" w:eastAsia="zh-CN" w:bidi="ar-SA"/>
        </w:rPr>
        <w:t>2026年8</w:t>
      </w:r>
      <w:r>
        <w:rPr>
          <w:rFonts w:hint="eastAsia" w:ascii="宋体" w:hAnsi="宋体" w:eastAsia="宋体" w:cs="宋体"/>
          <w:color w:val="0000FF"/>
          <w:kern w:val="2"/>
          <w:sz w:val="24"/>
          <w:szCs w:val="24"/>
          <w:highlight w:val="yellow"/>
          <w:lang w:val="en-US" w:eastAsia="zh-CN" w:bidi="ar-SA"/>
        </w:rPr>
        <w:t>月</w:t>
      </w:r>
      <w:r>
        <w:rPr>
          <w:rFonts w:hint="eastAsia" w:ascii="宋体" w:hAnsi="宋体" w:cs="宋体"/>
          <w:color w:val="0000FF"/>
          <w:kern w:val="2"/>
          <w:sz w:val="24"/>
          <w:szCs w:val="24"/>
          <w:highlight w:val="yellow"/>
          <w:lang w:val="en-US" w:eastAsia="zh-CN" w:bidi="ar-SA"/>
        </w:rPr>
        <w:t>3</w:t>
      </w:r>
      <w:r>
        <w:rPr>
          <w:rFonts w:hint="eastAsia" w:ascii="宋体" w:hAnsi="宋体" w:eastAsia="宋体" w:cs="宋体"/>
          <w:color w:val="0000FF"/>
          <w:kern w:val="2"/>
          <w:sz w:val="24"/>
          <w:szCs w:val="24"/>
          <w:highlight w:val="yellow"/>
          <w:lang w:val="en-US" w:eastAsia="zh-CN" w:bidi="ar-SA"/>
        </w:rPr>
        <w:t>日1</w:t>
      </w:r>
      <w:r>
        <w:rPr>
          <w:rFonts w:hint="eastAsia" w:ascii="宋体" w:hAnsi="宋体" w:cs="宋体"/>
          <w:color w:val="0000FF"/>
          <w:kern w:val="2"/>
          <w:sz w:val="24"/>
          <w:szCs w:val="24"/>
          <w:highlight w:val="yellow"/>
          <w:lang w:val="en-US" w:eastAsia="zh-CN" w:bidi="ar-SA"/>
        </w:rPr>
        <w:t>7</w:t>
      </w:r>
      <w:r>
        <w:rPr>
          <w:rFonts w:hint="eastAsia" w:ascii="宋体" w:hAnsi="宋体" w:eastAsia="宋体" w:cs="宋体"/>
          <w:color w:val="0000FF"/>
          <w:kern w:val="2"/>
          <w:sz w:val="24"/>
          <w:szCs w:val="24"/>
          <w:highlight w:val="yellow"/>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w:t>
      </w:r>
      <w:r>
        <w:rPr>
          <w:rFonts w:hint="eastAsia" w:ascii="宋体" w:hAnsi="宋体" w:eastAsia="宋体" w:cs="宋体"/>
          <w:color w:val="0000FF"/>
          <w:kern w:val="2"/>
          <w:sz w:val="24"/>
          <w:szCs w:val="24"/>
          <w:highlight w:val="yellow"/>
          <w:lang w:val="en-US" w:eastAsia="zh-CN" w:bidi="ar-SA"/>
        </w:rPr>
        <w:t>202</w:t>
      </w:r>
      <w:r>
        <w:rPr>
          <w:rFonts w:hint="eastAsia" w:ascii="宋体" w:hAnsi="宋体" w:cs="宋体"/>
          <w:color w:val="0000FF"/>
          <w:kern w:val="2"/>
          <w:sz w:val="24"/>
          <w:szCs w:val="24"/>
          <w:highlight w:val="yellow"/>
          <w:lang w:val="en-US" w:eastAsia="zh-CN" w:bidi="ar-SA"/>
        </w:rPr>
        <w:t>6</w:t>
      </w:r>
      <w:r>
        <w:rPr>
          <w:rFonts w:hint="eastAsia" w:ascii="宋体" w:hAnsi="宋体" w:eastAsia="宋体" w:cs="宋体"/>
          <w:color w:val="0000FF"/>
          <w:kern w:val="2"/>
          <w:sz w:val="24"/>
          <w:szCs w:val="24"/>
          <w:highlight w:val="yellow"/>
          <w:lang w:val="en-US" w:eastAsia="zh-CN" w:bidi="ar-SA"/>
        </w:rPr>
        <w:t>年</w:t>
      </w:r>
      <w:r>
        <w:rPr>
          <w:rFonts w:hint="eastAsia" w:ascii="宋体" w:hAnsi="宋体" w:cs="宋体"/>
          <w:color w:val="0000FF"/>
          <w:kern w:val="2"/>
          <w:sz w:val="24"/>
          <w:szCs w:val="24"/>
          <w:highlight w:val="yellow"/>
          <w:lang w:val="en-US" w:eastAsia="zh-CN" w:bidi="ar-SA"/>
        </w:rPr>
        <w:t>8</w:t>
      </w:r>
      <w:r>
        <w:rPr>
          <w:rFonts w:hint="eastAsia" w:ascii="宋体" w:hAnsi="宋体" w:eastAsia="宋体" w:cs="宋体"/>
          <w:color w:val="0000FF"/>
          <w:kern w:val="2"/>
          <w:sz w:val="24"/>
          <w:szCs w:val="24"/>
          <w:highlight w:val="yellow"/>
          <w:lang w:val="en-US" w:eastAsia="zh-CN" w:bidi="ar-SA"/>
        </w:rPr>
        <w:t>月</w:t>
      </w:r>
      <w:r>
        <w:rPr>
          <w:rFonts w:hint="eastAsia" w:ascii="宋体" w:hAnsi="宋体" w:cs="宋体"/>
          <w:color w:val="0000FF"/>
          <w:kern w:val="2"/>
          <w:sz w:val="24"/>
          <w:szCs w:val="24"/>
          <w:highlight w:val="yellow"/>
          <w:lang w:val="en-US" w:eastAsia="zh-CN" w:bidi="ar-SA"/>
        </w:rPr>
        <w:t>6</w:t>
      </w:r>
      <w:r>
        <w:rPr>
          <w:rFonts w:hint="eastAsia" w:ascii="宋体" w:hAnsi="宋体" w:eastAsia="宋体" w:cs="宋体"/>
          <w:color w:val="0000FF"/>
          <w:kern w:val="2"/>
          <w:sz w:val="24"/>
          <w:szCs w:val="24"/>
          <w:highlight w:val="yellow"/>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采购人恕不接受供应商逾期送达或不符合规定的响应文件。所有递交的材料均不予退还。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w:t>
      </w:r>
      <w:r>
        <w:rPr>
          <w:rFonts w:hint="eastAsia" w:ascii="宋体" w:hAnsi="宋体" w:cs="宋体"/>
          <w:color w:val="auto"/>
          <w:kern w:val="2"/>
          <w:sz w:val="24"/>
          <w:szCs w:val="24"/>
          <w:highlight w:val="none"/>
          <w:lang w:val="en-US" w:eastAsia="zh-CN" w:bidi="ar-SA"/>
        </w:rPr>
        <w:t>响应</w:t>
      </w:r>
      <w:r>
        <w:rPr>
          <w:rFonts w:hint="eastAsia" w:ascii="宋体" w:hAnsi="宋体" w:eastAsia="宋体" w:cs="宋体"/>
          <w:color w:val="auto"/>
          <w:kern w:val="2"/>
          <w:sz w:val="24"/>
          <w:szCs w:val="24"/>
          <w:highlight w:val="none"/>
          <w:lang w:val="en-US" w:eastAsia="zh-CN" w:bidi="ar-SA"/>
        </w:rPr>
        <w:t>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7</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27</w:t>
      </w:r>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3"/>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6547"/>
      <w:bookmarkStart w:id="2" w:name="_Toc28703"/>
      <w:bookmarkStart w:id="3" w:name="_Toc3471"/>
      <w:bookmarkStart w:id="4" w:name="_Toc26267"/>
      <w:bookmarkStart w:id="5" w:name="_Toc7291"/>
      <w:bookmarkStart w:id="6" w:name="_Toc21249"/>
      <w:bookmarkStart w:id="7" w:name="_Toc11075"/>
      <w:bookmarkStart w:id="8" w:name="_Toc15870"/>
      <w:bookmarkStart w:id="9" w:name="_Toc435"/>
      <w:bookmarkStart w:id="10" w:name="_Toc40346375"/>
      <w:bookmarkStart w:id="11" w:name="_Toc12520"/>
      <w:bookmarkStart w:id="12" w:name="_Toc11305"/>
      <w:bookmarkStart w:id="13" w:name="_Toc1994"/>
      <w:bookmarkStart w:id="14" w:name="_Toc29113"/>
      <w:bookmarkStart w:id="15" w:name="_Toc40346216"/>
      <w:bookmarkStart w:id="16" w:name="_Toc8364"/>
      <w:bookmarkStart w:id="17" w:name="_Toc40776111"/>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3"/>
        <w:ind w:left="0" w:leftChars="0" w:firstLine="637" w:firstLineChars="177"/>
        <w:jc w:val="left"/>
        <w:rPr>
          <w:rFonts w:hint="eastAsia" w:ascii="宋体" w:hAnsi="宋体" w:eastAsia="宋体" w:cs="宋体"/>
          <w:b w:val="0"/>
          <w:bCs w:val="0"/>
          <w:sz w:val="36"/>
          <w:szCs w:val="36"/>
          <w:lang w:eastAsia="zh-CN"/>
        </w:rPr>
      </w:pPr>
    </w:p>
    <w:p w14:paraId="22A83F7A">
      <w:pPr>
        <w:pStyle w:val="3"/>
        <w:ind w:left="0" w:leftChars="0" w:firstLine="637" w:firstLineChars="177"/>
        <w:jc w:val="left"/>
        <w:rPr>
          <w:rFonts w:hint="eastAsia" w:ascii="宋体" w:hAnsi="宋体" w:eastAsia="宋体" w:cs="宋体"/>
          <w:b w:val="0"/>
          <w:bCs w:val="0"/>
          <w:sz w:val="36"/>
          <w:szCs w:val="36"/>
          <w:lang w:eastAsia="zh-CN"/>
        </w:rPr>
      </w:pPr>
    </w:p>
    <w:p w14:paraId="6644A133">
      <w:pPr>
        <w:pStyle w:val="3"/>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27997"/>
      <w:bookmarkStart w:id="19" w:name="_Toc17709"/>
      <w:bookmarkStart w:id="20" w:name="_Toc23097"/>
      <w:bookmarkStart w:id="21" w:name="_Toc40346217"/>
      <w:bookmarkStart w:id="22" w:name="_Toc40346376"/>
      <w:bookmarkStart w:id="23" w:name="_Toc30979"/>
      <w:bookmarkStart w:id="24" w:name="_Toc1743"/>
      <w:bookmarkStart w:id="25" w:name="_Toc2012"/>
      <w:bookmarkStart w:id="26" w:name="_Toc31538"/>
      <w:bookmarkStart w:id="27" w:name="_Toc5238"/>
      <w:bookmarkStart w:id="28" w:name="_Toc11485"/>
      <w:bookmarkStart w:id="29" w:name="_Toc40776112"/>
      <w:bookmarkStart w:id="30" w:name="_Toc2029"/>
      <w:bookmarkStart w:id="31" w:name="_Toc2916"/>
      <w:bookmarkStart w:id="32" w:name="_Toc19699"/>
      <w:bookmarkStart w:id="33" w:name="_Toc20884"/>
      <w:bookmarkStart w:id="34" w:name="_Toc29102"/>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1141"/>
      <w:bookmarkStart w:id="36" w:name="_Toc27867"/>
      <w:bookmarkStart w:id="37" w:name="_Toc29767"/>
      <w:bookmarkStart w:id="38" w:name="_Toc24763"/>
      <w:bookmarkStart w:id="39" w:name="_Toc16794"/>
      <w:bookmarkStart w:id="40" w:name="_Toc21483"/>
      <w:bookmarkStart w:id="41" w:name="_Toc14824"/>
      <w:bookmarkStart w:id="42" w:name="_Toc11558"/>
      <w:bookmarkStart w:id="43" w:name="_Toc40346377"/>
      <w:bookmarkStart w:id="44" w:name="_Toc40346218"/>
      <w:bookmarkStart w:id="45" w:name="_Toc17930"/>
      <w:bookmarkStart w:id="46" w:name="_Toc4013"/>
      <w:bookmarkStart w:id="47" w:name="_Toc28064"/>
      <w:bookmarkStart w:id="48" w:name="_Toc7052"/>
      <w:bookmarkStart w:id="49" w:name="_Toc31993"/>
      <w:bookmarkStart w:id="50" w:name="_Toc40776113"/>
      <w:bookmarkStart w:id="51" w:name="_Toc12645"/>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40346378"/>
      <w:bookmarkStart w:id="53" w:name="_Toc24651"/>
      <w:bookmarkStart w:id="54" w:name="_Toc17537"/>
      <w:bookmarkStart w:id="55" w:name="_Toc19831"/>
      <w:bookmarkStart w:id="56" w:name="_Toc11334"/>
      <w:bookmarkStart w:id="57" w:name="_Toc6438"/>
      <w:bookmarkStart w:id="58" w:name="_Toc32709"/>
      <w:bookmarkStart w:id="59" w:name="_Toc31197"/>
      <w:bookmarkStart w:id="60" w:name="_Toc16813"/>
      <w:bookmarkStart w:id="61" w:name="_Toc27771"/>
      <w:bookmarkStart w:id="62" w:name="_Toc1324"/>
      <w:bookmarkStart w:id="63" w:name="_Toc9883"/>
      <w:bookmarkStart w:id="64" w:name="_Toc4563"/>
      <w:bookmarkStart w:id="65" w:name="_Toc40776114"/>
      <w:bookmarkStart w:id="66" w:name="_Toc40346219"/>
      <w:bookmarkStart w:id="67" w:name="_Toc26029"/>
      <w:bookmarkStart w:id="68" w:name="_Toc14287"/>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18353"/>
      <w:bookmarkStart w:id="70" w:name="_Toc40346379"/>
      <w:bookmarkStart w:id="71" w:name="_Toc5189"/>
      <w:bookmarkStart w:id="72" w:name="_Toc30336"/>
      <w:bookmarkStart w:id="73" w:name="_Toc12650"/>
      <w:bookmarkStart w:id="74" w:name="_Toc3895"/>
      <w:bookmarkStart w:id="75" w:name="_Toc14586"/>
      <w:bookmarkStart w:id="76" w:name="_Toc5634"/>
      <w:bookmarkStart w:id="77" w:name="_Toc27206"/>
      <w:bookmarkStart w:id="78" w:name="_Toc13222"/>
      <w:bookmarkStart w:id="79" w:name="_Toc21686"/>
      <w:bookmarkStart w:id="80" w:name="_Toc40346220"/>
      <w:bookmarkStart w:id="81" w:name="_Toc21940"/>
      <w:bookmarkStart w:id="82" w:name="_Toc27868"/>
      <w:bookmarkStart w:id="83" w:name="_Toc20994"/>
      <w:bookmarkStart w:id="84" w:name="_Toc40776115"/>
      <w:bookmarkStart w:id="85" w:name="_Toc17483"/>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30856"/>
      <w:bookmarkStart w:id="87" w:name="_Toc12127"/>
      <w:bookmarkStart w:id="88" w:name="_Toc14462"/>
      <w:bookmarkStart w:id="89" w:name="_Toc11547"/>
      <w:bookmarkStart w:id="90" w:name="_Toc10454"/>
      <w:bookmarkStart w:id="91" w:name="_Toc32371"/>
      <w:bookmarkStart w:id="92" w:name="_Toc21449"/>
      <w:bookmarkStart w:id="93" w:name="_Toc5220"/>
      <w:bookmarkStart w:id="94" w:name="_Toc40776116"/>
      <w:bookmarkStart w:id="95" w:name="_Toc9282"/>
      <w:bookmarkStart w:id="96" w:name="_Toc40346221"/>
      <w:bookmarkStart w:id="97" w:name="_Toc30904"/>
      <w:bookmarkStart w:id="98" w:name="_Toc27646"/>
      <w:bookmarkStart w:id="99" w:name="_Toc27009"/>
      <w:bookmarkStart w:id="100" w:name="_Toc3498"/>
      <w:bookmarkStart w:id="101" w:name="_Toc40346380"/>
      <w:bookmarkStart w:id="102" w:name="_Toc8526"/>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
        <w:ind w:firstLine="400"/>
      </w:pPr>
    </w:p>
    <w:p w14:paraId="5EA99B4F">
      <w:pPr>
        <w:pStyle w:val="2"/>
        <w:ind w:firstLine="400"/>
      </w:pPr>
    </w:p>
    <w:p w14:paraId="273253B2">
      <w:pPr>
        <w:pStyle w:val="2"/>
        <w:ind w:firstLine="400"/>
      </w:pPr>
    </w:p>
    <w:p w14:paraId="7AC80C17">
      <w:pPr>
        <w:pStyle w:val="2"/>
        <w:ind w:firstLine="400"/>
      </w:pPr>
    </w:p>
    <w:p w14:paraId="3C9C888B">
      <w:pPr>
        <w:pStyle w:val="2"/>
        <w:ind w:firstLine="400"/>
      </w:pPr>
    </w:p>
    <w:p w14:paraId="2200D5B6">
      <w:pPr>
        <w:pStyle w:val="2"/>
        <w:ind w:firstLine="400"/>
      </w:pPr>
    </w:p>
    <w:p w14:paraId="54A36C62">
      <w:pPr>
        <w:pStyle w:val="2"/>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31077"/>
      <w:bookmarkStart w:id="104" w:name="_Toc16728"/>
      <w:bookmarkStart w:id="105" w:name="_Toc28747"/>
      <w:bookmarkStart w:id="106" w:name="_Toc21213"/>
      <w:bookmarkStart w:id="107" w:name="_Toc15539"/>
      <w:bookmarkStart w:id="108" w:name="_Toc6691"/>
      <w:bookmarkStart w:id="109" w:name="_Toc8637"/>
      <w:bookmarkStart w:id="110" w:name="_Toc16608"/>
      <w:bookmarkStart w:id="111" w:name="_Toc10399"/>
      <w:bookmarkStart w:id="112" w:name="_Toc9697"/>
      <w:bookmarkStart w:id="113" w:name="_Toc13184"/>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w:t>
      </w:r>
      <w:bookmarkStart w:id="114" w:name="_GoBack"/>
      <w:r>
        <w:rPr>
          <w:rFonts w:hint="eastAsia" w:eastAsia="宋体" w:asciiTheme="minorEastAsia" w:hAnsiTheme="minorEastAsia" w:cstheme="minorEastAsia"/>
          <w:color w:val="auto"/>
          <w:sz w:val="24"/>
          <w:szCs w:val="24"/>
        </w:rPr>
        <w:t>印件。</w:t>
      </w:r>
    </w:p>
    <w:bookmarkEnd w:id="114"/>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
        <w:ind w:firstLine="400"/>
      </w:pPr>
    </w:p>
    <w:p w14:paraId="7CA4C918">
      <w:pPr>
        <w:pStyle w:val="2"/>
        <w:ind w:firstLine="400"/>
      </w:pPr>
    </w:p>
    <w:p w14:paraId="15447D1D">
      <w:pPr>
        <w:pStyle w:val="2"/>
        <w:ind w:firstLine="400"/>
      </w:pPr>
    </w:p>
    <w:p w14:paraId="7C7D50C2">
      <w:pPr>
        <w:pStyle w:val="3"/>
        <w:spacing w:line="360" w:lineRule="auto"/>
        <w:rPr>
          <w:rFonts w:hint="eastAsia" w:ascii="微软雅黑" w:hAnsi="微软雅黑" w:eastAsia="微软雅黑" w:cs="微软雅黑"/>
          <w:color w:val="auto"/>
        </w:rPr>
      </w:pPr>
    </w:p>
    <w:p w14:paraId="1457831C">
      <w:pP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28"/>
          <w:szCs w:val="28"/>
          <w:lang w:val="en-US" w:eastAsia="zh-CN" w:bidi="ar-SA"/>
          <w14:textFill>
            <w14:solidFill>
              <w14:schemeClr w14:val="tx1"/>
            </w14:solidFill>
          </w14:textFill>
        </w:rPr>
        <w:t>二</w:t>
      </w: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w:t>
      </w:r>
      <w:r>
        <w:rPr>
          <w:rFonts w:hint="eastAsia" w:ascii="宋体" w:hAnsi="宋体" w:cs="宋体"/>
          <w:b/>
          <w:bCs/>
          <w:color w:val="000000" w:themeColor="text1"/>
          <w:kern w:val="0"/>
          <w:sz w:val="28"/>
          <w:szCs w:val="28"/>
          <w:lang w:val="en-US" w:eastAsia="zh-CN" w:bidi="ar-SA"/>
          <w14:textFill>
            <w14:solidFill>
              <w14:schemeClr w14:val="tx1"/>
            </w14:solidFill>
          </w14:textFill>
        </w:rPr>
        <w:t>供应商</w:t>
      </w: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资质</w:t>
      </w:r>
    </w:p>
    <w:p w14:paraId="4CD9F445">
      <w:pPr>
        <w:rPr>
          <w:rFonts w:hint="eastAsia" w:ascii="宋体" w:hAnsi="宋体" w:eastAsia="宋体" w:cs="宋体"/>
          <w:color w:val="auto"/>
          <w:kern w:val="2"/>
          <w:sz w:val="24"/>
          <w:szCs w:val="24"/>
          <w:lang w:val="en-US" w:eastAsia="zh-CN" w:bidi="ar-SA"/>
        </w:rPr>
      </w:pPr>
      <w:r>
        <w:rPr>
          <w:rFonts w:hint="eastAsia" w:ascii="宋体" w:hAnsi="宋体"/>
          <w:bCs/>
          <w:sz w:val="24"/>
          <w:lang w:eastAsia="zh-CN"/>
        </w:rPr>
        <w:t>注：</w:t>
      </w: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雷电防护装置检测资质甲级，资质证书须在有效期内</w:t>
      </w:r>
      <w:r>
        <w:rPr>
          <w:rFonts w:hint="eastAsia" w:asciiTheme="minorEastAsia" w:hAnsiTheme="minorEastAsia" w:cstheme="minorEastAsia"/>
          <w:color w:val="auto"/>
          <w:sz w:val="24"/>
          <w:szCs w:val="24"/>
          <w:lang w:eastAsia="zh-CN"/>
        </w:rPr>
        <w:t>。</w:t>
      </w:r>
    </w:p>
    <w:p w14:paraId="7F20AB07">
      <w:pPr>
        <w:pStyle w:val="43"/>
        <w:tabs>
          <w:tab w:val="left" w:pos="1050"/>
          <w:tab w:val="center" w:pos="4535"/>
        </w:tabs>
        <w:spacing w:line="360" w:lineRule="auto"/>
        <w:jc w:val="center"/>
        <w:outlineLvl w:val="0"/>
        <w:rPr>
          <w:b/>
          <w:bCs/>
          <w:sz w:val="32"/>
          <w:szCs w:val="32"/>
        </w:rPr>
      </w:pPr>
    </w:p>
    <w:p w14:paraId="0F035B96"/>
    <w:p w14:paraId="0EF4A732"/>
    <w:p w14:paraId="1F911949">
      <w:pPr>
        <w:pStyle w:val="20"/>
      </w:pPr>
    </w:p>
    <w:p w14:paraId="0F33CF75"/>
    <w:p w14:paraId="48B2C8CF">
      <w:pPr>
        <w:rPr>
          <w:rFonts w:ascii="宋体" w:hAnsi="宋体" w:cs="宋体"/>
          <w:b/>
          <w:sz w:val="24"/>
        </w:rPr>
      </w:pPr>
    </w:p>
    <w:p w14:paraId="54E4E94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B3E224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D2CB45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5C9132">
      <w:pPr>
        <w:pStyle w:val="2"/>
        <w:ind w:firstLine="400"/>
      </w:pPr>
    </w:p>
    <w:p w14:paraId="4F2743F0">
      <w:pPr>
        <w:rPr>
          <w:rFonts w:hint="eastAsia" w:ascii="宋体" w:hAnsi="宋体" w:eastAsia="宋体" w:cs="宋体"/>
          <w:color w:val="auto"/>
          <w:kern w:val="2"/>
          <w:sz w:val="24"/>
          <w:szCs w:val="24"/>
          <w:lang w:val="en-US" w:eastAsia="zh-CN" w:bidi="ar-SA"/>
        </w:rPr>
      </w:pPr>
    </w:p>
    <w:p w14:paraId="621621CE">
      <w:pPr>
        <w:rPr>
          <w:rFonts w:hint="eastAsia" w:ascii="宋体" w:hAnsi="宋体" w:eastAsia="宋体" w:cs="宋体"/>
          <w:color w:val="auto"/>
          <w:kern w:val="2"/>
          <w:sz w:val="24"/>
          <w:szCs w:val="24"/>
          <w:lang w:val="en-US" w:eastAsia="zh-CN" w:bidi="ar-SA"/>
        </w:rPr>
      </w:pPr>
    </w:p>
    <w:p w14:paraId="35B7E621">
      <w:pPr>
        <w:pStyle w:val="2"/>
        <w:rPr>
          <w:rFonts w:hint="eastAsia" w:ascii="宋体" w:hAnsi="宋体" w:eastAsia="宋体" w:cs="宋体"/>
          <w:color w:val="auto"/>
          <w:kern w:val="2"/>
          <w:sz w:val="24"/>
          <w:szCs w:val="24"/>
          <w:lang w:val="en-US" w:eastAsia="zh-CN" w:bidi="ar-SA"/>
        </w:rPr>
      </w:pPr>
    </w:p>
    <w:p w14:paraId="459B48E9">
      <w:pP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28"/>
          <w:szCs w:val="28"/>
          <w:lang w:val="en-US" w:eastAsia="zh-CN" w:bidi="ar-SA"/>
          <w14:textFill>
            <w14:solidFill>
              <w14:schemeClr w14:val="tx1"/>
            </w14:solidFill>
          </w14:textFill>
        </w:rPr>
        <w:t>三、类似项目业绩</w:t>
      </w:r>
    </w:p>
    <w:p w14:paraId="5B06EA78">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7CE3A2CF">
      <w:pPr>
        <w:pStyle w:val="2"/>
        <w:rPr>
          <w:rFonts w:hint="eastAsia" w:eastAsia="宋体" w:asciiTheme="minorEastAsia" w:hAnsiTheme="minorEastAsia" w:cstheme="minorEastAsia"/>
          <w:color w:val="auto"/>
          <w:sz w:val="24"/>
          <w:szCs w:val="24"/>
          <w:lang w:val="en-US" w:eastAsia="zh-CN"/>
        </w:rPr>
      </w:pPr>
    </w:p>
    <w:p w14:paraId="2AEA3FF9">
      <w:pPr>
        <w:pStyle w:val="2"/>
        <w:rPr>
          <w:rFonts w:hint="eastAsia" w:eastAsia="宋体" w:asciiTheme="minorEastAsia" w:hAnsiTheme="minorEastAsia" w:cstheme="minorEastAsia"/>
          <w:color w:val="auto"/>
          <w:sz w:val="24"/>
          <w:szCs w:val="24"/>
          <w:lang w:val="en-US" w:eastAsia="zh-CN"/>
        </w:rPr>
      </w:pPr>
    </w:p>
    <w:p w14:paraId="0BD321F9">
      <w:pPr>
        <w:pStyle w:val="2"/>
        <w:rPr>
          <w:rFonts w:hint="eastAsia" w:eastAsia="宋体" w:asciiTheme="minorEastAsia" w:hAnsiTheme="minorEastAsia" w:cstheme="minorEastAsia"/>
          <w:color w:val="auto"/>
          <w:sz w:val="24"/>
          <w:szCs w:val="24"/>
          <w:lang w:val="en-US" w:eastAsia="zh-CN"/>
        </w:rPr>
      </w:pPr>
    </w:p>
    <w:p w14:paraId="128B7E21">
      <w:pPr>
        <w:pStyle w:val="2"/>
        <w:rPr>
          <w:rFonts w:hint="eastAsia" w:eastAsia="宋体" w:asciiTheme="minorEastAsia" w:hAnsiTheme="minorEastAsia" w:cstheme="minorEastAsia"/>
          <w:color w:val="auto"/>
          <w:sz w:val="24"/>
          <w:szCs w:val="24"/>
          <w:lang w:val="en-US" w:eastAsia="zh-CN"/>
        </w:rPr>
      </w:pPr>
    </w:p>
    <w:p w14:paraId="59D52049">
      <w:pPr>
        <w:pStyle w:val="2"/>
        <w:rPr>
          <w:rFonts w:hint="eastAsia" w:eastAsia="宋体" w:asciiTheme="minorEastAsia" w:hAnsiTheme="minorEastAsia" w:cstheme="minorEastAsia"/>
          <w:color w:val="auto"/>
          <w:sz w:val="24"/>
          <w:szCs w:val="24"/>
          <w:lang w:val="en-US" w:eastAsia="zh-CN"/>
        </w:rPr>
      </w:pPr>
    </w:p>
    <w:p w14:paraId="2F42D5E9">
      <w:pPr>
        <w:pStyle w:val="2"/>
        <w:rPr>
          <w:rFonts w:hint="eastAsia" w:eastAsia="宋体" w:asciiTheme="minorEastAsia" w:hAnsiTheme="minorEastAsia" w:cstheme="minorEastAsia"/>
          <w:color w:val="auto"/>
          <w:sz w:val="24"/>
          <w:szCs w:val="24"/>
          <w:lang w:val="en-US" w:eastAsia="zh-CN"/>
        </w:rPr>
      </w:pPr>
    </w:p>
    <w:p w14:paraId="6BAFCC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3CDCC3E">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8086009">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6EC2CAE">
      <w:pPr>
        <w:pStyle w:val="2"/>
        <w:ind w:firstLine="3600" w:firstLineChars="1500"/>
        <w:rPr>
          <w:rFonts w:hint="eastAsia" w:ascii="宋体" w:hAnsi="宋体" w:cs="宋体"/>
          <w:color w:val="000000" w:themeColor="text1"/>
          <w:sz w:val="24"/>
          <w14:textFill>
            <w14:solidFill>
              <w14:schemeClr w14:val="tx1"/>
            </w14:solidFill>
          </w14:textFill>
        </w:rPr>
      </w:pPr>
    </w:p>
    <w:p w14:paraId="7C97342C">
      <w:pPr>
        <w:pStyle w:val="2"/>
        <w:rPr>
          <w:rFonts w:hint="eastAsia" w:eastAsia="宋体" w:asciiTheme="minorEastAsia" w:hAnsiTheme="minorEastAsia" w:cstheme="minorEastAsia"/>
          <w:color w:val="auto"/>
          <w:sz w:val="24"/>
          <w:szCs w:val="24"/>
          <w:lang w:val="en-US" w:eastAsia="zh-CN"/>
        </w:rPr>
      </w:pPr>
    </w:p>
    <w:p w14:paraId="7AA00B7C">
      <w:pPr>
        <w:pStyle w:val="2"/>
        <w:rPr>
          <w:rFonts w:hint="eastAsia" w:eastAsia="宋体" w:asciiTheme="minorEastAsia" w:hAnsiTheme="minorEastAsia" w:cstheme="minorEastAsia"/>
          <w:color w:val="auto"/>
          <w:sz w:val="24"/>
          <w:szCs w:val="24"/>
          <w:lang w:val="en-US" w:eastAsia="zh-CN"/>
        </w:rPr>
      </w:pPr>
    </w:p>
    <w:p w14:paraId="48044863">
      <w:pPr>
        <w:pStyle w:val="2"/>
        <w:rPr>
          <w:rFonts w:hint="eastAsia" w:eastAsia="宋体" w:asciiTheme="minorEastAsia" w:hAnsiTheme="minorEastAsia" w:cstheme="minorEastAsia"/>
          <w:color w:val="auto"/>
          <w:sz w:val="24"/>
          <w:szCs w:val="24"/>
          <w:lang w:val="en-US" w:eastAsia="zh-CN"/>
        </w:rPr>
      </w:pPr>
    </w:p>
    <w:p w14:paraId="470CED58">
      <w:pPr>
        <w:pStyle w:val="2"/>
        <w:rPr>
          <w:rFonts w:hint="eastAsia" w:eastAsia="宋体" w:asciiTheme="minorEastAsia" w:hAnsiTheme="minorEastAsia" w:cstheme="minorEastAsia"/>
          <w:color w:val="auto"/>
          <w:sz w:val="24"/>
          <w:szCs w:val="24"/>
          <w:lang w:val="en-US" w:eastAsia="zh-CN"/>
        </w:rPr>
      </w:pPr>
    </w:p>
    <w:p w14:paraId="3109986A">
      <w:pPr>
        <w:rPr>
          <w:rFonts w:hint="default"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28"/>
          <w:szCs w:val="28"/>
          <w:lang w:val="en-US" w:eastAsia="zh-CN" w:bidi="ar-SA"/>
          <w14:textFill>
            <w14:solidFill>
              <w14:schemeClr w14:val="tx1"/>
            </w14:solidFill>
          </w14:textFill>
        </w:rPr>
        <w:t>四、项目负责人资格</w:t>
      </w:r>
    </w:p>
    <w:p w14:paraId="351EF8FD">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highlight w:val="none"/>
          <w:lang w:val="en-US" w:eastAsia="zh-CN"/>
        </w:rPr>
        <w:t>拟派</w:t>
      </w:r>
      <w:r>
        <w:rPr>
          <w:rFonts w:hint="eastAsia" w:ascii="Segoe UI" w:hAnsi="Segoe UI" w:eastAsia="宋体" w:cs="Segoe UI"/>
          <w:i w:val="0"/>
          <w:iCs w:val="0"/>
          <w:caps w:val="0"/>
          <w:color w:val="0F1115"/>
          <w:spacing w:val="0"/>
          <w:sz w:val="24"/>
          <w:szCs w:val="24"/>
          <w:highlight w:val="none"/>
          <w:shd w:val="clear" w:fill="FFFFFF"/>
          <w:lang w:val="en-US" w:eastAsia="zh-CN"/>
        </w:rPr>
        <w:t>项目负责人</w:t>
      </w:r>
      <w:r>
        <w:rPr>
          <w:rFonts w:ascii="Segoe UI" w:hAnsi="Segoe UI" w:eastAsia="Segoe UI" w:cs="Segoe UI"/>
          <w:i w:val="0"/>
          <w:iCs w:val="0"/>
          <w:caps w:val="0"/>
          <w:color w:val="0F1115"/>
          <w:spacing w:val="0"/>
          <w:sz w:val="24"/>
          <w:szCs w:val="24"/>
          <w:highlight w:val="none"/>
          <w:shd w:val="clear" w:fill="FFFFFF"/>
        </w:rPr>
        <w:t>必须持有</w:t>
      </w:r>
      <w:r>
        <w:rPr>
          <w:rFonts w:hint="default" w:ascii="Segoe UI" w:hAnsi="Segoe UI" w:eastAsia="Segoe UI" w:cs="Segoe UI"/>
          <w:b w:val="0"/>
          <w:bCs w:val="0"/>
          <w:i w:val="0"/>
          <w:iCs w:val="0"/>
          <w:caps w:val="0"/>
          <w:color w:val="0F1115"/>
          <w:spacing w:val="0"/>
          <w:sz w:val="24"/>
          <w:szCs w:val="24"/>
          <w:highlight w:val="none"/>
          <w:shd w:val="clear" w:fill="FFFFFF"/>
        </w:rPr>
        <w:t>广东省气象学会</w:t>
      </w:r>
      <w:r>
        <w:rPr>
          <w:rFonts w:hint="default" w:ascii="Segoe UI" w:hAnsi="Segoe UI" w:eastAsia="Segoe UI" w:cs="Segoe UI"/>
          <w:i w:val="0"/>
          <w:iCs w:val="0"/>
          <w:caps w:val="0"/>
          <w:color w:val="0F1115"/>
          <w:spacing w:val="0"/>
          <w:sz w:val="24"/>
          <w:szCs w:val="24"/>
          <w:highlight w:val="none"/>
          <w:shd w:val="clear" w:fill="FFFFFF"/>
        </w:rPr>
        <w:t>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asciiTheme="minorEastAsia" w:hAnsiTheme="minorEastAsia" w:cstheme="minorEastAsia"/>
          <w:color w:val="auto"/>
          <w:sz w:val="24"/>
          <w:szCs w:val="24"/>
          <w:lang w:val="en-US" w:eastAsia="zh-CN"/>
        </w:rPr>
        <w:t>提供</w:t>
      </w:r>
      <w:r>
        <w:rPr>
          <w:rFonts w:hint="eastAsia" w:ascii="宋体" w:hAnsi="宋体" w:eastAsia="宋体" w:cs="宋体"/>
          <w:color w:val="auto"/>
          <w:kern w:val="2"/>
          <w:sz w:val="24"/>
          <w:szCs w:val="24"/>
          <w:highlight w:val="none"/>
          <w:lang w:val="en-US" w:eastAsia="zh-CN" w:bidi="ar-SA"/>
        </w:rPr>
        <w:t>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w:t>
      </w:r>
      <w:r>
        <w:rPr>
          <w:rFonts w:hint="eastAsia" w:ascii="宋体" w:hAnsi="宋体" w:cs="宋体"/>
          <w:color w:val="auto"/>
          <w:kern w:val="2"/>
          <w:sz w:val="24"/>
          <w:szCs w:val="24"/>
          <w:highlight w:val="none"/>
          <w:lang w:val="en-US" w:eastAsia="zh-CN" w:bidi="ar-SA"/>
        </w:rPr>
        <w:t>为其</w:t>
      </w:r>
      <w:r>
        <w:rPr>
          <w:rFonts w:hint="eastAsia" w:ascii="宋体" w:hAnsi="宋体" w:eastAsia="宋体" w:cs="宋体"/>
          <w:color w:val="auto"/>
          <w:kern w:val="2"/>
          <w:sz w:val="24"/>
          <w:szCs w:val="24"/>
          <w:highlight w:val="none"/>
          <w:lang w:val="en-US" w:eastAsia="zh-CN" w:bidi="ar-SA"/>
        </w:rPr>
        <w:t>缴纳的社保证明</w:t>
      </w:r>
      <w:r>
        <w:rPr>
          <w:rFonts w:hint="eastAsia" w:ascii="宋体" w:hAnsi="宋体" w:cs="宋体"/>
          <w:color w:val="auto"/>
          <w:kern w:val="2"/>
          <w:sz w:val="24"/>
          <w:szCs w:val="24"/>
          <w:highlight w:val="none"/>
          <w:lang w:val="en-US" w:eastAsia="zh-CN" w:bidi="ar-SA"/>
        </w:rPr>
        <w:t>复印件</w:t>
      </w:r>
      <w:r>
        <w:rPr>
          <w:rFonts w:hint="eastAsia" w:eastAsia="宋体" w:asciiTheme="minorEastAsia" w:hAnsiTheme="minorEastAsia" w:cstheme="minorEastAsia"/>
          <w:color w:val="auto"/>
          <w:sz w:val="24"/>
          <w:szCs w:val="24"/>
        </w:rPr>
        <w:t>。</w:t>
      </w:r>
    </w:p>
    <w:p w14:paraId="1D43B27B">
      <w:pPr>
        <w:pStyle w:val="2"/>
        <w:rPr>
          <w:rFonts w:hint="eastAsia" w:eastAsia="宋体" w:asciiTheme="minorEastAsia" w:hAnsiTheme="minorEastAsia" w:cstheme="minorEastAsia"/>
          <w:color w:val="auto"/>
          <w:sz w:val="24"/>
          <w:szCs w:val="24"/>
        </w:rPr>
      </w:pPr>
    </w:p>
    <w:p w14:paraId="6D9C0F44">
      <w:pPr>
        <w:pStyle w:val="2"/>
        <w:rPr>
          <w:rFonts w:hint="eastAsia" w:eastAsia="宋体" w:asciiTheme="minorEastAsia" w:hAnsiTheme="minorEastAsia" w:cstheme="minorEastAsia"/>
          <w:color w:val="auto"/>
          <w:sz w:val="24"/>
          <w:szCs w:val="24"/>
        </w:rPr>
      </w:pPr>
    </w:p>
    <w:p w14:paraId="4316D664">
      <w:pPr>
        <w:pStyle w:val="2"/>
        <w:rPr>
          <w:rFonts w:hint="eastAsia" w:eastAsia="宋体" w:asciiTheme="minorEastAsia" w:hAnsiTheme="minorEastAsia" w:cstheme="minorEastAsia"/>
          <w:color w:val="auto"/>
          <w:sz w:val="24"/>
          <w:szCs w:val="24"/>
        </w:rPr>
      </w:pPr>
    </w:p>
    <w:p w14:paraId="28E3DA19">
      <w:pPr>
        <w:pStyle w:val="2"/>
        <w:rPr>
          <w:rFonts w:hint="eastAsia" w:eastAsia="宋体" w:asciiTheme="minorEastAsia" w:hAnsiTheme="minorEastAsia" w:cstheme="minorEastAsia"/>
          <w:color w:val="auto"/>
          <w:sz w:val="24"/>
          <w:szCs w:val="24"/>
        </w:rPr>
      </w:pPr>
    </w:p>
    <w:p w14:paraId="34C05DC4">
      <w:pPr>
        <w:pStyle w:val="2"/>
        <w:rPr>
          <w:rFonts w:hint="eastAsia" w:eastAsia="宋体" w:asciiTheme="minorEastAsia" w:hAnsiTheme="minorEastAsia" w:cstheme="minorEastAsia"/>
          <w:color w:val="auto"/>
          <w:sz w:val="24"/>
          <w:szCs w:val="24"/>
        </w:rPr>
      </w:pPr>
    </w:p>
    <w:p w14:paraId="5013788A">
      <w:pPr>
        <w:pStyle w:val="2"/>
        <w:rPr>
          <w:rFonts w:hint="eastAsia" w:eastAsia="宋体" w:asciiTheme="minorEastAsia" w:hAnsiTheme="minorEastAsia" w:cstheme="minorEastAsia"/>
          <w:color w:val="auto"/>
          <w:sz w:val="24"/>
          <w:szCs w:val="24"/>
        </w:rPr>
      </w:pPr>
    </w:p>
    <w:p w14:paraId="203DDE9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981FB7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8A2DA18">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4DE036A6">
      <w:pPr>
        <w:pStyle w:val="2"/>
        <w:ind w:firstLine="3600" w:firstLineChars="1500"/>
        <w:rPr>
          <w:rFonts w:hint="eastAsia" w:ascii="宋体" w:hAnsi="宋体" w:cs="宋体"/>
          <w:color w:val="000000" w:themeColor="text1"/>
          <w:sz w:val="24"/>
          <w14:textFill>
            <w14:solidFill>
              <w14:schemeClr w14:val="tx1"/>
            </w14:solidFill>
          </w14:textFill>
        </w:rPr>
      </w:pPr>
    </w:p>
    <w:p w14:paraId="50849960">
      <w:pPr>
        <w:pStyle w:val="2"/>
        <w:rPr>
          <w:rFonts w:hint="eastAsia" w:eastAsia="宋体" w:asciiTheme="minorEastAsia" w:hAnsiTheme="minorEastAsia" w:cstheme="minorEastAsia"/>
          <w:color w:val="auto"/>
          <w:sz w:val="24"/>
          <w:szCs w:val="24"/>
        </w:rPr>
      </w:pPr>
    </w:p>
    <w:p w14:paraId="301BC1D9">
      <w:pPr>
        <w:pStyle w:val="2"/>
        <w:rPr>
          <w:rFonts w:hint="eastAsia" w:eastAsia="宋体" w:asciiTheme="minorEastAsia" w:hAnsiTheme="minorEastAsia" w:cstheme="minorEastAsia"/>
          <w:color w:val="auto"/>
          <w:sz w:val="24"/>
          <w:szCs w:val="24"/>
        </w:rPr>
      </w:pPr>
    </w:p>
    <w:p w14:paraId="0CF784DE">
      <w:pPr>
        <w:pStyle w:val="2"/>
        <w:rPr>
          <w:rFonts w:hint="eastAsia" w:eastAsia="宋体" w:asciiTheme="minorEastAsia" w:hAnsiTheme="minorEastAsia" w:cstheme="minorEastAsia"/>
          <w:color w:val="auto"/>
          <w:sz w:val="24"/>
          <w:szCs w:val="24"/>
        </w:rPr>
      </w:pPr>
    </w:p>
    <w:p w14:paraId="37158560">
      <w:pPr>
        <w:pStyle w:val="2"/>
        <w:rPr>
          <w:rFonts w:hint="eastAsia" w:eastAsia="宋体" w:asciiTheme="minorEastAsia" w:hAnsiTheme="minorEastAsia" w:cstheme="minorEastAsia"/>
          <w:color w:val="auto"/>
          <w:sz w:val="24"/>
          <w:szCs w:val="24"/>
        </w:rPr>
      </w:pPr>
    </w:p>
    <w:p w14:paraId="085B2E8C">
      <w:pPr>
        <w:pStyle w:val="2"/>
        <w:rPr>
          <w:rFonts w:hint="eastAsia" w:eastAsia="宋体" w:asciiTheme="minorEastAsia" w:hAnsiTheme="minorEastAsia" w:cstheme="minorEastAsia"/>
          <w:color w:val="auto"/>
          <w:sz w:val="24"/>
          <w:szCs w:val="24"/>
        </w:rPr>
      </w:pPr>
    </w:p>
    <w:p w14:paraId="6D130671">
      <w:pPr>
        <w:pStyle w:val="2"/>
        <w:rPr>
          <w:rFonts w:hint="eastAsia" w:eastAsia="宋体" w:asciiTheme="minorEastAsia" w:hAnsiTheme="minorEastAsia" w:cstheme="minorEastAsia"/>
          <w:color w:val="auto"/>
          <w:sz w:val="24"/>
          <w:szCs w:val="24"/>
        </w:rPr>
      </w:pPr>
    </w:p>
    <w:p w14:paraId="7F065878">
      <w:pPr>
        <w:pStyle w:val="2"/>
        <w:rPr>
          <w:rFonts w:hint="eastAsia" w:eastAsia="宋体" w:asciiTheme="minorEastAsia" w:hAnsiTheme="minorEastAsia" w:cstheme="minorEastAsia"/>
          <w:color w:val="auto"/>
          <w:sz w:val="24"/>
          <w:szCs w:val="24"/>
        </w:rPr>
      </w:pPr>
    </w:p>
    <w:p w14:paraId="15A6E243">
      <w:pPr>
        <w:pStyle w:val="2"/>
        <w:ind w:left="0" w:leftChars="0" w:firstLine="0" w:firstLineChars="0"/>
        <w:jc w:val="left"/>
        <w:rPr>
          <w:rFonts w:hint="eastAsia" w:ascii="宋体" w:hAnsi="宋体" w:eastAsia="宋体" w:cs="宋体"/>
          <w:b/>
          <w:bCs/>
          <w:color w:val="000000" w:themeColor="text1"/>
          <w:kern w:val="0"/>
          <w:sz w:val="28"/>
          <w:szCs w:val="28"/>
          <w:lang w:val="en-US" w:eastAsia="zh-CN" w:bidi="ar-SA"/>
          <w14:textFill>
            <w14:solidFill>
              <w14:schemeClr w14:val="tx1"/>
            </w14:solidFill>
          </w14:textFill>
        </w:rPr>
      </w:pPr>
      <w:r>
        <w:rPr>
          <w:rFonts w:hint="eastAsia" w:ascii="宋体" w:hAnsi="宋体" w:cs="宋体"/>
          <w:b/>
          <w:bCs/>
          <w:color w:val="000000" w:themeColor="text1"/>
          <w:kern w:val="0"/>
          <w:sz w:val="28"/>
          <w:szCs w:val="28"/>
          <w:lang w:val="en-US" w:eastAsia="zh-CN" w:bidi="ar-SA"/>
          <w14:textFill>
            <w14:solidFill>
              <w14:schemeClr w14:val="tx1"/>
            </w14:solidFill>
          </w14:textFill>
        </w:rPr>
        <w:t>五</w:t>
      </w:r>
      <w:r>
        <w:rPr>
          <w:rFonts w:hint="eastAsia" w:ascii="宋体" w:hAnsi="宋体" w:eastAsia="宋体" w:cs="宋体"/>
          <w:b/>
          <w:bCs/>
          <w:color w:val="000000" w:themeColor="text1"/>
          <w:kern w:val="0"/>
          <w:sz w:val="28"/>
          <w:szCs w:val="28"/>
          <w:lang w:val="en-US" w:eastAsia="zh-CN" w:bidi="ar-SA"/>
          <w14:textFill>
            <w14:solidFill>
              <w14:schemeClr w14:val="tx1"/>
            </w14:solidFill>
          </w14:textFill>
        </w:rPr>
        <w:t>、信息登记或备案证明</w:t>
      </w:r>
    </w:p>
    <w:p w14:paraId="79A9705B">
      <w:pPr>
        <w:pStyle w:val="2"/>
        <w:rPr>
          <w:rFonts w:hint="eastAsia" w:ascii="宋体" w:hAnsi="宋体" w:eastAsia="宋体" w:cs="宋体"/>
          <w:color w:val="auto"/>
          <w:kern w:val="2"/>
          <w:sz w:val="24"/>
          <w:szCs w:val="24"/>
          <w:lang w:val="en-US" w:eastAsia="zh-CN" w:bidi="ar-SA"/>
        </w:rPr>
      </w:pPr>
      <w:r>
        <w:rPr>
          <w:rFonts w:hint="eastAsia" w:asciiTheme="minorEastAsia" w:hAnsiTheme="minorEastAsia" w:cstheme="minorEastAsia"/>
          <w:color w:val="auto"/>
          <w:sz w:val="24"/>
          <w:szCs w:val="24"/>
          <w:lang w:val="en-US" w:eastAsia="zh-CN"/>
        </w:rPr>
        <w:t>若供应商为广东省外的企业，须提供在项目所在地省级气象主管机构的信息登记或备案证明。</w:t>
      </w:r>
    </w:p>
    <w:p w14:paraId="714CF55E">
      <w:pPr>
        <w:pStyle w:val="2"/>
        <w:rPr>
          <w:rFonts w:hint="eastAsia" w:ascii="宋体" w:hAnsi="宋体" w:eastAsia="宋体" w:cs="宋体"/>
          <w:color w:val="auto"/>
          <w:kern w:val="2"/>
          <w:sz w:val="24"/>
          <w:szCs w:val="24"/>
          <w:lang w:val="en-US" w:eastAsia="zh-CN" w:bidi="ar-SA"/>
        </w:rPr>
      </w:pPr>
    </w:p>
    <w:p w14:paraId="44E4669E">
      <w:pPr>
        <w:pStyle w:val="2"/>
        <w:rPr>
          <w:rFonts w:hint="eastAsia" w:ascii="宋体" w:hAnsi="宋体" w:eastAsia="宋体" w:cs="宋体"/>
          <w:color w:val="auto"/>
          <w:kern w:val="2"/>
          <w:sz w:val="24"/>
          <w:szCs w:val="24"/>
          <w:lang w:val="en-US" w:eastAsia="zh-CN" w:bidi="ar-SA"/>
        </w:rPr>
      </w:pPr>
    </w:p>
    <w:p w14:paraId="1C99F68C">
      <w:pPr>
        <w:pStyle w:val="2"/>
        <w:rPr>
          <w:rFonts w:hint="eastAsia" w:ascii="宋体" w:hAnsi="宋体" w:eastAsia="宋体" w:cs="宋体"/>
          <w:color w:val="auto"/>
          <w:kern w:val="2"/>
          <w:sz w:val="24"/>
          <w:szCs w:val="24"/>
          <w:lang w:val="en-US" w:eastAsia="zh-CN" w:bidi="ar-SA"/>
        </w:rPr>
      </w:pPr>
    </w:p>
    <w:p w14:paraId="44EECC9B">
      <w:pPr>
        <w:pStyle w:val="2"/>
        <w:rPr>
          <w:rFonts w:hint="eastAsia" w:ascii="宋体" w:hAnsi="宋体" w:eastAsia="宋体" w:cs="宋体"/>
          <w:color w:val="auto"/>
          <w:kern w:val="2"/>
          <w:sz w:val="24"/>
          <w:szCs w:val="24"/>
          <w:lang w:val="en-US" w:eastAsia="zh-CN" w:bidi="ar-SA"/>
        </w:rPr>
      </w:pPr>
    </w:p>
    <w:p w14:paraId="29D97E74">
      <w:pPr>
        <w:pStyle w:val="2"/>
        <w:rPr>
          <w:rFonts w:hint="eastAsia" w:ascii="宋体" w:hAnsi="宋体" w:eastAsia="宋体" w:cs="宋体"/>
          <w:color w:val="auto"/>
          <w:kern w:val="2"/>
          <w:sz w:val="24"/>
          <w:szCs w:val="24"/>
          <w:lang w:val="en-US" w:eastAsia="zh-CN" w:bidi="ar-SA"/>
        </w:rPr>
      </w:pPr>
    </w:p>
    <w:p w14:paraId="2C215652">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C0F9BDC">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546183">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5746934">
      <w:pPr>
        <w:pStyle w:val="2"/>
        <w:ind w:firstLine="3600" w:firstLineChars="1500"/>
        <w:rPr>
          <w:rFonts w:hint="eastAsia" w:ascii="宋体" w:hAnsi="宋体" w:cs="宋体"/>
          <w:color w:val="000000" w:themeColor="text1"/>
          <w:sz w:val="24"/>
          <w14:textFill>
            <w14:solidFill>
              <w14:schemeClr w14:val="tx1"/>
            </w14:solidFill>
          </w14:textFill>
        </w:rPr>
      </w:pPr>
    </w:p>
    <w:p w14:paraId="6969F811">
      <w:pPr>
        <w:pStyle w:val="2"/>
        <w:rPr>
          <w:rFonts w:hint="eastAsia" w:ascii="宋体" w:hAnsi="宋体" w:eastAsia="宋体" w:cs="宋体"/>
          <w:color w:val="auto"/>
          <w:kern w:val="2"/>
          <w:sz w:val="24"/>
          <w:szCs w:val="24"/>
          <w:lang w:val="en-US" w:eastAsia="zh-CN" w:bidi="ar-SA"/>
        </w:rPr>
      </w:pPr>
    </w:p>
    <w:p w14:paraId="52E63A38">
      <w:pPr>
        <w:pStyle w:val="2"/>
        <w:rPr>
          <w:rFonts w:hint="eastAsia" w:ascii="宋体" w:hAnsi="宋体" w:eastAsia="宋体" w:cs="宋体"/>
          <w:color w:val="auto"/>
          <w:kern w:val="2"/>
          <w:sz w:val="24"/>
          <w:szCs w:val="24"/>
          <w:lang w:val="en-US" w:eastAsia="zh-CN" w:bidi="ar-SA"/>
        </w:rPr>
      </w:pPr>
    </w:p>
    <w:p w14:paraId="0413D576">
      <w:pPr>
        <w:pStyle w:val="2"/>
        <w:rPr>
          <w:rFonts w:hint="eastAsia" w:ascii="宋体" w:hAnsi="宋体" w:eastAsia="宋体" w:cs="宋体"/>
          <w:color w:val="auto"/>
          <w:kern w:val="2"/>
          <w:sz w:val="24"/>
          <w:szCs w:val="24"/>
          <w:lang w:val="en-US" w:eastAsia="zh-CN" w:bidi="ar-SA"/>
        </w:rPr>
      </w:pPr>
    </w:p>
    <w:p w14:paraId="3A10ADAE">
      <w:pPr>
        <w:pStyle w:val="2"/>
        <w:rPr>
          <w:rFonts w:hint="eastAsia" w:ascii="宋体" w:hAnsi="宋体" w:eastAsia="宋体" w:cs="宋体"/>
          <w:color w:val="auto"/>
          <w:kern w:val="2"/>
          <w:sz w:val="24"/>
          <w:szCs w:val="24"/>
          <w:lang w:val="en-US" w:eastAsia="zh-CN" w:bidi="ar-SA"/>
        </w:rPr>
      </w:pPr>
    </w:p>
    <w:p w14:paraId="4769189D">
      <w:pPr>
        <w:pStyle w:val="2"/>
        <w:rPr>
          <w:rFonts w:hint="eastAsia" w:ascii="宋体" w:hAnsi="宋体" w:eastAsia="宋体" w:cs="宋体"/>
          <w:color w:val="auto"/>
          <w:kern w:val="2"/>
          <w:sz w:val="24"/>
          <w:szCs w:val="24"/>
          <w:lang w:val="en-US" w:eastAsia="zh-CN" w:bidi="ar-SA"/>
        </w:rPr>
      </w:pPr>
    </w:p>
    <w:p w14:paraId="44E87186">
      <w:pPr>
        <w:pStyle w:val="2"/>
        <w:rPr>
          <w:rFonts w:hint="eastAsia" w:ascii="宋体" w:hAnsi="宋体" w:eastAsia="宋体" w:cs="宋体"/>
          <w:color w:val="auto"/>
          <w:kern w:val="2"/>
          <w:sz w:val="24"/>
          <w:szCs w:val="24"/>
          <w:lang w:val="en-US" w:eastAsia="zh-CN" w:bidi="ar-SA"/>
        </w:rPr>
      </w:pPr>
    </w:p>
    <w:p w14:paraId="7FDADB31">
      <w:pPr>
        <w:pStyle w:val="2"/>
        <w:rPr>
          <w:rFonts w:hint="eastAsia"/>
          <w:lang w:val="en-US" w:eastAsia="zh-CN"/>
        </w:rPr>
      </w:pPr>
    </w:p>
    <w:p w14:paraId="2E5A2A06">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7F666C6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107728A7">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56D722A0">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19E2237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02F83F19">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2C9F74F1">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0D2CF552">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BB5397B">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31CB060">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1DC2CD76">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2BD10E7B">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20"/>
        <w:rPr>
          <w:rFonts w:hint="eastAsia" w:eastAsia="宋体" w:asciiTheme="minorEastAsia" w:hAnsiTheme="minorEastAsia" w:cstheme="minorEastAsia"/>
          <w:color w:val="auto"/>
          <w:kern w:val="2"/>
          <w:sz w:val="28"/>
          <w:szCs w:val="28"/>
          <w:lang w:val="en-US" w:eastAsia="zh-CN" w:bidi="ar-SA"/>
        </w:rPr>
      </w:pPr>
    </w:p>
    <w:p w14:paraId="19FB1538">
      <w:pPr>
        <w:pStyle w:val="20"/>
        <w:rPr>
          <w:rFonts w:hint="eastAsia" w:eastAsia="宋体" w:asciiTheme="minorEastAsia" w:hAnsiTheme="minorEastAsia" w:cstheme="minorEastAsia"/>
          <w:color w:val="auto"/>
          <w:kern w:val="2"/>
          <w:sz w:val="28"/>
          <w:szCs w:val="28"/>
          <w:lang w:val="en-US" w:eastAsia="zh-CN" w:bidi="ar-SA"/>
        </w:rPr>
      </w:pPr>
    </w:p>
    <w:p w14:paraId="7FC3A1A4">
      <w:pPr>
        <w:pStyle w:val="20"/>
        <w:rPr>
          <w:rFonts w:hint="eastAsia" w:eastAsia="宋体" w:asciiTheme="minorEastAsia" w:hAnsiTheme="minorEastAsia" w:cstheme="minorEastAsia"/>
          <w:color w:val="auto"/>
          <w:kern w:val="2"/>
          <w:sz w:val="28"/>
          <w:szCs w:val="28"/>
          <w:lang w:val="en-US" w:eastAsia="zh-CN" w:bidi="ar-SA"/>
        </w:rPr>
      </w:pPr>
    </w:p>
    <w:p w14:paraId="51FDFB5C">
      <w:pPr>
        <w:pStyle w:val="20"/>
        <w:rPr>
          <w:rFonts w:hint="eastAsia" w:eastAsia="宋体" w:asciiTheme="minorEastAsia" w:hAnsiTheme="minorEastAsia" w:cstheme="minorEastAsia"/>
          <w:color w:val="auto"/>
          <w:kern w:val="2"/>
          <w:sz w:val="28"/>
          <w:szCs w:val="28"/>
          <w:lang w:val="en-US" w:eastAsia="zh-CN" w:bidi="ar-SA"/>
        </w:rPr>
      </w:pPr>
    </w:p>
    <w:p w14:paraId="191696BE">
      <w:pPr>
        <w:pStyle w:val="20"/>
        <w:rPr>
          <w:rFonts w:hint="eastAsia" w:eastAsia="宋体" w:asciiTheme="minorEastAsia" w:hAnsiTheme="minorEastAsia" w:cstheme="minorEastAsia"/>
          <w:color w:val="auto"/>
          <w:kern w:val="2"/>
          <w:sz w:val="28"/>
          <w:szCs w:val="28"/>
          <w:lang w:val="en-US" w:eastAsia="zh-CN" w:bidi="ar-SA"/>
        </w:rPr>
      </w:pPr>
    </w:p>
    <w:p w14:paraId="2C587E29">
      <w:pPr>
        <w:pStyle w:val="20"/>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20"/>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20"/>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5"/>
        <w:rPr>
          <w:rFonts w:hint="default"/>
          <w:lang w:val="en-US" w:eastAsia="zh-CN"/>
        </w:rPr>
      </w:pPr>
    </w:p>
    <w:p w14:paraId="4BE55E53">
      <w:pPr>
        <w:spacing w:line="500" w:lineRule="atLeast"/>
        <w:rPr>
          <w:rFonts w:hint="eastAsia" w:ascii="宋体" w:hAnsi="宋体"/>
          <w:b/>
          <w:sz w:val="28"/>
          <w:szCs w:val="28"/>
        </w:rPr>
      </w:pPr>
    </w:p>
    <w:p w14:paraId="7B1970CB">
      <w:pPr>
        <w:pStyle w:val="4"/>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20"/>
      </w:pPr>
    </w:p>
    <w:p w14:paraId="6FF9B7AD">
      <w:pPr>
        <w:pStyle w:val="20"/>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lang w:eastAsia="zh-CN"/>
        </w:rPr>
        <w:t>供应商资质</w:t>
      </w:r>
      <w:r>
        <w:rPr>
          <w:rFonts w:hint="eastAsia" w:ascii="宋体" w:hAnsi="宋体" w:cs="宋体"/>
          <w:sz w:val="24"/>
          <w:szCs w:val="36"/>
        </w:rPr>
        <w:t>………………………………………………………第（  ）页</w:t>
      </w:r>
    </w:p>
    <w:p w14:paraId="6D9A0A89">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eastAsia" w:asciiTheme="minorEastAsia" w:hAnsiTheme="minorEastAsia" w:cstheme="minorEastAsia"/>
          <w:color w:val="auto"/>
          <w:kern w:val="2"/>
          <w:sz w:val="24"/>
          <w:szCs w:val="24"/>
          <w:lang w:val="en-US" w:eastAsia="zh-CN" w:bidi="ar-SA"/>
        </w:rPr>
        <w:t>类似业绩</w:t>
      </w:r>
      <w:r>
        <w:rPr>
          <w:rFonts w:hint="eastAsia" w:ascii="宋体" w:hAnsi="宋体" w:cs="宋体"/>
          <w:sz w:val="24"/>
          <w:szCs w:val="36"/>
        </w:rPr>
        <w:t>…………………………………………………………第（  ）页</w:t>
      </w:r>
    </w:p>
    <w:p w14:paraId="6AA62BF6">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val="en-US" w:eastAsia="zh-CN"/>
        </w:rPr>
        <w:t>项目负责人</w:t>
      </w:r>
      <w:r>
        <w:rPr>
          <w:rFonts w:hint="eastAsia" w:ascii="宋体" w:hAnsi="宋体" w:cs="宋体"/>
          <w:sz w:val="24"/>
          <w:szCs w:val="36"/>
          <w:lang w:eastAsia="zh-CN"/>
        </w:rPr>
        <w:t>资格</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20"/>
        <w:rPr>
          <w:rFonts w:ascii="宋体" w:hAnsi="宋体" w:cs="宋体"/>
          <w:sz w:val="24"/>
          <w:szCs w:val="36"/>
        </w:rPr>
      </w:pPr>
    </w:p>
    <w:p w14:paraId="14728056">
      <w:pPr>
        <w:pStyle w:val="20"/>
        <w:rPr>
          <w:rFonts w:ascii="宋体" w:hAnsi="宋体" w:cs="宋体"/>
          <w:sz w:val="24"/>
          <w:szCs w:val="36"/>
        </w:rPr>
      </w:pPr>
    </w:p>
    <w:p w14:paraId="19389E03">
      <w:pPr>
        <w:pStyle w:val="20"/>
        <w:rPr>
          <w:rFonts w:ascii="宋体" w:hAnsi="宋体" w:cs="宋体"/>
          <w:sz w:val="24"/>
          <w:szCs w:val="36"/>
        </w:rPr>
      </w:pPr>
    </w:p>
    <w:p w14:paraId="6933DD5C">
      <w:pPr>
        <w:pStyle w:val="20"/>
        <w:rPr>
          <w:rFonts w:ascii="宋体" w:hAnsi="宋体" w:cs="宋体"/>
          <w:sz w:val="24"/>
          <w:szCs w:val="36"/>
        </w:rPr>
      </w:pPr>
    </w:p>
    <w:p w14:paraId="6BC999AD">
      <w:pPr>
        <w:pStyle w:val="20"/>
        <w:rPr>
          <w:rFonts w:ascii="宋体" w:hAnsi="宋体" w:cs="宋体"/>
          <w:sz w:val="24"/>
          <w:szCs w:val="36"/>
        </w:rPr>
      </w:pPr>
    </w:p>
    <w:p w14:paraId="7AC06D44">
      <w:pPr>
        <w:pStyle w:val="2"/>
        <w:ind w:firstLine="0" w:firstLineChars="0"/>
        <w:rPr>
          <w:rFonts w:ascii="宋体" w:hAnsi="宋体" w:cs="宋体"/>
          <w:sz w:val="24"/>
        </w:rPr>
      </w:pPr>
    </w:p>
    <w:p w14:paraId="6F7C2A99">
      <w:pPr>
        <w:pStyle w:val="2"/>
        <w:ind w:firstLine="0" w:firstLineChars="0"/>
        <w:rPr>
          <w:rFonts w:ascii="宋体" w:hAnsi="宋体" w:cs="宋体"/>
          <w:sz w:val="24"/>
        </w:rPr>
      </w:pPr>
    </w:p>
    <w:p w14:paraId="2671776E">
      <w:pPr>
        <w:pStyle w:val="2"/>
        <w:ind w:firstLine="0" w:firstLineChars="0"/>
        <w:rPr>
          <w:rFonts w:ascii="宋体" w:hAnsi="宋体" w:cs="宋体"/>
          <w:sz w:val="24"/>
        </w:rPr>
      </w:pPr>
    </w:p>
    <w:p w14:paraId="4452B15E">
      <w:pPr>
        <w:pStyle w:val="2"/>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5"/>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20"/>
        <w:rPr>
          <w:rFonts w:hint="eastAsia"/>
        </w:rPr>
      </w:pPr>
    </w:p>
    <w:p w14:paraId="4B277204">
      <w:pPr>
        <w:pStyle w:val="20"/>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检测服务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7"/>
        <w:rPr>
          <w:rFonts w:hint="eastAsia"/>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FF0000"/>
        </w:rPr>
        <w:t>详见附表</w:t>
      </w:r>
      <w:r>
        <w:rPr>
          <w:rFonts w:hint="eastAsia" w:ascii="宋体" w:hAnsi="宋体" w:eastAsia="宋体" w:cs="宋体"/>
          <w:color w:val="FF0000"/>
          <w:lang w:val="en-US" w:eastAsia="zh-CN"/>
        </w:rPr>
        <w:t>-</w:t>
      </w:r>
      <w:r>
        <w:rPr>
          <w:rFonts w:hint="eastAsia" w:ascii="宋体" w:hAnsi="宋体" w:eastAsia="宋体" w:cs="宋体"/>
          <w:color w:val="FF0000"/>
        </w:rPr>
        <w:t>工程量清单</w:t>
      </w:r>
      <w:r>
        <w:rPr>
          <w:rFonts w:hint="eastAsia" w:ascii="宋体" w:hAnsi="宋体" w:eastAsia="宋体" w:cs="宋体"/>
          <w:color w:val="000000" w:themeColor="text1"/>
          <w14:textFill>
            <w14:solidFill>
              <w14:schemeClr w14:val="tx1"/>
            </w14:solidFill>
          </w14:textFill>
        </w:rPr>
        <w:t>）</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6ECC2C57">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2"/>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2"/>
        <w:rPr>
          <w:sz w:val="24"/>
        </w:rPr>
      </w:pPr>
    </w:p>
    <w:p w14:paraId="1204B03A">
      <w:pPr>
        <w:pStyle w:val="9"/>
        <w:rPr>
          <w:rFonts w:hint="eastAsia"/>
        </w:rPr>
      </w:pPr>
    </w:p>
    <w:p w14:paraId="588EFE6E">
      <w:pPr>
        <w:pStyle w:val="9"/>
        <w:rPr>
          <w:rFonts w:hint="eastAsia"/>
        </w:rPr>
      </w:pPr>
    </w:p>
    <w:p w14:paraId="31E69853">
      <w:pPr>
        <w:pStyle w:val="9"/>
        <w:rPr>
          <w:rFonts w:hint="eastAsia"/>
        </w:rPr>
      </w:pPr>
    </w:p>
    <w:p w14:paraId="5BF897B3">
      <w:pPr>
        <w:pStyle w:val="9"/>
        <w:rPr>
          <w:rFonts w:hint="eastAsia"/>
        </w:rPr>
      </w:pPr>
    </w:p>
    <w:p w14:paraId="4E884B1E">
      <w:pPr>
        <w:pStyle w:val="9"/>
        <w:rPr>
          <w:rFonts w:hint="eastAsia"/>
        </w:rPr>
      </w:pPr>
    </w:p>
    <w:p w14:paraId="6391DAF9">
      <w:pPr>
        <w:pStyle w:val="9"/>
        <w:rPr>
          <w:rFonts w:hint="eastAsia"/>
        </w:rPr>
      </w:pPr>
    </w:p>
    <w:p w14:paraId="6D2A7E67">
      <w:pPr>
        <w:pStyle w:val="9"/>
        <w:rPr>
          <w:rFonts w:hint="eastAsia"/>
        </w:rPr>
      </w:pPr>
    </w:p>
    <w:p w14:paraId="064589A8">
      <w:pPr>
        <w:pStyle w:val="9"/>
        <w:rPr>
          <w:rFonts w:hint="eastAsia"/>
        </w:rPr>
      </w:pPr>
    </w:p>
    <w:p w14:paraId="7721CC44">
      <w:pPr>
        <w:pStyle w:val="9"/>
        <w:rPr>
          <w:rFonts w:hint="eastAsia"/>
        </w:rPr>
      </w:pPr>
    </w:p>
    <w:p w14:paraId="25097D31">
      <w:pPr>
        <w:pStyle w:val="12"/>
        <w:rPr>
          <w:sz w:val="24"/>
        </w:rPr>
      </w:pPr>
    </w:p>
    <w:p w14:paraId="4E973C00">
      <w:pPr>
        <w:pStyle w:val="12"/>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9"/>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5"/>
        <w:rPr>
          <w:rFonts w:hint="eastAsia" w:asciiTheme="minorEastAsia" w:hAnsiTheme="minorEastAsia" w:cstheme="minorEastAsia"/>
          <w:color w:val="auto"/>
          <w:sz w:val="28"/>
          <w:szCs w:val="28"/>
          <w:lang w:val="en-US" w:eastAsia="zh-CN"/>
        </w:rPr>
      </w:pPr>
    </w:p>
    <w:p w14:paraId="00553167">
      <w:pPr>
        <w:pStyle w:val="5"/>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cs="宋体"/>
          <w:b/>
          <w:bCs/>
          <w:color w:val="000000" w:themeColor="text1"/>
          <w:kern w:val="0"/>
          <w:sz w:val="32"/>
          <w:szCs w:val="32"/>
          <w:lang w:val="en-US" w:eastAsia="zh-CN" w:bidi="ar-SA"/>
          <w14:textFill>
            <w14:solidFill>
              <w14:schemeClr w14:val="tx1"/>
            </w14:solidFill>
          </w14:textFill>
        </w:rPr>
        <w:t>供应商</w:t>
      </w:r>
      <w:r>
        <w:rPr>
          <w:rFonts w:hint="eastAsia" w:ascii="宋体" w:hAnsi="宋体" w:eastAsia="宋体" w:cs="Times New Roman"/>
          <w:b/>
          <w:sz w:val="32"/>
          <w:szCs w:val="32"/>
          <w:lang w:val="en-US" w:eastAsia="zh-CN"/>
        </w:rPr>
        <w:t>资质</w:t>
      </w:r>
    </w:p>
    <w:p w14:paraId="0DE93C64">
      <w:pPr>
        <w:numPr>
          <w:ilvl w:val="0"/>
          <w:numId w:val="0"/>
        </w:numPr>
        <w:spacing w:line="500" w:lineRule="atLeast"/>
        <w:ind w:leftChars="0"/>
        <w:rPr>
          <w:rFonts w:hint="eastAsia" w:asciiTheme="minorEastAsia" w:hAnsiTheme="minorEastAsia" w:cstheme="minorEastAsia"/>
          <w:color w:val="auto"/>
          <w:sz w:val="28"/>
          <w:szCs w:val="28"/>
          <w:lang w:eastAsia="zh-CN"/>
        </w:rPr>
      </w:pPr>
      <w:r>
        <w:rPr>
          <w:rFonts w:hint="eastAsia" w:asciiTheme="minorEastAsia" w:hAnsiTheme="minorEastAsia" w:cstheme="minorEastAsia"/>
          <w:color w:val="auto"/>
          <w:sz w:val="24"/>
          <w:szCs w:val="24"/>
        </w:rPr>
        <w:t>具</w:t>
      </w:r>
      <w:r>
        <w:rPr>
          <w:rFonts w:hint="eastAsia" w:asciiTheme="minorEastAsia" w:hAnsiTheme="minorEastAsia" w:cstheme="minorEastAsia"/>
          <w:color w:val="auto"/>
          <w:sz w:val="24"/>
          <w:szCs w:val="24"/>
          <w:lang w:eastAsia="zh-CN"/>
        </w:rPr>
        <w:t>备</w:t>
      </w:r>
      <w:r>
        <w:rPr>
          <w:rFonts w:hint="eastAsia" w:asciiTheme="minorEastAsia" w:hAnsiTheme="minorEastAsia" w:cstheme="minorEastAsia"/>
          <w:color w:val="auto"/>
          <w:sz w:val="24"/>
          <w:szCs w:val="24"/>
          <w:highlight w:val="none"/>
          <w:lang w:val="en-US" w:eastAsia="zh-CN"/>
        </w:rPr>
        <w:t>雷电防护装置检测资质甲级，资质证书须在有效期内</w:t>
      </w:r>
      <w:r>
        <w:rPr>
          <w:rFonts w:hint="eastAsia" w:asciiTheme="minorEastAsia" w:hAnsiTheme="minorEastAsia" w:cstheme="minorEastAsia"/>
          <w:color w:val="auto"/>
          <w:sz w:val="24"/>
          <w:szCs w:val="24"/>
          <w:lang w:eastAsia="zh-CN"/>
        </w:rPr>
        <w:t>。</w:t>
      </w:r>
    </w:p>
    <w:p w14:paraId="29FDD881">
      <w:pPr>
        <w:pStyle w:val="5"/>
        <w:widowControl w:val="0"/>
        <w:numPr>
          <w:ilvl w:val="0"/>
          <w:numId w:val="0"/>
        </w:numPr>
        <w:jc w:val="both"/>
        <w:rPr>
          <w:rFonts w:hint="eastAsia"/>
          <w:lang w:val="en-US" w:eastAsia="zh-CN"/>
        </w:rPr>
      </w:pPr>
    </w:p>
    <w:p w14:paraId="57BDF59F">
      <w:pPr>
        <w:pStyle w:val="5"/>
        <w:widowControl w:val="0"/>
        <w:numPr>
          <w:ilvl w:val="0"/>
          <w:numId w:val="0"/>
        </w:numPr>
        <w:jc w:val="both"/>
        <w:rPr>
          <w:rFonts w:hint="eastAsia"/>
          <w:lang w:val="en-US" w:eastAsia="zh-CN"/>
        </w:rPr>
      </w:pPr>
    </w:p>
    <w:p w14:paraId="6095B07D">
      <w:pPr>
        <w:pStyle w:val="5"/>
        <w:widowControl w:val="0"/>
        <w:numPr>
          <w:ilvl w:val="0"/>
          <w:numId w:val="0"/>
        </w:numPr>
        <w:jc w:val="both"/>
        <w:rPr>
          <w:rFonts w:hint="eastAsia"/>
          <w:lang w:val="en-US" w:eastAsia="zh-CN"/>
        </w:rPr>
      </w:pPr>
    </w:p>
    <w:p w14:paraId="1332AB12">
      <w:pPr>
        <w:pStyle w:val="5"/>
        <w:widowControl w:val="0"/>
        <w:numPr>
          <w:ilvl w:val="0"/>
          <w:numId w:val="0"/>
        </w:numPr>
        <w:jc w:val="both"/>
        <w:rPr>
          <w:rFonts w:hint="eastAsia"/>
          <w:lang w:val="en-US" w:eastAsia="zh-CN"/>
        </w:rPr>
      </w:pPr>
    </w:p>
    <w:p w14:paraId="7EE37746">
      <w:pPr>
        <w:pStyle w:val="5"/>
        <w:widowControl w:val="0"/>
        <w:numPr>
          <w:ilvl w:val="0"/>
          <w:numId w:val="0"/>
        </w:numPr>
        <w:jc w:val="both"/>
        <w:rPr>
          <w:rFonts w:hint="eastAsia"/>
          <w:lang w:val="en-US" w:eastAsia="zh-CN"/>
        </w:rPr>
      </w:pPr>
    </w:p>
    <w:p w14:paraId="6E153ADD">
      <w:pPr>
        <w:pStyle w:val="5"/>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5"/>
        <w:widowControl w:val="0"/>
        <w:numPr>
          <w:ilvl w:val="0"/>
          <w:numId w:val="0"/>
        </w:numPr>
        <w:jc w:val="both"/>
        <w:rPr>
          <w:rFonts w:hint="eastAsia"/>
          <w:lang w:val="en-US" w:eastAsia="zh-CN"/>
        </w:rPr>
      </w:pPr>
    </w:p>
    <w:p w14:paraId="470AD0E9">
      <w:pPr>
        <w:pStyle w:val="5"/>
        <w:widowControl w:val="0"/>
        <w:numPr>
          <w:ilvl w:val="0"/>
          <w:numId w:val="0"/>
        </w:numPr>
        <w:jc w:val="both"/>
        <w:rPr>
          <w:rFonts w:hint="eastAsia"/>
          <w:lang w:val="en-US" w:eastAsia="zh-CN"/>
        </w:rPr>
      </w:pPr>
    </w:p>
    <w:p w14:paraId="4C3D8823">
      <w:pPr>
        <w:pStyle w:val="5"/>
        <w:widowControl w:val="0"/>
        <w:numPr>
          <w:ilvl w:val="0"/>
          <w:numId w:val="0"/>
        </w:numPr>
        <w:jc w:val="both"/>
        <w:rPr>
          <w:rFonts w:hint="eastAsia"/>
          <w:lang w:val="en-US" w:eastAsia="zh-CN"/>
        </w:rPr>
      </w:pPr>
    </w:p>
    <w:p w14:paraId="03CBA4C6">
      <w:pPr>
        <w:pStyle w:val="5"/>
        <w:widowControl w:val="0"/>
        <w:numPr>
          <w:ilvl w:val="0"/>
          <w:numId w:val="0"/>
        </w:numPr>
        <w:jc w:val="both"/>
        <w:rPr>
          <w:rFonts w:hint="eastAsia"/>
          <w:lang w:val="en-US" w:eastAsia="zh-CN"/>
        </w:rPr>
      </w:pPr>
    </w:p>
    <w:p w14:paraId="482EA1C0">
      <w:pPr>
        <w:pStyle w:val="5"/>
        <w:widowControl w:val="0"/>
        <w:numPr>
          <w:ilvl w:val="0"/>
          <w:numId w:val="0"/>
        </w:numPr>
        <w:jc w:val="both"/>
        <w:rPr>
          <w:rFonts w:hint="eastAsia"/>
          <w:lang w:val="en-US" w:eastAsia="zh-CN"/>
        </w:rPr>
      </w:pPr>
    </w:p>
    <w:p w14:paraId="62C1E64F">
      <w:pPr>
        <w:pStyle w:val="5"/>
        <w:widowControl w:val="0"/>
        <w:numPr>
          <w:ilvl w:val="0"/>
          <w:numId w:val="0"/>
        </w:numPr>
        <w:jc w:val="both"/>
        <w:rPr>
          <w:rFonts w:hint="eastAsia"/>
          <w:lang w:val="en-US" w:eastAsia="zh-CN"/>
        </w:rPr>
      </w:pPr>
    </w:p>
    <w:p w14:paraId="1595699E">
      <w:pPr>
        <w:pStyle w:val="7"/>
        <w:jc w:val="center"/>
        <w:rPr>
          <w:rFonts w:hint="eastAsia" w:asciiTheme="minorEastAsia" w:hAnsiTheme="minorEastAsia" w:cstheme="minorEastAsia"/>
          <w:color w:val="auto"/>
          <w:sz w:val="28"/>
          <w:szCs w:val="28"/>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自2023年1月1日起至今（以完成时间为准），须</w:t>
      </w:r>
      <w:r>
        <w:rPr>
          <w:rFonts w:hint="eastAsia" w:eastAsia="宋体" w:asciiTheme="minorEastAsia" w:hAnsiTheme="minorEastAsia" w:cstheme="minorEastAsia"/>
          <w:color w:val="auto"/>
          <w:sz w:val="24"/>
          <w:szCs w:val="24"/>
          <w:lang w:val="en-US" w:eastAsia="zh-CN"/>
        </w:rPr>
        <w:t>具备至少1个</w:t>
      </w:r>
      <w:r>
        <w:rPr>
          <w:rFonts w:hint="eastAsia" w:eastAsia="宋体" w:asciiTheme="minorEastAsia" w:hAnsiTheme="minorEastAsia" w:cstheme="minorEastAsia"/>
          <w:color w:val="auto"/>
          <w:sz w:val="24"/>
          <w:szCs w:val="24"/>
          <w:highlight w:val="none"/>
          <w:lang w:val="en-US" w:eastAsia="zh-CN"/>
        </w:rPr>
        <w:t>类似</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该业绩合同关键页</w:t>
      </w:r>
      <w:r>
        <w:rPr>
          <w:rFonts w:hint="eastAsia" w:eastAsia="宋体" w:asciiTheme="minorEastAsia" w:hAnsiTheme="minorEastAsia" w:cstheme="minorEastAsia"/>
          <w:color w:val="auto"/>
          <w:sz w:val="24"/>
          <w:szCs w:val="24"/>
          <w:highlight w:val="none"/>
          <w:lang w:eastAsia="zh-CN"/>
        </w:rPr>
        <w:t>（合同</w:t>
      </w:r>
      <w:r>
        <w:rPr>
          <w:rFonts w:hint="eastAsia" w:eastAsia="宋体" w:asciiTheme="minorEastAsia" w:hAnsiTheme="minorEastAsia" w:cstheme="minorEastAsia"/>
          <w:color w:val="0000FF"/>
          <w:sz w:val="24"/>
          <w:szCs w:val="24"/>
          <w:highlight w:val="none"/>
          <w:lang w:eastAsia="zh-CN"/>
        </w:rPr>
        <w:t>关键页</w:t>
      </w:r>
      <w:r>
        <w:rPr>
          <w:rFonts w:hint="eastAsia" w:eastAsia="宋体" w:asciiTheme="minorEastAsia" w:hAnsiTheme="minorEastAsia" w:cstheme="minorEastAsia"/>
          <w:color w:val="auto"/>
          <w:sz w:val="24"/>
          <w:szCs w:val="24"/>
          <w:highlight w:val="none"/>
          <w:lang w:eastAsia="zh-CN"/>
        </w:rPr>
        <w:t>包括：合同封面、主要内容页及双方签章页）</w:t>
      </w:r>
      <w:r>
        <w:rPr>
          <w:rFonts w:hint="eastAsia" w:eastAsia="宋体" w:asciiTheme="minorEastAsia" w:hAnsiTheme="minorEastAsia" w:cstheme="minorEastAsia"/>
          <w:color w:val="auto"/>
          <w:sz w:val="24"/>
          <w:szCs w:val="24"/>
          <w:lang w:val="en-US" w:eastAsia="zh-CN"/>
        </w:rPr>
        <w:t>。</w:t>
      </w:r>
    </w:p>
    <w:p w14:paraId="4C5FD31A">
      <w:pPr>
        <w:pStyle w:val="5"/>
        <w:widowControl w:val="0"/>
        <w:numPr>
          <w:ilvl w:val="0"/>
          <w:numId w:val="0"/>
        </w:numPr>
        <w:jc w:val="both"/>
        <w:rPr>
          <w:rFonts w:hint="eastAsia"/>
          <w:lang w:val="en-US" w:eastAsia="zh-CN"/>
        </w:rPr>
      </w:pPr>
    </w:p>
    <w:p w14:paraId="385F692A">
      <w:pPr>
        <w:pStyle w:val="5"/>
        <w:widowControl w:val="0"/>
        <w:numPr>
          <w:ilvl w:val="0"/>
          <w:numId w:val="0"/>
        </w:numPr>
        <w:jc w:val="both"/>
        <w:rPr>
          <w:rFonts w:hint="eastAsia"/>
          <w:lang w:val="en-US" w:eastAsia="zh-CN"/>
        </w:rPr>
      </w:pPr>
    </w:p>
    <w:p w14:paraId="5209465B">
      <w:pPr>
        <w:pStyle w:val="5"/>
        <w:widowControl w:val="0"/>
        <w:numPr>
          <w:ilvl w:val="0"/>
          <w:numId w:val="0"/>
        </w:numPr>
        <w:jc w:val="both"/>
        <w:rPr>
          <w:rFonts w:hint="eastAsia"/>
          <w:lang w:val="en-US" w:eastAsia="zh-CN"/>
        </w:rPr>
      </w:pPr>
    </w:p>
    <w:p w14:paraId="34D9BC01">
      <w:pPr>
        <w:pStyle w:val="5"/>
        <w:widowControl w:val="0"/>
        <w:numPr>
          <w:ilvl w:val="0"/>
          <w:numId w:val="0"/>
        </w:numPr>
        <w:jc w:val="both"/>
        <w:rPr>
          <w:rFonts w:hint="eastAsia"/>
          <w:lang w:val="en-US" w:eastAsia="zh-CN"/>
        </w:rPr>
      </w:pPr>
    </w:p>
    <w:p w14:paraId="3282C4C6">
      <w:pPr>
        <w:pStyle w:val="5"/>
        <w:widowControl w:val="0"/>
        <w:numPr>
          <w:ilvl w:val="0"/>
          <w:numId w:val="0"/>
        </w:numPr>
        <w:jc w:val="both"/>
        <w:rPr>
          <w:rFonts w:hint="eastAsia"/>
          <w:lang w:val="en-US" w:eastAsia="zh-CN"/>
        </w:rPr>
      </w:pPr>
    </w:p>
    <w:p w14:paraId="3B572729">
      <w:pPr>
        <w:pStyle w:val="5"/>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5"/>
        <w:widowControl w:val="0"/>
        <w:numPr>
          <w:ilvl w:val="0"/>
          <w:numId w:val="0"/>
        </w:numPr>
        <w:jc w:val="both"/>
        <w:rPr>
          <w:rFonts w:hint="eastAsia"/>
          <w:lang w:val="en-US" w:eastAsia="zh-CN"/>
        </w:rPr>
      </w:pPr>
    </w:p>
    <w:p w14:paraId="23C0386E">
      <w:pPr>
        <w:pStyle w:val="5"/>
        <w:widowControl w:val="0"/>
        <w:numPr>
          <w:ilvl w:val="0"/>
          <w:numId w:val="0"/>
        </w:numPr>
        <w:jc w:val="both"/>
        <w:rPr>
          <w:rFonts w:hint="eastAsia"/>
          <w:lang w:val="en-US" w:eastAsia="zh-CN"/>
        </w:rPr>
      </w:pPr>
    </w:p>
    <w:p w14:paraId="0DC6F2E8">
      <w:pPr>
        <w:pStyle w:val="5"/>
        <w:widowControl w:val="0"/>
        <w:numPr>
          <w:ilvl w:val="0"/>
          <w:numId w:val="0"/>
        </w:numPr>
        <w:jc w:val="both"/>
        <w:rPr>
          <w:rFonts w:hint="eastAsia"/>
          <w:lang w:val="en-US" w:eastAsia="zh-CN"/>
        </w:rPr>
      </w:pPr>
    </w:p>
    <w:p w14:paraId="1DACFC33">
      <w:pPr>
        <w:pStyle w:val="5"/>
        <w:widowControl w:val="0"/>
        <w:numPr>
          <w:ilvl w:val="0"/>
          <w:numId w:val="0"/>
        </w:numPr>
        <w:jc w:val="both"/>
        <w:rPr>
          <w:rFonts w:hint="eastAsia"/>
          <w:lang w:val="en-US" w:eastAsia="zh-CN"/>
        </w:rPr>
      </w:pPr>
    </w:p>
    <w:p w14:paraId="7F9D669C">
      <w:pPr>
        <w:pStyle w:val="5"/>
        <w:widowControl w:val="0"/>
        <w:numPr>
          <w:ilvl w:val="0"/>
          <w:numId w:val="0"/>
        </w:numPr>
        <w:jc w:val="both"/>
        <w:rPr>
          <w:rFonts w:hint="eastAsia"/>
          <w:lang w:val="en-US" w:eastAsia="zh-CN"/>
        </w:rPr>
      </w:pPr>
    </w:p>
    <w:p w14:paraId="4B12E55B">
      <w:pPr>
        <w:pStyle w:val="5"/>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项目负责人资格</w:t>
      </w:r>
    </w:p>
    <w:p w14:paraId="2EF3335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asciiTheme="minorEastAsia" w:hAnsiTheme="minorEastAsia" w:cstheme="minorEastAsia"/>
          <w:color w:val="auto"/>
          <w:sz w:val="24"/>
          <w:szCs w:val="24"/>
          <w:highlight w:val="none"/>
          <w:lang w:val="en-US" w:eastAsia="zh-CN"/>
        </w:rPr>
        <w:t>拟派</w:t>
      </w:r>
      <w:r>
        <w:rPr>
          <w:rFonts w:hint="eastAsia" w:ascii="Segoe UI" w:hAnsi="Segoe UI" w:eastAsia="宋体" w:cs="Segoe UI"/>
          <w:i w:val="0"/>
          <w:iCs w:val="0"/>
          <w:caps w:val="0"/>
          <w:color w:val="0F1115"/>
          <w:spacing w:val="0"/>
          <w:sz w:val="24"/>
          <w:szCs w:val="24"/>
          <w:highlight w:val="none"/>
          <w:shd w:val="clear" w:fill="FFFFFF"/>
          <w:lang w:val="en-US" w:eastAsia="zh-CN"/>
        </w:rPr>
        <w:t>项目负责人</w:t>
      </w:r>
      <w:r>
        <w:rPr>
          <w:rFonts w:ascii="Segoe UI" w:hAnsi="Segoe UI" w:eastAsia="Segoe UI" w:cs="Segoe UI"/>
          <w:i w:val="0"/>
          <w:iCs w:val="0"/>
          <w:caps w:val="0"/>
          <w:color w:val="0F1115"/>
          <w:spacing w:val="0"/>
          <w:sz w:val="24"/>
          <w:szCs w:val="24"/>
          <w:highlight w:val="none"/>
          <w:shd w:val="clear" w:fill="FFFFFF"/>
        </w:rPr>
        <w:t>必须持有</w:t>
      </w:r>
      <w:r>
        <w:rPr>
          <w:rFonts w:hint="default" w:ascii="Segoe UI" w:hAnsi="Segoe UI" w:eastAsia="Segoe UI" w:cs="Segoe UI"/>
          <w:b w:val="0"/>
          <w:bCs w:val="0"/>
          <w:i w:val="0"/>
          <w:iCs w:val="0"/>
          <w:caps w:val="0"/>
          <w:color w:val="0F1115"/>
          <w:spacing w:val="0"/>
          <w:sz w:val="24"/>
          <w:szCs w:val="24"/>
          <w:highlight w:val="none"/>
          <w:shd w:val="clear" w:fill="FFFFFF"/>
        </w:rPr>
        <w:t>广东省气象学会</w:t>
      </w:r>
      <w:r>
        <w:rPr>
          <w:rFonts w:hint="default" w:ascii="Segoe UI" w:hAnsi="Segoe UI" w:eastAsia="Segoe UI" w:cs="Segoe UI"/>
          <w:i w:val="0"/>
          <w:iCs w:val="0"/>
          <w:caps w:val="0"/>
          <w:color w:val="0F1115"/>
          <w:spacing w:val="0"/>
          <w:sz w:val="24"/>
          <w:szCs w:val="24"/>
          <w:highlight w:val="none"/>
          <w:shd w:val="clear" w:fill="FFFFFF"/>
        </w:rPr>
        <w:t>颁发的《防雷装置检测能力评价证书》（或国家级同等效力证书）。</w:t>
      </w:r>
      <w:r>
        <w:rPr>
          <w:rFonts w:hint="eastAsia" w:eastAsia="宋体" w:asciiTheme="minorEastAsia" w:hAnsiTheme="minorEastAsia" w:cstheme="minorEastAsia"/>
          <w:color w:val="auto"/>
          <w:sz w:val="24"/>
          <w:szCs w:val="24"/>
          <w:lang w:eastAsia="zh-CN"/>
        </w:rPr>
        <w:t>提供有效的证</w:t>
      </w:r>
      <w:r>
        <w:rPr>
          <w:rFonts w:hint="eastAsia"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asciiTheme="minorEastAsia" w:hAnsiTheme="minorEastAsia" w:cstheme="minorEastAsia"/>
          <w:color w:val="auto"/>
          <w:sz w:val="24"/>
          <w:szCs w:val="24"/>
          <w:lang w:val="en-US" w:eastAsia="zh-CN"/>
        </w:rPr>
        <w:t>提供</w:t>
      </w:r>
      <w:r>
        <w:rPr>
          <w:rFonts w:hint="eastAsia" w:ascii="宋体" w:hAnsi="宋体" w:eastAsia="宋体" w:cs="宋体"/>
          <w:color w:val="auto"/>
          <w:kern w:val="2"/>
          <w:sz w:val="24"/>
          <w:szCs w:val="24"/>
          <w:highlight w:val="none"/>
          <w:lang w:val="en-US" w:eastAsia="zh-CN" w:bidi="ar-SA"/>
        </w:rPr>
        <w:t>响应截止日前</w:t>
      </w:r>
      <w:r>
        <w:rPr>
          <w:rFonts w:hint="eastAsia" w:ascii="宋体" w:hAnsi="宋体" w:cs="宋体"/>
          <w:color w:val="auto"/>
          <w:kern w:val="2"/>
          <w:sz w:val="24"/>
          <w:szCs w:val="24"/>
          <w:highlight w:val="none"/>
          <w:lang w:val="en-US" w:eastAsia="zh-CN" w:bidi="ar-SA"/>
        </w:rPr>
        <w:t>六</w:t>
      </w:r>
      <w:r>
        <w:rPr>
          <w:rFonts w:hint="eastAsia" w:ascii="宋体" w:hAnsi="宋体" w:eastAsia="宋体" w:cs="宋体"/>
          <w:color w:val="auto"/>
          <w:kern w:val="2"/>
          <w:sz w:val="24"/>
          <w:szCs w:val="24"/>
          <w:highlight w:val="none"/>
          <w:lang w:val="en-US" w:eastAsia="zh-CN" w:bidi="ar-SA"/>
        </w:rPr>
        <w:t>个月内任一月</w:t>
      </w:r>
      <w:r>
        <w:rPr>
          <w:rFonts w:hint="eastAsia" w:ascii="宋体" w:hAnsi="宋体" w:cs="宋体"/>
          <w:color w:val="auto"/>
          <w:kern w:val="2"/>
          <w:sz w:val="24"/>
          <w:szCs w:val="24"/>
          <w:highlight w:val="none"/>
          <w:lang w:val="en-US" w:eastAsia="zh-CN" w:bidi="ar-SA"/>
        </w:rPr>
        <w:t>份由</w:t>
      </w:r>
      <w:r>
        <w:rPr>
          <w:rFonts w:hint="eastAsia" w:ascii="宋体" w:hAnsi="宋体" w:eastAsia="宋体" w:cs="宋体"/>
          <w:color w:val="auto"/>
          <w:kern w:val="2"/>
          <w:sz w:val="24"/>
          <w:szCs w:val="24"/>
          <w:highlight w:val="none"/>
          <w:lang w:val="en-US" w:eastAsia="zh-CN" w:bidi="ar-SA"/>
        </w:rPr>
        <w:t>供应商</w:t>
      </w:r>
      <w:r>
        <w:rPr>
          <w:rFonts w:hint="eastAsia" w:ascii="宋体" w:hAnsi="宋体" w:cs="宋体"/>
          <w:color w:val="auto"/>
          <w:kern w:val="2"/>
          <w:sz w:val="24"/>
          <w:szCs w:val="24"/>
          <w:highlight w:val="none"/>
          <w:lang w:val="en-US" w:eastAsia="zh-CN" w:bidi="ar-SA"/>
        </w:rPr>
        <w:t>为其</w:t>
      </w:r>
      <w:r>
        <w:rPr>
          <w:rFonts w:hint="eastAsia" w:ascii="宋体" w:hAnsi="宋体" w:eastAsia="宋体" w:cs="宋体"/>
          <w:color w:val="auto"/>
          <w:kern w:val="2"/>
          <w:sz w:val="24"/>
          <w:szCs w:val="24"/>
          <w:highlight w:val="none"/>
          <w:lang w:val="en-US" w:eastAsia="zh-CN" w:bidi="ar-SA"/>
        </w:rPr>
        <w:t>缴纳的社保证明</w:t>
      </w:r>
      <w:r>
        <w:rPr>
          <w:rFonts w:hint="eastAsia" w:ascii="宋体" w:hAnsi="宋体" w:cs="宋体"/>
          <w:color w:val="auto"/>
          <w:kern w:val="2"/>
          <w:sz w:val="24"/>
          <w:szCs w:val="24"/>
          <w:highlight w:val="none"/>
          <w:lang w:val="en-US" w:eastAsia="zh-CN" w:bidi="ar-SA"/>
        </w:rPr>
        <w:t>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5"/>
        <w:widowControl w:val="0"/>
        <w:numPr>
          <w:ilvl w:val="0"/>
          <w:numId w:val="0"/>
        </w:numPr>
        <w:jc w:val="both"/>
        <w:rPr>
          <w:rFonts w:hint="eastAsia"/>
          <w:sz w:val="28"/>
          <w:szCs w:val="28"/>
          <w:lang w:val="en-US" w:eastAsia="zh-CN"/>
        </w:rPr>
      </w:pPr>
    </w:p>
    <w:p w14:paraId="0F7ABC7E">
      <w:pPr>
        <w:pStyle w:val="5"/>
        <w:widowControl w:val="0"/>
        <w:numPr>
          <w:ilvl w:val="0"/>
          <w:numId w:val="0"/>
        </w:numPr>
        <w:jc w:val="both"/>
        <w:rPr>
          <w:rFonts w:hint="eastAsia"/>
          <w:sz w:val="28"/>
          <w:szCs w:val="28"/>
          <w:lang w:val="en-US" w:eastAsia="zh-CN"/>
        </w:rPr>
      </w:pPr>
    </w:p>
    <w:p w14:paraId="1346ADA3">
      <w:pPr>
        <w:pStyle w:val="5"/>
        <w:widowControl w:val="0"/>
        <w:numPr>
          <w:ilvl w:val="0"/>
          <w:numId w:val="0"/>
        </w:numPr>
        <w:jc w:val="both"/>
        <w:rPr>
          <w:rFonts w:hint="eastAsia"/>
          <w:sz w:val="28"/>
          <w:szCs w:val="28"/>
          <w:lang w:val="en-US" w:eastAsia="zh-CN"/>
        </w:rPr>
      </w:pPr>
    </w:p>
    <w:p w14:paraId="5B7455E4">
      <w:pPr>
        <w:pStyle w:val="2"/>
        <w:ind w:left="0" w:leftChars="0" w:firstLine="0" w:firstLineChars="0"/>
        <w:jc w:val="cente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（五）</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信息登记或备案证明</w:t>
      </w:r>
    </w:p>
    <w:p w14:paraId="54D21518">
      <w:pPr>
        <w:pStyle w:val="2"/>
        <w:rPr>
          <w:rFonts w:hint="eastAsia" w:ascii="宋体" w:hAnsi="宋体" w:eastAsia="宋体" w:cs="宋体"/>
          <w:color w:val="auto"/>
          <w:kern w:val="2"/>
          <w:sz w:val="24"/>
          <w:szCs w:val="24"/>
          <w:lang w:val="en-US" w:eastAsia="zh-CN" w:bidi="ar-SA"/>
        </w:rPr>
      </w:pPr>
      <w:r>
        <w:rPr>
          <w:rFonts w:hint="eastAsia" w:asciiTheme="minorEastAsia" w:hAnsiTheme="minorEastAsia" w:cstheme="minorEastAsia"/>
          <w:color w:val="auto"/>
          <w:sz w:val="24"/>
          <w:szCs w:val="24"/>
          <w:lang w:val="en-US" w:eastAsia="zh-CN"/>
        </w:rPr>
        <w:t>若供应商为广东省外的企业，须提供在项目所在地省级气象主管机构的信息登记或备案证明。</w:t>
      </w:r>
    </w:p>
    <w:p w14:paraId="0A2D2109">
      <w:pPr>
        <w:pStyle w:val="2"/>
        <w:rPr>
          <w:rFonts w:hint="eastAsia" w:ascii="宋体" w:hAnsi="宋体" w:eastAsia="宋体" w:cs="宋体"/>
          <w:color w:val="auto"/>
          <w:kern w:val="2"/>
          <w:sz w:val="24"/>
          <w:szCs w:val="24"/>
          <w:lang w:val="en-US" w:eastAsia="zh-CN" w:bidi="ar-SA"/>
        </w:rPr>
      </w:pPr>
    </w:p>
    <w:p w14:paraId="49B434AC">
      <w:pPr>
        <w:pStyle w:val="2"/>
        <w:rPr>
          <w:rFonts w:hint="eastAsia" w:ascii="宋体" w:hAnsi="宋体" w:eastAsia="宋体" w:cs="宋体"/>
          <w:color w:val="auto"/>
          <w:kern w:val="2"/>
          <w:sz w:val="24"/>
          <w:szCs w:val="24"/>
          <w:lang w:val="en-US" w:eastAsia="zh-CN" w:bidi="ar-SA"/>
        </w:rPr>
      </w:pPr>
    </w:p>
    <w:p w14:paraId="682B16E1">
      <w:pPr>
        <w:pStyle w:val="2"/>
        <w:rPr>
          <w:rFonts w:hint="eastAsia" w:ascii="宋体" w:hAnsi="宋体" w:eastAsia="宋体" w:cs="宋体"/>
          <w:color w:val="auto"/>
          <w:kern w:val="2"/>
          <w:sz w:val="24"/>
          <w:szCs w:val="24"/>
          <w:lang w:val="en-US" w:eastAsia="zh-CN" w:bidi="ar-SA"/>
        </w:rPr>
      </w:pPr>
    </w:p>
    <w:p w14:paraId="0703D236">
      <w:pPr>
        <w:pStyle w:val="2"/>
        <w:rPr>
          <w:rFonts w:hint="eastAsia" w:ascii="宋体" w:hAnsi="宋体" w:eastAsia="宋体" w:cs="宋体"/>
          <w:color w:val="auto"/>
          <w:kern w:val="2"/>
          <w:sz w:val="24"/>
          <w:szCs w:val="24"/>
          <w:lang w:val="en-US" w:eastAsia="zh-CN" w:bidi="ar-SA"/>
        </w:rPr>
      </w:pPr>
    </w:p>
    <w:p w14:paraId="5546310B">
      <w:pPr>
        <w:pStyle w:val="2"/>
        <w:rPr>
          <w:rFonts w:hint="eastAsia" w:ascii="宋体" w:hAnsi="宋体" w:eastAsia="宋体" w:cs="宋体"/>
          <w:color w:val="auto"/>
          <w:kern w:val="2"/>
          <w:sz w:val="24"/>
          <w:szCs w:val="24"/>
          <w:lang w:val="en-US" w:eastAsia="zh-CN" w:bidi="ar-SA"/>
        </w:rPr>
      </w:pPr>
    </w:p>
    <w:p w14:paraId="0FDC681D">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BF6D9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83F0D1">
      <w:pPr>
        <w:pStyle w:val="2"/>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2C4AF28">
      <w:pPr>
        <w:pStyle w:val="2"/>
        <w:ind w:firstLine="3600" w:firstLineChars="1500"/>
        <w:rPr>
          <w:rFonts w:hint="eastAsia" w:ascii="宋体" w:hAnsi="宋体" w:cs="宋体"/>
          <w:color w:val="000000" w:themeColor="text1"/>
          <w:sz w:val="24"/>
          <w14:textFill>
            <w14:solidFill>
              <w14:schemeClr w14:val="tx1"/>
            </w14:solidFill>
          </w14:textFill>
        </w:rPr>
      </w:pPr>
    </w:p>
    <w:p w14:paraId="361F41F6">
      <w:pPr>
        <w:pStyle w:val="5"/>
        <w:widowControl w:val="0"/>
        <w:numPr>
          <w:ilvl w:val="0"/>
          <w:numId w:val="0"/>
        </w:numPr>
        <w:jc w:val="both"/>
        <w:rPr>
          <w:rFonts w:hint="eastAsia"/>
          <w:sz w:val="28"/>
          <w:szCs w:val="28"/>
          <w:lang w:val="en-US" w:eastAsia="zh-CN"/>
        </w:rPr>
      </w:pPr>
    </w:p>
    <w:p w14:paraId="62032C2D">
      <w:pPr>
        <w:pStyle w:val="5"/>
        <w:widowControl w:val="0"/>
        <w:numPr>
          <w:ilvl w:val="0"/>
          <w:numId w:val="0"/>
        </w:numPr>
        <w:jc w:val="both"/>
        <w:rPr>
          <w:rFonts w:hint="eastAsia"/>
          <w:sz w:val="28"/>
          <w:szCs w:val="28"/>
          <w:lang w:val="en-US" w:eastAsia="zh-CN"/>
        </w:rPr>
      </w:pPr>
    </w:p>
    <w:p w14:paraId="49ABA085">
      <w:pPr>
        <w:pStyle w:val="5"/>
        <w:widowControl w:val="0"/>
        <w:numPr>
          <w:ilvl w:val="0"/>
          <w:numId w:val="0"/>
        </w:numPr>
        <w:jc w:val="both"/>
        <w:rPr>
          <w:rFonts w:hint="eastAsia"/>
          <w:sz w:val="28"/>
          <w:szCs w:val="28"/>
          <w:lang w:val="en-US" w:eastAsia="zh-CN"/>
        </w:rPr>
      </w:pPr>
    </w:p>
    <w:p w14:paraId="1CEC0FEF">
      <w:pPr>
        <w:pStyle w:val="5"/>
        <w:widowControl w:val="0"/>
        <w:numPr>
          <w:ilvl w:val="0"/>
          <w:numId w:val="0"/>
        </w:numPr>
        <w:jc w:val="both"/>
        <w:rPr>
          <w:rFonts w:hint="eastAsia"/>
          <w:sz w:val="28"/>
          <w:szCs w:val="28"/>
          <w:lang w:val="en-US" w:eastAsia="zh-CN"/>
        </w:rPr>
      </w:pPr>
    </w:p>
    <w:p w14:paraId="00F22274">
      <w:pPr>
        <w:rPr>
          <w:rFonts w:hint="eastAsia" w:ascii="宋体" w:hAnsi="宋体" w:eastAsia="宋体" w:cs="Times New Roman"/>
          <w:b/>
          <w:color w:val="000000"/>
          <w:sz w:val="32"/>
          <w:szCs w:val="32"/>
          <w:lang w:eastAsia="zh-CN"/>
        </w:rPr>
      </w:pPr>
      <w:r>
        <w:rPr>
          <w:rFonts w:hint="eastAsia" w:ascii="宋体" w:hAnsi="宋体" w:eastAsia="宋体" w:cs="Times New Roman"/>
          <w:b/>
          <w:color w:val="000000"/>
          <w:sz w:val="32"/>
          <w:szCs w:val="32"/>
          <w:lang w:eastAsia="zh-CN"/>
        </w:rPr>
        <w:br w:type="page"/>
      </w: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20"/>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02F2E2BD">
      <w:pPr>
        <w:spacing w:line="360" w:lineRule="auto"/>
        <w:jc w:val="left"/>
        <w:rPr>
          <w:rFonts w:hint="default" w:eastAsia="宋体" w:asciiTheme="minorEastAsia" w:hAnsiTheme="minorEastAsia" w:cstheme="minorEastAsia"/>
          <w:b/>
          <w:bCs/>
          <w:color w:val="auto"/>
          <w:kern w:val="2"/>
          <w:sz w:val="32"/>
          <w:szCs w:val="32"/>
          <w:lang w:val="en-US" w:eastAsia="zh-CN" w:bidi="ar-SA"/>
        </w:rPr>
      </w:pPr>
      <w:r>
        <w:rPr>
          <w:rFonts w:hint="eastAsia" w:asciiTheme="minorEastAsia" w:hAnsiTheme="minorEastAsia" w:cstheme="minorEastAsia"/>
          <w:b/>
          <w:bCs/>
          <w:color w:val="auto"/>
          <w:kern w:val="2"/>
          <w:sz w:val="32"/>
          <w:szCs w:val="32"/>
          <w:lang w:val="en-US" w:eastAsia="zh-CN" w:bidi="ar-SA"/>
        </w:rPr>
        <w:t>附件三</w:t>
      </w:r>
    </w:p>
    <w:p w14:paraId="30F204DC">
      <w:pPr>
        <w:spacing w:line="480" w:lineRule="auto"/>
        <w:rPr>
          <w:rFonts w:ascii="宋体" w:hAnsi="宋体"/>
          <w:b/>
          <w:bCs/>
          <w:sz w:val="44"/>
          <w:szCs w:val="44"/>
        </w:rPr>
      </w:pPr>
      <w:r>
        <w:rPr>
          <w:rFonts w:hint="eastAsia" w:ascii="宋体" w:hAnsi="宋体" w:cs="宋体"/>
          <w:sz w:val="24"/>
          <w:szCs w:val="24"/>
          <w:u w:val="none"/>
          <w:lang w:val="en-US" w:eastAsia="zh-CN"/>
        </w:rPr>
        <w:t xml:space="preserve">                                     </w:t>
      </w:r>
    </w:p>
    <w:p w14:paraId="1E2D6ECE">
      <w:pPr>
        <w:wordWrap/>
        <w:spacing w:line="360" w:lineRule="auto"/>
        <w:jc w:val="left"/>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合同编号：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14:paraId="25B2C770">
      <w:pPr>
        <w:wordWrap/>
        <w:spacing w:line="360" w:lineRule="auto"/>
        <w:jc w:val="right"/>
        <w:rPr>
          <w:rFonts w:hint="eastAsia" w:ascii="仿宋" w:hAnsi="仿宋" w:eastAsia="仿宋" w:cs="仿宋"/>
          <w:sz w:val="36"/>
          <w:szCs w:val="36"/>
          <w:u w:val="single"/>
          <w:lang w:val="en-US" w:eastAsia="zh-CN"/>
        </w:rPr>
      </w:pPr>
    </w:p>
    <w:p w14:paraId="5E7E6CB7">
      <w:pPr>
        <w:spacing w:line="360" w:lineRule="auto"/>
        <w:jc w:val="center"/>
        <w:rPr>
          <w:rFonts w:hint="eastAsia" w:ascii="仿宋" w:hAnsi="仿宋" w:eastAsia="仿宋" w:cs="仿宋"/>
          <w:sz w:val="36"/>
          <w:szCs w:val="36"/>
          <w:lang w:val="zh-CN" w:eastAsia="zh-CN"/>
        </w:rPr>
      </w:pPr>
      <w:r>
        <w:rPr>
          <w:rFonts w:hint="eastAsia" w:ascii="仿宋" w:hAnsi="仿宋" w:eastAsia="仿宋" w:cs="仿宋"/>
          <w:sz w:val="36"/>
          <w:szCs w:val="36"/>
          <w:lang w:val="zh-CN" w:eastAsia="zh-CN"/>
        </w:rPr>
        <w:t>2026年-2028年北院区、南院区建筑防雷设施检测</w:t>
      </w:r>
    </w:p>
    <w:p w14:paraId="5C421D10">
      <w:pPr>
        <w:spacing w:line="360" w:lineRule="auto"/>
        <w:jc w:val="center"/>
        <w:rPr>
          <w:rFonts w:hint="eastAsia" w:ascii="仿宋" w:hAnsi="仿宋" w:eastAsia="仿宋" w:cs="仿宋"/>
          <w:sz w:val="36"/>
          <w:szCs w:val="36"/>
        </w:rPr>
      </w:pPr>
      <w:r>
        <w:rPr>
          <w:rFonts w:hint="eastAsia" w:ascii="仿宋" w:hAnsi="仿宋" w:eastAsia="仿宋" w:cs="仿宋"/>
          <w:sz w:val="36"/>
          <w:szCs w:val="36"/>
          <w:lang w:val="zh-CN"/>
        </w:rPr>
        <w:t>项目</w:t>
      </w:r>
    </w:p>
    <w:p w14:paraId="155A6788">
      <w:pPr>
        <w:spacing w:line="360" w:lineRule="auto"/>
        <w:jc w:val="center"/>
        <w:rPr>
          <w:rFonts w:hint="eastAsia" w:ascii="仿宋" w:hAnsi="仿宋" w:eastAsia="仿宋" w:cs="仿宋"/>
          <w:sz w:val="32"/>
        </w:rPr>
      </w:pPr>
    </w:p>
    <w:p w14:paraId="27D716AA">
      <w:pPr>
        <w:pStyle w:val="7"/>
        <w:spacing w:line="360" w:lineRule="auto"/>
        <w:rPr>
          <w:rFonts w:hint="eastAsia" w:ascii="仿宋" w:hAnsi="仿宋" w:eastAsia="仿宋" w:cs="仿宋"/>
          <w:sz w:val="32"/>
        </w:rPr>
      </w:pPr>
    </w:p>
    <w:p w14:paraId="58CDF066">
      <w:pPr>
        <w:pStyle w:val="7"/>
        <w:spacing w:line="360" w:lineRule="auto"/>
        <w:rPr>
          <w:rFonts w:hint="eastAsia" w:ascii="仿宋" w:hAnsi="仿宋" w:eastAsia="仿宋" w:cs="仿宋"/>
          <w:sz w:val="32"/>
        </w:rPr>
      </w:pPr>
    </w:p>
    <w:p w14:paraId="041C9CC5">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47398492">
      <w:pPr>
        <w:pStyle w:val="7"/>
        <w:spacing w:line="360" w:lineRule="auto"/>
        <w:rPr>
          <w:rFonts w:hint="eastAsia" w:ascii="仿宋" w:hAnsi="仿宋" w:eastAsia="仿宋" w:cs="仿宋"/>
          <w:b/>
          <w:sz w:val="72"/>
          <w:szCs w:val="72"/>
        </w:rPr>
      </w:pPr>
    </w:p>
    <w:p w14:paraId="10A8260E">
      <w:pPr>
        <w:pStyle w:val="7"/>
        <w:spacing w:line="360" w:lineRule="auto"/>
        <w:rPr>
          <w:rFonts w:hint="eastAsia" w:ascii="仿宋" w:hAnsi="仿宋" w:eastAsia="仿宋" w:cs="仿宋"/>
          <w:b/>
          <w:sz w:val="72"/>
          <w:szCs w:val="72"/>
        </w:rPr>
      </w:pPr>
    </w:p>
    <w:p w14:paraId="05E91F89">
      <w:pPr>
        <w:spacing w:line="360" w:lineRule="auto"/>
        <w:jc w:val="center"/>
        <w:rPr>
          <w:rFonts w:hint="eastAsia" w:ascii="仿宋" w:hAnsi="仿宋" w:eastAsia="仿宋" w:cs="仿宋"/>
          <w:sz w:val="32"/>
        </w:rPr>
      </w:pPr>
    </w:p>
    <w:p w14:paraId="5E33DD07">
      <w:pPr>
        <w:spacing w:line="360" w:lineRule="auto"/>
        <w:ind w:firstLine="1280" w:firstLineChars="400"/>
        <w:jc w:val="left"/>
        <w:rPr>
          <w:rFonts w:hint="eastAsia" w:ascii="仿宋" w:hAnsi="仿宋" w:eastAsia="仿宋" w:cs="仿宋"/>
          <w:sz w:val="32"/>
          <w:u w:val="single"/>
          <w:lang w:val="en-US" w:eastAsia="zh-CN"/>
        </w:rPr>
      </w:pPr>
      <w:r>
        <w:rPr>
          <w:rFonts w:hint="eastAsia" w:ascii="仿宋" w:hAnsi="仿宋" w:eastAsia="仿宋" w:cs="仿宋"/>
          <w:sz w:val="32"/>
          <w:lang w:val="en-US" w:eastAsia="zh-CN"/>
        </w:rPr>
        <w:t>甲</w:t>
      </w:r>
      <w:r>
        <w:rPr>
          <w:rFonts w:hint="eastAsia" w:ascii="仿宋" w:hAnsi="仿宋" w:eastAsia="仿宋" w:cs="仿宋"/>
          <w:sz w:val="32"/>
        </w:rPr>
        <w:t>方：</w:t>
      </w:r>
      <w:r>
        <w:rPr>
          <w:rFonts w:hint="eastAsia" w:ascii="仿宋" w:hAnsi="仿宋" w:eastAsia="仿宋" w:cs="仿宋"/>
          <w:sz w:val="32"/>
          <w:u w:val="single"/>
          <w:lang w:val="en-US" w:eastAsia="zh-CN"/>
        </w:rPr>
        <w:t xml:space="preserve"> </w:t>
      </w:r>
      <w:r>
        <w:rPr>
          <w:rFonts w:hint="eastAsia" w:ascii="仿宋" w:hAnsi="仿宋" w:eastAsia="仿宋" w:cs="仿宋"/>
          <w:sz w:val="32"/>
          <w:u w:val="single"/>
        </w:rPr>
        <w:t>中山大学孙逸仙纪念医院</w:t>
      </w:r>
      <w:r>
        <w:rPr>
          <w:rFonts w:hint="eastAsia" w:ascii="仿宋" w:hAnsi="仿宋" w:eastAsia="仿宋" w:cs="仿宋"/>
          <w:sz w:val="32"/>
          <w:u w:val="single"/>
          <w:lang w:val="en-US" w:eastAsia="zh-CN"/>
        </w:rPr>
        <w:t xml:space="preserve"> </w:t>
      </w:r>
    </w:p>
    <w:p w14:paraId="61A38CBC">
      <w:pPr>
        <w:spacing w:line="360" w:lineRule="auto"/>
        <w:ind w:left="0" w:leftChars="0" w:firstLine="1280" w:firstLineChars="400"/>
        <w:rPr>
          <w:rFonts w:hint="default" w:ascii="仿宋" w:hAnsi="仿宋" w:eastAsia="仿宋" w:cs="仿宋"/>
          <w:sz w:val="32"/>
          <w:lang w:val="en-US"/>
        </w:rPr>
      </w:pPr>
      <w:r>
        <w:rPr>
          <w:rFonts w:hint="eastAsia" w:ascii="仿宋" w:hAnsi="仿宋" w:eastAsia="仿宋" w:cs="仿宋"/>
          <w:sz w:val="32"/>
          <w:lang w:val="en-US" w:eastAsia="zh-CN"/>
        </w:rPr>
        <w:t>乙</w:t>
      </w:r>
      <w:r>
        <w:rPr>
          <w:rFonts w:hint="eastAsia" w:ascii="仿宋" w:hAnsi="仿宋" w:eastAsia="仿宋" w:cs="仿宋"/>
          <w:sz w:val="32"/>
        </w:rPr>
        <w:t>方：</w:t>
      </w:r>
      <w:r>
        <w:rPr>
          <w:rFonts w:hint="eastAsia" w:ascii="仿宋" w:hAnsi="仿宋" w:eastAsia="仿宋" w:cs="仿宋"/>
          <w:i w:val="0"/>
          <w:iCs w:val="0"/>
          <w:caps w:val="0"/>
          <w:spacing w:val="0"/>
          <w:kern w:val="2"/>
          <w:sz w:val="32"/>
          <w:szCs w:val="24"/>
          <w:u w:val="single"/>
          <w:shd w:val="clear"/>
          <w:lang w:val="en-US" w:eastAsia="zh-CN" w:bidi="ar"/>
        </w:rPr>
        <w:t xml:space="preserve">                        </w:t>
      </w:r>
    </w:p>
    <w:p w14:paraId="4D780F48">
      <w:pPr>
        <w:pStyle w:val="7"/>
        <w:spacing w:line="360" w:lineRule="auto"/>
        <w:rPr>
          <w:rFonts w:hint="eastAsia" w:ascii="仿宋" w:hAnsi="仿宋" w:eastAsia="仿宋" w:cs="仿宋"/>
          <w:sz w:val="32"/>
        </w:rPr>
      </w:pPr>
    </w:p>
    <w:p w14:paraId="37FF119A">
      <w:pPr>
        <w:pStyle w:val="7"/>
        <w:spacing w:line="360" w:lineRule="auto"/>
        <w:rPr>
          <w:rFonts w:hint="eastAsia" w:ascii="仿宋" w:hAnsi="仿宋" w:eastAsia="仿宋" w:cs="仿宋"/>
          <w:sz w:val="32"/>
        </w:rPr>
      </w:pPr>
    </w:p>
    <w:p w14:paraId="7831F832">
      <w:pPr>
        <w:pStyle w:val="7"/>
        <w:spacing w:line="360" w:lineRule="auto"/>
        <w:rPr>
          <w:rFonts w:hint="eastAsia" w:ascii="仿宋" w:hAnsi="仿宋" w:eastAsia="仿宋" w:cs="仿宋"/>
          <w:sz w:val="32"/>
        </w:rPr>
      </w:pPr>
    </w:p>
    <w:p w14:paraId="14B41952">
      <w:pPr>
        <w:spacing w:line="360" w:lineRule="auto"/>
        <w:jc w:val="center"/>
        <w:rPr>
          <w:rFonts w:hint="eastAsia" w:ascii="仿宋" w:hAnsi="仿宋" w:eastAsia="仿宋" w:cs="仿宋"/>
          <w:sz w:val="32"/>
        </w:rPr>
      </w:pPr>
      <w:r>
        <w:rPr>
          <w:rFonts w:hint="eastAsia" w:ascii="仿宋" w:hAnsi="仿宋" w:eastAsia="仿宋" w:cs="仿宋"/>
          <w:sz w:val="32"/>
        </w:rPr>
        <w:t>202</w:t>
      </w:r>
      <w:r>
        <w:rPr>
          <w:rFonts w:hint="eastAsia" w:ascii="仿宋" w:hAnsi="仿宋" w:eastAsia="仿宋" w:cs="仿宋"/>
          <w:sz w:val="32"/>
          <w:lang w:val="en-US" w:eastAsia="zh-CN"/>
        </w:rPr>
        <w:t>6</w:t>
      </w:r>
      <w:r>
        <w:rPr>
          <w:rFonts w:hint="eastAsia" w:ascii="仿宋" w:hAnsi="仿宋" w:eastAsia="仿宋" w:cs="仿宋"/>
          <w:sz w:val="32"/>
        </w:rPr>
        <w:t>年</w:t>
      </w:r>
      <w:r>
        <w:rPr>
          <w:rFonts w:hint="eastAsia" w:ascii="仿宋" w:hAnsi="仿宋" w:eastAsia="仿宋" w:cs="仿宋"/>
          <w:sz w:val="32"/>
          <w:u w:val="single"/>
          <w:lang w:val="en-US" w:eastAsia="zh-CN"/>
        </w:rPr>
        <w:t xml:space="preserve">  </w:t>
      </w:r>
      <w:r>
        <w:rPr>
          <w:rFonts w:hint="eastAsia" w:ascii="仿宋" w:hAnsi="仿宋" w:eastAsia="仿宋" w:cs="仿宋"/>
          <w:sz w:val="32"/>
        </w:rPr>
        <w:t>月</w:t>
      </w:r>
    </w:p>
    <w:p w14:paraId="1E06F44D">
      <w:pPr>
        <w:spacing w:line="360" w:lineRule="auto"/>
        <w:rPr>
          <w:rFonts w:hint="eastAsia" w:ascii="仿宋" w:hAnsi="仿宋" w:eastAsia="仿宋" w:cs="仿宋"/>
          <w:bCs/>
          <w:sz w:val="28"/>
          <w:szCs w:val="28"/>
        </w:rPr>
        <w:sectPr>
          <w:pgSz w:w="11906" w:h="16838"/>
          <w:pgMar w:top="1440" w:right="1800" w:bottom="1440" w:left="1800" w:header="851" w:footer="992" w:gutter="0"/>
          <w:cols w:space="425" w:num="1"/>
          <w:docGrid w:type="lines" w:linePitch="312" w:charSpace="0"/>
        </w:sectPr>
      </w:pPr>
    </w:p>
    <w:p w14:paraId="286D6FC2">
      <w:pPr>
        <w:spacing w:line="360" w:lineRule="auto"/>
        <w:ind w:left="0" w:leftChars="0" w:firstLine="0" w:firstLineChars="0"/>
        <w:jc w:val="left"/>
        <w:rPr>
          <w:rFonts w:hint="eastAsia" w:ascii="仿宋" w:hAnsi="仿宋" w:eastAsia="仿宋" w:cs="仿宋"/>
          <w:b/>
          <w:bCs/>
          <w:sz w:val="28"/>
          <w:szCs w:val="28"/>
        </w:rPr>
      </w:pPr>
      <w:r>
        <w:rPr>
          <w:rFonts w:hint="eastAsia" w:ascii="仿宋" w:hAnsi="仿宋" w:eastAsia="仿宋" w:cs="仿宋"/>
          <w:b/>
          <w:bCs/>
          <w:sz w:val="28"/>
          <w:szCs w:val="28"/>
        </w:rPr>
        <w:t>发包人（甲方）：中山大学孙逸仙纪念医院</w:t>
      </w:r>
    </w:p>
    <w:p w14:paraId="5D98F3B6">
      <w:pPr>
        <w:spacing w:line="360" w:lineRule="auto"/>
        <w:ind w:left="0" w:leftChars="0" w:firstLine="0" w:firstLineChars="0"/>
        <w:rPr>
          <w:rFonts w:hint="default" w:ascii="仿宋" w:hAnsi="仿宋" w:eastAsia="仿宋" w:cs="仿宋"/>
          <w:b/>
          <w:bCs/>
          <w:sz w:val="28"/>
          <w:szCs w:val="28"/>
          <w:lang w:val="en-US"/>
        </w:rPr>
      </w:pPr>
      <w:r>
        <w:rPr>
          <w:rFonts w:hint="eastAsia" w:ascii="仿宋" w:hAnsi="仿宋" w:eastAsia="仿宋" w:cs="仿宋"/>
          <w:b/>
          <w:bCs/>
          <w:sz w:val="28"/>
          <w:szCs w:val="28"/>
        </w:rPr>
        <w:t>承包人（乙方）：</w:t>
      </w:r>
      <w:r>
        <w:rPr>
          <w:rFonts w:hint="eastAsia" w:ascii="仿宋" w:hAnsi="仿宋" w:eastAsia="仿宋" w:cs="仿宋"/>
          <w:b/>
          <w:bCs/>
          <w:i w:val="0"/>
          <w:iCs w:val="0"/>
          <w:caps w:val="0"/>
          <w:color w:val="auto"/>
          <w:spacing w:val="0"/>
          <w:kern w:val="2"/>
          <w:sz w:val="28"/>
          <w:szCs w:val="28"/>
          <w:u w:val="single"/>
          <w:shd w:val="clear" w:fill="auto"/>
          <w:lang w:val="en-US" w:eastAsia="zh-CN" w:bidi="ar"/>
        </w:rPr>
        <w:t xml:space="preserve">                      </w:t>
      </w:r>
    </w:p>
    <w:p w14:paraId="34C50B08">
      <w:pPr>
        <w:spacing w:line="360" w:lineRule="auto"/>
        <w:rPr>
          <w:rFonts w:hint="eastAsia" w:ascii="仿宋" w:hAnsi="仿宋" w:eastAsia="仿宋" w:cs="仿宋"/>
          <w:sz w:val="24"/>
        </w:rPr>
      </w:pPr>
      <w:r>
        <w:rPr>
          <w:rFonts w:hint="eastAsia" w:ascii="仿宋" w:hAnsi="仿宋" w:eastAsia="仿宋" w:cs="仿宋"/>
          <w:color w:val="000000"/>
          <w:sz w:val="24"/>
          <w:lang w:val="zh-CN"/>
        </w:rPr>
        <w:t xml:space="preserve">    依据《</w:t>
      </w:r>
      <w:r>
        <w:rPr>
          <w:rFonts w:hint="eastAsia" w:ascii="仿宋" w:hAnsi="仿宋" w:eastAsia="仿宋" w:cs="仿宋"/>
          <w:color w:val="000000"/>
          <w:sz w:val="24"/>
        </w:rPr>
        <w:t>中华人民共和国民法典》及</w:t>
      </w:r>
      <w:r>
        <w:rPr>
          <w:rFonts w:hint="eastAsia" w:ascii="仿宋" w:hAnsi="仿宋" w:eastAsia="仿宋" w:cs="仿宋"/>
          <w:color w:val="000000"/>
          <w:sz w:val="24"/>
          <w:lang w:val="zh-CN"/>
        </w:rPr>
        <w:t>国家</w:t>
      </w:r>
      <w:r>
        <w:rPr>
          <w:rFonts w:hint="eastAsia" w:ascii="仿宋" w:hAnsi="仿宋" w:eastAsia="仿宋" w:cs="仿宋"/>
          <w:color w:val="000000"/>
          <w:sz w:val="24"/>
        </w:rPr>
        <w:t>其他</w:t>
      </w:r>
      <w:r>
        <w:rPr>
          <w:rFonts w:hint="eastAsia" w:ascii="仿宋" w:hAnsi="仿宋" w:eastAsia="仿宋" w:cs="仿宋"/>
          <w:color w:val="000000"/>
          <w:sz w:val="24"/>
          <w:lang w:val="zh-CN"/>
        </w:rPr>
        <w:t>有关</w:t>
      </w:r>
      <w:r>
        <w:rPr>
          <w:rFonts w:hint="eastAsia" w:ascii="仿宋" w:hAnsi="仿宋" w:eastAsia="仿宋" w:cs="仿宋"/>
          <w:color w:val="000000"/>
          <w:sz w:val="24"/>
        </w:rPr>
        <w:t>法律</w:t>
      </w:r>
      <w:r>
        <w:rPr>
          <w:rFonts w:hint="eastAsia" w:ascii="仿宋" w:hAnsi="仿宋" w:eastAsia="仿宋" w:cs="仿宋"/>
          <w:color w:val="000000"/>
          <w:sz w:val="24"/>
          <w:lang w:val="zh-CN"/>
        </w:rPr>
        <w:t>，</w:t>
      </w:r>
      <w:r>
        <w:rPr>
          <w:rFonts w:hint="eastAsia" w:ascii="仿宋" w:hAnsi="仿宋" w:eastAsia="仿宋" w:cs="仿宋"/>
          <w:sz w:val="24"/>
        </w:rPr>
        <w:t>遵循平等、自愿、公平和诚实信用的原则，甲乙双方就本工程施工事项协商一致，并订立本合同。</w:t>
      </w:r>
    </w:p>
    <w:p w14:paraId="45344FF2">
      <w:pPr>
        <w:autoSpaceDE w:val="0"/>
        <w:autoSpaceDN w:val="0"/>
        <w:adjustRightInd w:val="0"/>
        <w:spacing w:line="360" w:lineRule="auto"/>
        <w:ind w:right="722" w:rightChars="344"/>
        <w:rPr>
          <w:rFonts w:hint="eastAsia" w:ascii="仿宋" w:hAnsi="仿宋" w:eastAsia="仿宋" w:cs="仿宋"/>
          <w:b/>
          <w:bCs/>
          <w:color w:val="000000"/>
          <w:sz w:val="28"/>
          <w:szCs w:val="28"/>
        </w:rPr>
      </w:pPr>
      <w:r>
        <w:rPr>
          <w:rFonts w:hint="eastAsia" w:ascii="仿宋" w:hAnsi="仿宋" w:eastAsia="仿宋" w:cs="仿宋"/>
          <w:color w:val="000000"/>
          <w:sz w:val="28"/>
          <w:szCs w:val="28"/>
          <w:lang w:val="zh-CN"/>
        </w:rPr>
        <w:t>一、</w:t>
      </w:r>
      <w:r>
        <w:rPr>
          <w:rFonts w:hint="eastAsia" w:ascii="仿宋" w:hAnsi="仿宋" w:eastAsia="仿宋" w:cs="仿宋"/>
          <w:b/>
          <w:bCs/>
          <w:color w:val="000000"/>
          <w:sz w:val="28"/>
          <w:szCs w:val="28"/>
          <w:lang w:val="zh-CN"/>
        </w:rPr>
        <w:t>工程概况</w:t>
      </w:r>
    </w:p>
    <w:p w14:paraId="38D14D3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1、工程名称：</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lang w:val="zh-CN"/>
        </w:rPr>
        <w:t>。</w:t>
      </w:r>
    </w:p>
    <w:p w14:paraId="4B5ACCCD">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2、工程地点：广州市越秀区沿江西路107号中山大学孙逸仙纪念医院北院区、广州市海珠区盈丰路33号中山大学孙逸仙纪念医院南院区</w:t>
      </w:r>
      <w:r>
        <w:rPr>
          <w:rFonts w:hint="eastAsia" w:ascii="仿宋" w:hAnsi="仿宋" w:eastAsia="仿宋" w:cs="仿宋"/>
          <w:color w:val="000000"/>
          <w:sz w:val="24"/>
          <w:lang w:val="zh-CN" w:eastAsia="zh-CN"/>
        </w:rPr>
        <w:t>。</w:t>
      </w:r>
    </w:p>
    <w:p w14:paraId="3B216133">
      <w:pPr>
        <w:spacing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3</w:t>
      </w:r>
      <w:r>
        <w:rPr>
          <w:rFonts w:hint="eastAsia" w:ascii="仿宋" w:hAnsi="仿宋" w:eastAsia="仿宋" w:cs="仿宋"/>
          <w:color w:val="000000"/>
          <w:sz w:val="24"/>
          <w:lang w:val="zh-CN"/>
        </w:rPr>
        <w:t>、工程合同暂定价：</w:t>
      </w:r>
      <w:r>
        <w:rPr>
          <w:rFonts w:hint="eastAsia" w:ascii="仿宋" w:hAnsi="仿宋" w:eastAsia="仿宋" w:cs="仿宋"/>
          <w:color w:val="000000"/>
          <w:sz w:val="24"/>
          <w:lang w:val="en-US" w:eastAsia="zh-CN"/>
        </w:rPr>
        <w:t>小写：</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元，大写：</w:t>
      </w:r>
      <w:r>
        <w:rPr>
          <w:rFonts w:hint="eastAsia" w:ascii="仿宋" w:hAnsi="仿宋" w:eastAsia="仿宋" w:cs="仿宋"/>
          <w:color w:val="000000"/>
          <w:sz w:val="24"/>
        </w:rPr>
        <w:t>人</w:t>
      </w:r>
      <w:r>
        <w:rPr>
          <w:rFonts w:hint="eastAsia" w:ascii="仿宋" w:hAnsi="仿宋" w:eastAsia="仿宋" w:cs="仿宋"/>
          <w:color w:val="000000"/>
          <w:sz w:val="24"/>
          <w:lang w:val="zh-CN"/>
        </w:rPr>
        <w:t>民币</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val="zh-CN"/>
        </w:rPr>
        <w:t>。</w:t>
      </w:r>
    </w:p>
    <w:p w14:paraId="150E7980">
      <w:pPr>
        <w:spacing w:line="360" w:lineRule="auto"/>
        <w:ind w:right="-42" w:firstLine="480" w:firstLineChars="200"/>
        <w:jc w:val="left"/>
        <w:rPr>
          <w:rFonts w:hint="eastAsia" w:ascii="宋体" w:hAnsi="宋体" w:cs="宋体"/>
          <w:sz w:val="24"/>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工程</w:t>
      </w:r>
      <w:r>
        <w:rPr>
          <w:rFonts w:hint="eastAsia" w:ascii="仿宋" w:hAnsi="仿宋" w:eastAsia="仿宋" w:cs="仿宋"/>
          <w:color w:val="000000"/>
          <w:sz w:val="24"/>
          <w:lang w:val="en-US" w:eastAsia="zh-CN"/>
        </w:rPr>
        <w:t>服务</w:t>
      </w:r>
      <w:r>
        <w:rPr>
          <w:rFonts w:hint="eastAsia" w:ascii="仿宋" w:hAnsi="仿宋" w:eastAsia="仿宋" w:cs="仿宋"/>
          <w:color w:val="000000"/>
          <w:sz w:val="24"/>
        </w:rPr>
        <w:t>内</w:t>
      </w:r>
      <w:r>
        <w:rPr>
          <w:rFonts w:hint="eastAsia" w:ascii="仿宋" w:hAnsi="仿宋" w:eastAsia="仿宋" w:cs="仿宋"/>
          <w:color w:val="000000"/>
          <w:sz w:val="24"/>
          <w:lang w:val="zh-CN"/>
        </w:rPr>
        <w:t>容：</w:t>
      </w:r>
      <w:r>
        <w:rPr>
          <w:rFonts w:hint="eastAsia" w:ascii="仿宋" w:hAnsi="仿宋" w:eastAsia="仿宋" w:cs="仿宋"/>
          <w:color w:val="000000"/>
          <w:sz w:val="24"/>
          <w:szCs w:val="24"/>
          <w:lang w:val="zh-CN" w:eastAsia="zh-CN"/>
        </w:rPr>
        <w:t>根据现行最新的《建筑物防雷设计规范》《建筑物防雷装置检测技术规范》等规范，对</w:t>
      </w:r>
      <w:r>
        <w:rPr>
          <w:rFonts w:hint="eastAsia" w:ascii="仿宋" w:hAnsi="仿宋" w:eastAsia="仿宋" w:cs="仿宋"/>
          <w:color w:val="000000"/>
          <w:sz w:val="24"/>
          <w:szCs w:val="24"/>
          <w:lang w:val="en-US" w:eastAsia="zh-CN"/>
        </w:rPr>
        <w:t>以上工程地点</w:t>
      </w:r>
      <w:r>
        <w:rPr>
          <w:rFonts w:hint="eastAsia" w:ascii="仿宋" w:hAnsi="仿宋" w:eastAsia="仿宋" w:cs="仿宋"/>
          <w:color w:val="000000"/>
          <w:sz w:val="24"/>
          <w:szCs w:val="24"/>
          <w:lang w:val="zh-CN" w:eastAsia="zh-CN"/>
        </w:rPr>
        <w:t>北院区、南院区所在建筑的接闪器、接地装置、浪涌保护器（SPD）、等电位连接等防雷装置进行检测，并出具检测合格报告和定期检测合格登记证。</w:t>
      </w:r>
    </w:p>
    <w:p w14:paraId="5B447D20">
      <w:pPr>
        <w:pStyle w:val="9"/>
        <w:spacing w:line="360" w:lineRule="auto"/>
        <w:ind w:firstLine="480" w:firstLineChars="200"/>
        <w:jc w:val="left"/>
        <w:outlineLvl w:val="0"/>
        <w:rPr>
          <w:rFonts w:hint="eastAsia" w:ascii="仿宋" w:hAnsi="仿宋" w:eastAsia="仿宋" w:cs="仿宋"/>
          <w:color w:val="000000"/>
          <w:sz w:val="24"/>
          <w:lang w:val="zh-CN"/>
        </w:rPr>
      </w:pPr>
      <w:r>
        <w:rPr>
          <w:rFonts w:hint="eastAsia" w:ascii="仿宋" w:hAnsi="仿宋" w:eastAsia="仿宋" w:cs="仿宋"/>
          <w:color w:val="000000"/>
          <w:sz w:val="24"/>
          <w:szCs w:val="24"/>
        </w:rPr>
        <w:t>具体详细要求</w:t>
      </w:r>
      <w:r>
        <w:rPr>
          <w:rFonts w:hint="eastAsia" w:ascii="仿宋" w:hAnsi="仿宋" w:eastAsia="仿宋" w:cs="仿宋"/>
          <w:color w:val="000000"/>
          <w:sz w:val="24"/>
          <w:szCs w:val="24"/>
          <w:lang w:val="zh-CN"/>
        </w:rPr>
        <w:t>详见</w:t>
      </w:r>
      <w:r>
        <w:rPr>
          <w:rFonts w:hint="eastAsia" w:ascii="仿宋" w:hAnsi="仿宋" w:eastAsia="仿宋" w:cs="仿宋"/>
          <w:color w:val="000000"/>
          <w:sz w:val="24"/>
          <w:szCs w:val="24"/>
          <w:highlight w:val="none"/>
          <w:lang w:val="zh-CN"/>
        </w:rPr>
        <w:t>附</w:t>
      </w:r>
      <w:r>
        <w:rPr>
          <w:rFonts w:hint="eastAsia" w:ascii="仿宋" w:hAnsi="仿宋" w:eastAsia="仿宋" w:cs="仿宋"/>
          <w:color w:val="000000"/>
          <w:sz w:val="24"/>
          <w:szCs w:val="24"/>
          <w:highlight w:val="none"/>
          <w:lang w:val="en-US" w:eastAsia="zh-CN"/>
        </w:rPr>
        <w:t>表</w:t>
      </w:r>
      <w:r>
        <w:rPr>
          <w:rFonts w:hint="eastAsia" w:ascii="仿宋" w:hAnsi="仿宋" w:eastAsia="仿宋" w:cs="仿宋"/>
          <w:color w:val="000000"/>
          <w:sz w:val="24"/>
          <w:szCs w:val="24"/>
          <w:highlight w:val="none"/>
          <w:lang w:val="zh-CN"/>
        </w:rPr>
        <w:t>—</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szCs w:val="24"/>
          <w:lang w:val="zh-CN"/>
        </w:rPr>
        <w:t>工程量清单。</w:t>
      </w:r>
    </w:p>
    <w:p w14:paraId="6D812337">
      <w:pPr>
        <w:spacing w:line="360" w:lineRule="auto"/>
        <w:ind w:firstLine="480" w:firstLineChars="200"/>
        <w:rPr>
          <w:rFonts w:hint="eastAsia" w:ascii="仿宋" w:hAnsi="仿宋" w:eastAsia="仿宋" w:cs="仿宋"/>
          <w:b w:val="0"/>
          <w:bCs w:val="0"/>
          <w:color w:val="000000"/>
          <w:sz w:val="24"/>
          <w:lang w:val="zh-CN"/>
        </w:rPr>
      </w:pPr>
      <w:r>
        <w:rPr>
          <w:rFonts w:hint="eastAsia" w:ascii="仿宋" w:hAnsi="仿宋" w:eastAsia="仿宋" w:cs="仿宋"/>
          <w:color w:val="000000"/>
          <w:sz w:val="24"/>
        </w:rPr>
        <w:t>5、</w:t>
      </w:r>
      <w:r>
        <w:rPr>
          <w:rFonts w:hint="eastAsia" w:ascii="仿宋" w:hAnsi="仿宋" w:eastAsia="仿宋" w:cs="仿宋"/>
          <w:color w:val="000000"/>
          <w:sz w:val="24"/>
          <w:szCs w:val="24"/>
          <w:lang w:val="zh-CN"/>
        </w:rPr>
        <w:t>工期：</w:t>
      </w:r>
      <w:r>
        <w:rPr>
          <w:rFonts w:hint="eastAsia" w:ascii="仿宋" w:hAnsi="仿宋" w:eastAsia="仿宋" w:cs="仿宋"/>
          <w:color w:val="000000"/>
          <w:kern w:val="2"/>
          <w:sz w:val="24"/>
          <w:szCs w:val="24"/>
          <w:lang w:val="zh-CN" w:eastAsia="zh-CN"/>
        </w:rPr>
        <w:t>从合同签订之日起</w:t>
      </w:r>
      <w:r>
        <w:rPr>
          <w:rFonts w:hint="eastAsia" w:ascii="仿宋" w:hAnsi="仿宋" w:eastAsia="仿宋" w:cs="仿宋"/>
          <w:color w:val="000000"/>
          <w:kern w:val="2"/>
          <w:sz w:val="24"/>
          <w:szCs w:val="24"/>
          <w:u w:val="single"/>
          <w:lang w:val="en-US" w:eastAsia="zh-CN"/>
        </w:rPr>
        <w:t xml:space="preserve"> </w:t>
      </w:r>
      <w:r>
        <w:rPr>
          <w:rFonts w:hint="eastAsia" w:ascii="仿宋" w:hAnsi="仿宋" w:eastAsia="仿宋" w:cs="仿宋"/>
          <w:color w:val="000000"/>
          <w:kern w:val="2"/>
          <w:sz w:val="24"/>
          <w:szCs w:val="24"/>
          <w:u w:val="single"/>
          <w:lang w:val="zh-CN" w:eastAsia="zh-CN"/>
        </w:rPr>
        <w:t>3</w:t>
      </w:r>
      <w:r>
        <w:rPr>
          <w:rFonts w:hint="eastAsia" w:ascii="仿宋" w:hAnsi="仿宋" w:eastAsia="仿宋" w:cs="仿宋"/>
          <w:color w:val="000000"/>
          <w:kern w:val="2"/>
          <w:sz w:val="24"/>
          <w:szCs w:val="24"/>
          <w:lang w:val="zh-CN" w:eastAsia="zh-CN"/>
        </w:rPr>
        <w:t>年</w:t>
      </w:r>
      <w:r>
        <w:rPr>
          <w:rFonts w:hint="eastAsia" w:ascii="仿宋" w:hAnsi="仿宋" w:eastAsia="仿宋" w:cs="仿宋"/>
          <w:color w:val="000000"/>
          <w:sz w:val="24"/>
          <w:szCs w:val="24"/>
          <w:lang w:val="zh-CN"/>
        </w:rPr>
        <w:t>，自乙方收到甲方书面进场通知之日起算，乙方应在收到通知后</w:t>
      </w:r>
      <w:r>
        <w:rPr>
          <w:rFonts w:hint="eastAsia" w:ascii="仿宋" w:hAnsi="仿宋" w:eastAsia="仿宋" w:cs="仿宋"/>
          <w:color w:val="000000"/>
          <w:sz w:val="24"/>
          <w:szCs w:val="24"/>
          <w:lang w:val="en-US" w:eastAsia="zh-CN"/>
        </w:rPr>
        <w:t>5个日历天</w:t>
      </w:r>
      <w:r>
        <w:rPr>
          <w:rFonts w:hint="eastAsia" w:ascii="仿宋" w:hAnsi="仿宋" w:eastAsia="仿宋" w:cs="仿宋"/>
          <w:color w:val="000000"/>
          <w:sz w:val="24"/>
          <w:szCs w:val="24"/>
          <w:lang w:val="zh-CN"/>
        </w:rPr>
        <w:t>内进场。工期不含变更顺延、医院重大活动及科室书面要求停工的日期</w:t>
      </w:r>
      <w:r>
        <w:rPr>
          <w:rFonts w:hint="eastAsia" w:ascii="仿宋" w:hAnsi="仿宋" w:eastAsia="仿宋" w:cs="仿宋"/>
          <w:color w:val="000000"/>
          <w:sz w:val="24"/>
          <w:lang w:val="zh-CN"/>
        </w:rPr>
        <w:t>。</w:t>
      </w:r>
    </w:p>
    <w:p w14:paraId="5F986AD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6、工程质保期：（</w:t>
      </w:r>
      <w:r>
        <w:rPr>
          <w:rFonts w:hint="eastAsia" w:ascii="仿宋" w:hAnsi="仿宋" w:eastAsia="仿宋" w:cs="仿宋"/>
          <w:color w:val="000000"/>
          <w:sz w:val="24"/>
          <w:lang w:val="zh-CN" w:eastAsia="zh-CN"/>
        </w:rPr>
        <w:t>本工程无质保期</w:t>
      </w:r>
      <w:r>
        <w:rPr>
          <w:rFonts w:hint="eastAsia" w:ascii="仿宋" w:hAnsi="仿宋" w:eastAsia="仿宋" w:cs="仿宋"/>
          <w:color w:val="000000"/>
          <w:sz w:val="24"/>
          <w:lang w:val="zh-CN"/>
        </w:rPr>
        <w:t>）。</w:t>
      </w:r>
    </w:p>
    <w:p w14:paraId="7AAC399C">
      <w:pPr>
        <w:spacing w:line="360" w:lineRule="auto"/>
        <w:ind w:firstLine="480" w:firstLineChars="200"/>
        <w:rPr>
          <w:rFonts w:hint="eastAsia" w:ascii="仿宋" w:hAnsi="仿宋" w:eastAsia="仿宋" w:cs="仿宋"/>
          <w:b w:val="0"/>
          <w:bCs w:val="0"/>
          <w:color w:val="FF0000"/>
          <w:sz w:val="24"/>
          <w:lang w:val="zh-CN" w:eastAsia="zh-CN"/>
        </w:rPr>
      </w:pPr>
      <w:r>
        <w:rPr>
          <w:rFonts w:hint="eastAsia" w:ascii="仿宋" w:hAnsi="仿宋" w:eastAsia="仿宋" w:cs="仿宋"/>
          <w:color w:val="000000"/>
          <w:sz w:val="24"/>
          <w:lang w:val="en-US" w:eastAsia="zh-CN"/>
        </w:rPr>
        <w:t>7、工程质量保证：</w:t>
      </w:r>
      <w:r>
        <w:rPr>
          <w:rFonts w:hint="eastAsia" w:ascii="仿宋" w:hAnsi="仿宋" w:eastAsia="仿宋" w:cs="仿宋"/>
          <w:i w:val="0"/>
          <w:iCs w:val="0"/>
          <w:caps w:val="0"/>
          <w:color w:val="000000"/>
          <w:spacing w:val="0"/>
          <w:sz w:val="24"/>
          <w:szCs w:val="24"/>
          <w:shd w:val="clear" w:fill="auto"/>
          <w:lang w:val="zh-CN"/>
        </w:rPr>
        <w:t>乙方应确保其检测服务的专业性和准确性。若因乙方出具的检测报告存在错误、遗漏或不符合国家及行业标准，导致甲方建筑物在后续使用中因防雷设施问题遭受损失的</w:t>
      </w:r>
      <w:r>
        <w:rPr>
          <w:rFonts w:hint="eastAsia" w:ascii="仿宋" w:hAnsi="仿宋" w:eastAsia="仿宋" w:cs="仿宋"/>
          <w:i w:val="0"/>
          <w:iCs w:val="0"/>
          <w:caps w:val="0"/>
          <w:color w:val="000000"/>
          <w:spacing w:val="0"/>
          <w:sz w:val="24"/>
          <w:szCs w:val="24"/>
          <w:shd w:val="clear"/>
          <w:lang w:val="zh-CN"/>
        </w:rPr>
        <w:t>，</w:t>
      </w:r>
      <w:r>
        <w:rPr>
          <w:rFonts w:hint="eastAsia" w:ascii="仿宋" w:hAnsi="仿宋" w:eastAsia="仿宋" w:cs="仿宋"/>
          <w:i w:val="0"/>
          <w:iCs w:val="0"/>
          <w:caps w:val="0"/>
          <w:color w:val="000000"/>
          <w:spacing w:val="0"/>
          <w:sz w:val="24"/>
          <w:szCs w:val="24"/>
          <w:shd w:val="clear" w:fill="auto"/>
          <w:lang w:val="zh-CN"/>
        </w:rPr>
        <w:t>乙方应承担相应的赔偿责任。</w:t>
      </w:r>
      <w:r>
        <w:rPr>
          <w:rFonts w:hint="eastAsia" w:ascii="仿宋" w:hAnsi="仿宋" w:eastAsia="仿宋" w:cs="仿宋"/>
          <w:b/>
          <w:bCs/>
          <w:i w:val="0"/>
          <w:iCs w:val="0"/>
          <w:caps w:val="0"/>
          <w:color w:val="000000"/>
          <w:spacing w:val="0"/>
          <w:sz w:val="24"/>
          <w:szCs w:val="24"/>
          <w:shd w:val="clear" w:fill="auto"/>
          <w:lang w:val="zh-CN"/>
        </w:rPr>
        <w:t>本条款不受“本工程无质保期”约定的限制</w:t>
      </w:r>
      <w:r>
        <w:rPr>
          <w:rFonts w:hint="eastAsia" w:ascii="仿宋" w:hAnsi="仿宋" w:eastAsia="仿宋" w:cs="仿宋"/>
          <w:b w:val="0"/>
          <w:bCs w:val="0"/>
          <w:i w:val="0"/>
          <w:iCs w:val="0"/>
          <w:caps w:val="0"/>
          <w:color w:val="000000"/>
          <w:spacing w:val="0"/>
          <w:sz w:val="24"/>
          <w:szCs w:val="24"/>
          <w:shd w:val="clear" w:fill="auto"/>
          <w:lang w:val="zh-CN"/>
        </w:rPr>
        <w:t>。</w:t>
      </w:r>
    </w:p>
    <w:p w14:paraId="05DC480A">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二、</w:t>
      </w:r>
      <w:r>
        <w:rPr>
          <w:rFonts w:hint="eastAsia" w:ascii="仿宋" w:hAnsi="仿宋" w:eastAsia="仿宋" w:cs="仿宋"/>
          <w:b/>
          <w:bCs/>
          <w:color w:val="000000"/>
          <w:sz w:val="28"/>
          <w:szCs w:val="28"/>
        </w:rPr>
        <w:t>工程承包范围</w:t>
      </w:r>
    </w:p>
    <w:p w14:paraId="6EC7B623">
      <w:pPr>
        <w:spacing w:line="360" w:lineRule="auto"/>
        <w:ind w:firstLine="480" w:firstLineChars="200"/>
        <w:rPr>
          <w:rFonts w:hint="default" w:ascii="仿宋" w:hAnsi="仿宋" w:eastAsia="仿宋" w:cs="仿宋"/>
          <w:color w:val="000000"/>
          <w:sz w:val="24"/>
          <w:lang w:val="en-US"/>
        </w:rPr>
      </w:pPr>
      <w:r>
        <w:rPr>
          <w:rFonts w:hint="eastAsia" w:ascii="仿宋" w:hAnsi="仿宋" w:eastAsia="仿宋" w:cs="仿宋"/>
          <w:color w:val="000000"/>
          <w:sz w:val="24"/>
        </w:rPr>
        <w:t>承包范围：本工程范围包工、包料、包工期、包质量、包安全、包文明施工、工程量按实结算。</w:t>
      </w:r>
    </w:p>
    <w:p w14:paraId="6ACEA0D4">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三、甲方工作及责任</w:t>
      </w:r>
    </w:p>
    <w:p w14:paraId="3B5E0711">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val="zh-CN"/>
        </w:rPr>
        <w:t>1、</w:t>
      </w:r>
      <w:r>
        <w:rPr>
          <w:rFonts w:hint="eastAsia" w:ascii="仿宋" w:hAnsi="仿宋" w:eastAsia="仿宋" w:cs="仿宋"/>
          <w:color w:val="000000"/>
          <w:sz w:val="24"/>
        </w:rPr>
        <w:t>协助乙方做好施工前准备工作</w:t>
      </w:r>
      <w:r>
        <w:rPr>
          <w:rFonts w:hint="eastAsia" w:ascii="仿宋" w:hAnsi="仿宋" w:eastAsia="仿宋" w:cs="仿宋"/>
          <w:color w:val="000000"/>
          <w:sz w:val="24"/>
          <w:lang w:eastAsia="zh-CN"/>
        </w:rPr>
        <w:t>。</w:t>
      </w:r>
    </w:p>
    <w:p w14:paraId="38F7D1DD">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2、施工期间协助乙方做好沟通协调</w:t>
      </w:r>
      <w:r>
        <w:rPr>
          <w:rFonts w:hint="eastAsia" w:ascii="仿宋" w:hAnsi="仿宋" w:eastAsia="仿宋" w:cs="仿宋"/>
          <w:color w:val="000000"/>
          <w:sz w:val="24"/>
          <w:lang w:eastAsia="zh-CN"/>
        </w:rPr>
        <w:t>。</w:t>
      </w:r>
    </w:p>
    <w:p w14:paraId="2A5DBCB1">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en-US" w:eastAsia="zh-CN"/>
        </w:rPr>
        <w:t>3、按照合同约定的方式支付工程款。</w:t>
      </w:r>
    </w:p>
    <w:p w14:paraId="4E667FE9">
      <w:pPr>
        <w:autoSpaceDE w:val="0"/>
        <w:autoSpaceDN w:val="0"/>
        <w:adjustRightInd w:val="0"/>
        <w:spacing w:line="360" w:lineRule="auto"/>
        <w:rPr>
          <w:rFonts w:hint="eastAsia" w:ascii="仿宋" w:hAnsi="仿宋" w:eastAsia="仿宋" w:cs="仿宋"/>
          <w:b/>
          <w:bCs/>
          <w:color w:val="000000"/>
          <w:sz w:val="28"/>
          <w:szCs w:val="28"/>
          <w:lang w:val="zh-CN"/>
        </w:rPr>
      </w:pPr>
      <w:r>
        <w:rPr>
          <w:rFonts w:hint="eastAsia" w:ascii="仿宋" w:hAnsi="仿宋" w:eastAsia="仿宋" w:cs="仿宋"/>
          <w:b/>
          <w:bCs/>
          <w:sz w:val="28"/>
          <w:szCs w:val="28"/>
        </w:rPr>
        <w:t>四</w:t>
      </w:r>
      <w:r>
        <w:rPr>
          <w:rFonts w:hint="eastAsia" w:ascii="仿宋" w:hAnsi="仿宋" w:eastAsia="仿宋" w:cs="仿宋"/>
          <w:b/>
          <w:bCs/>
          <w:color w:val="000000"/>
          <w:sz w:val="28"/>
          <w:szCs w:val="28"/>
          <w:lang w:val="zh-CN"/>
        </w:rPr>
        <w:t>、乙方工作及责任</w:t>
      </w:r>
    </w:p>
    <w:p w14:paraId="347C7971">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1、工程开工前</w:t>
      </w:r>
      <w:r>
        <w:rPr>
          <w:rFonts w:hint="eastAsia" w:ascii="仿宋" w:hAnsi="仿宋" w:eastAsia="仿宋" w:cs="仿宋"/>
          <w:color w:val="000000"/>
          <w:sz w:val="24"/>
        </w:rPr>
        <w:t>向甲方提供</w:t>
      </w:r>
      <w:r>
        <w:rPr>
          <w:rFonts w:hint="eastAsia" w:ascii="仿宋" w:hAnsi="仿宋" w:eastAsia="仿宋" w:cs="仿宋"/>
          <w:color w:val="000000"/>
          <w:sz w:val="24"/>
          <w:lang w:val="en-US" w:eastAsia="zh-CN"/>
        </w:rPr>
        <w:t>具体实施</w:t>
      </w:r>
      <w:r>
        <w:rPr>
          <w:rFonts w:hint="eastAsia" w:ascii="仿宋" w:hAnsi="仿宋" w:eastAsia="仿宋" w:cs="仿宋"/>
          <w:color w:val="000000"/>
          <w:sz w:val="24"/>
          <w:lang w:val="zh-CN"/>
        </w:rPr>
        <w:t>方案</w:t>
      </w:r>
      <w:r>
        <w:rPr>
          <w:rFonts w:hint="eastAsia" w:ascii="仿宋" w:hAnsi="仿宋" w:eastAsia="仿宋" w:cs="仿宋"/>
          <w:color w:val="000000"/>
          <w:sz w:val="24"/>
          <w:lang w:val="en-US" w:eastAsia="zh-CN"/>
        </w:rPr>
        <w:t>和施工进度计划</w:t>
      </w:r>
      <w:r>
        <w:rPr>
          <w:rFonts w:hint="eastAsia" w:ascii="仿宋" w:hAnsi="仿宋" w:eastAsia="仿宋" w:cs="仿宋"/>
          <w:color w:val="000000"/>
          <w:sz w:val="24"/>
          <w:lang w:val="zh-CN"/>
        </w:rPr>
        <w:t>，</w:t>
      </w:r>
      <w:r>
        <w:rPr>
          <w:rFonts w:hint="eastAsia" w:ascii="仿宋" w:hAnsi="仿宋" w:eastAsia="仿宋" w:cs="仿宋"/>
          <w:color w:val="000000"/>
          <w:sz w:val="24"/>
        </w:rPr>
        <w:t>经甲方审核批准后实施</w:t>
      </w:r>
      <w:r>
        <w:rPr>
          <w:rFonts w:hint="eastAsia" w:ascii="仿宋" w:hAnsi="仿宋" w:eastAsia="仿宋" w:cs="仿宋"/>
          <w:color w:val="000000"/>
          <w:sz w:val="24"/>
          <w:lang w:val="zh-CN"/>
        </w:rPr>
        <w:t>。</w:t>
      </w:r>
    </w:p>
    <w:p w14:paraId="486EC2F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eastAsia="zh-CN"/>
        </w:rPr>
        <w:t>进场前</w:t>
      </w:r>
      <w:r>
        <w:rPr>
          <w:rFonts w:hint="eastAsia" w:ascii="仿宋" w:hAnsi="仿宋" w:eastAsia="仿宋" w:cs="仿宋"/>
          <w:color w:val="000000"/>
          <w:sz w:val="24"/>
          <w:szCs w:val="24"/>
          <w:lang w:val="zh-CN" w:eastAsia="zh-CN"/>
        </w:rPr>
        <w:t>应提供施工人员身份证、特种行业操作证复印件，办理施工人员临时出入证。</w:t>
      </w:r>
    </w:p>
    <w:p w14:paraId="62D0BBE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要求组织施工，保质、保量、按期完成施工任务，解决由乙方负责的各项事宜。</w:t>
      </w:r>
    </w:p>
    <w:p w14:paraId="454A887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、在施工过程中发生工伤事故和劳动纠纷等，由乙方自行承担。</w:t>
      </w:r>
    </w:p>
    <w:p w14:paraId="3EEB84C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、乙方应遵守工程建设安全生产有关管理规定，</w:t>
      </w:r>
      <w:r>
        <w:rPr>
          <w:rFonts w:hint="eastAsia" w:ascii="仿宋" w:hAnsi="仿宋" w:eastAsia="仿宋" w:cs="仿宋"/>
          <w:color w:val="000000"/>
          <w:sz w:val="24"/>
          <w:lang w:val="en-US" w:eastAsia="zh-CN"/>
        </w:rPr>
        <w:t>如涉及</w:t>
      </w:r>
      <w:r>
        <w:rPr>
          <w:rFonts w:hint="eastAsia" w:ascii="仿宋" w:hAnsi="仿宋" w:eastAsia="仿宋" w:cs="仿宋"/>
          <w:i w:val="0"/>
          <w:iCs w:val="0"/>
          <w:caps w:val="0"/>
          <w:color w:val="000000"/>
          <w:spacing w:val="0"/>
          <w:sz w:val="24"/>
          <w:szCs w:val="24"/>
          <w:shd w:val="clear" w:fill="auto"/>
        </w:rPr>
        <w:t>高空作业等危险工作</w:t>
      </w:r>
      <w:r>
        <w:rPr>
          <w:rFonts w:hint="eastAsia" w:ascii="仿宋" w:hAnsi="仿宋" w:eastAsia="仿宋" w:cs="仿宋"/>
          <w:i w:val="0"/>
          <w:iCs w:val="0"/>
          <w:caps w:val="0"/>
          <w:color w:val="000000"/>
          <w:spacing w:val="0"/>
          <w:sz w:val="24"/>
          <w:szCs w:val="24"/>
          <w:shd w:val="clear" w:fill="auto"/>
          <w:lang w:val="en-US" w:eastAsia="zh-CN"/>
        </w:rPr>
        <w:t>时，</w:t>
      </w:r>
      <w:r>
        <w:rPr>
          <w:rFonts w:hint="eastAsia" w:ascii="仿宋" w:hAnsi="仿宋" w:eastAsia="仿宋" w:cs="仿宋"/>
          <w:color w:val="000000"/>
          <w:sz w:val="24"/>
          <w:lang w:val="en-US" w:eastAsia="zh-CN"/>
        </w:rPr>
        <w:t>乙方在进场</w:t>
      </w:r>
      <w:r>
        <w:rPr>
          <w:rFonts w:hint="eastAsia" w:ascii="仿宋" w:hAnsi="仿宋" w:eastAsia="仿宋" w:cs="仿宋"/>
          <w:color w:val="000000"/>
          <w:sz w:val="24"/>
          <w:lang w:val="en-US"/>
        </w:rPr>
        <w:t>前应向甲方提供</w:t>
      </w:r>
      <w:r>
        <w:rPr>
          <w:rFonts w:hint="eastAsia" w:ascii="仿宋" w:hAnsi="仿宋" w:eastAsia="仿宋" w:cs="仿宋"/>
          <w:color w:val="000000"/>
          <w:sz w:val="24"/>
          <w:lang w:val="zh-CN"/>
        </w:rPr>
        <w:t>高空作业意外保险和第三方责任险证明文件，</w:t>
      </w:r>
      <w:r>
        <w:rPr>
          <w:rFonts w:hint="eastAsia" w:ascii="仿宋" w:hAnsi="仿宋" w:eastAsia="仿宋" w:cs="仿宋"/>
          <w:i w:val="0"/>
          <w:iCs w:val="0"/>
          <w:caps w:val="0"/>
          <w:color w:val="000000"/>
          <w:spacing w:val="0"/>
          <w:sz w:val="24"/>
          <w:szCs w:val="24"/>
          <w:shd w:val="clear" w:fill="auto"/>
        </w:rPr>
        <w:t>在保险生效后将保单复印件加盖公章后提交甲方备案</w:t>
      </w:r>
      <w:r>
        <w:rPr>
          <w:rFonts w:hint="eastAsia" w:ascii="仿宋" w:hAnsi="仿宋" w:eastAsia="仿宋" w:cs="仿宋"/>
          <w:i w:val="0"/>
          <w:iCs w:val="0"/>
          <w:caps w:val="0"/>
          <w:color w:val="000000"/>
          <w:spacing w:val="0"/>
          <w:sz w:val="24"/>
          <w:szCs w:val="24"/>
          <w:shd w:val="clear"/>
          <w:lang w:eastAsia="zh-CN"/>
        </w:rPr>
        <w:t>，</w:t>
      </w:r>
      <w:r>
        <w:rPr>
          <w:rFonts w:hint="eastAsia" w:ascii="仿宋" w:hAnsi="仿宋" w:eastAsia="仿宋" w:cs="仿宋"/>
          <w:color w:val="000000"/>
          <w:sz w:val="24"/>
          <w:lang w:val="zh-CN"/>
        </w:rPr>
        <w:t>并严格按安全标准组织施工，采取必要的安全防护措施，消除事故隐患。</w:t>
      </w:r>
    </w:p>
    <w:p w14:paraId="1833DA2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若乙方原因造成甲方、任何第三方人身和财产损害的，由乙方负责。乙方有义务维护本工程作业区域内的所有设施、设备的完好。</w:t>
      </w:r>
    </w:p>
    <w:p w14:paraId="23B63BD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6、乙方在服务期内，每年需定期完成以上工程服务内容，并出具相应检测报告等资料。</w:t>
      </w:r>
    </w:p>
    <w:p w14:paraId="15EC61A2">
      <w:pPr>
        <w:autoSpaceDE w:val="0"/>
        <w:autoSpaceDN w:val="0"/>
        <w:adjustRightInd w:val="0"/>
        <w:spacing w:line="360" w:lineRule="auto"/>
        <w:rPr>
          <w:rFonts w:hint="eastAsia" w:ascii="仿宋" w:hAnsi="仿宋" w:eastAsia="仿宋" w:cs="仿宋"/>
          <w:color w:val="000000"/>
          <w:sz w:val="28"/>
          <w:szCs w:val="28"/>
        </w:rPr>
      </w:pPr>
      <w:r>
        <w:rPr>
          <w:rFonts w:hint="eastAsia" w:ascii="仿宋" w:hAnsi="仿宋" w:eastAsia="仿宋" w:cs="仿宋"/>
          <w:b/>
          <w:bCs/>
          <w:color w:val="000000"/>
          <w:sz w:val="28"/>
          <w:szCs w:val="28"/>
          <w:lang w:val="zh-CN"/>
        </w:rPr>
        <w:t>五、</w:t>
      </w:r>
      <w:r>
        <w:rPr>
          <w:rFonts w:hint="eastAsia" w:ascii="仿宋" w:hAnsi="仿宋" w:eastAsia="仿宋" w:cs="仿宋"/>
          <w:b/>
          <w:bCs/>
          <w:color w:val="000000"/>
          <w:sz w:val="28"/>
          <w:szCs w:val="28"/>
        </w:rPr>
        <w:t>施工与设计变更</w:t>
      </w:r>
    </w:p>
    <w:p w14:paraId="2B72440C">
      <w:pPr>
        <w:spacing w:line="360" w:lineRule="auto"/>
        <w:ind w:right="-42" w:firstLine="480" w:firstLineChars="200"/>
        <w:jc w:val="left"/>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乙方</w:t>
      </w:r>
      <w:r>
        <w:rPr>
          <w:rFonts w:hint="eastAsia" w:ascii="仿宋" w:hAnsi="仿宋" w:eastAsia="仿宋" w:cs="仿宋"/>
          <w:color w:val="000000"/>
          <w:sz w:val="24"/>
        </w:rPr>
        <w:t>需按本采购服务要求和清单内容</w:t>
      </w:r>
      <w:r>
        <w:rPr>
          <w:rFonts w:hint="eastAsia" w:ascii="仿宋" w:hAnsi="仿宋" w:eastAsia="仿宋" w:cs="仿宋"/>
          <w:color w:val="000000"/>
          <w:sz w:val="24"/>
          <w:lang w:val="en-US" w:eastAsia="zh-CN"/>
        </w:rPr>
        <w:t>实施</w:t>
      </w:r>
      <w:r>
        <w:rPr>
          <w:rFonts w:hint="eastAsia" w:ascii="仿宋" w:hAnsi="仿宋" w:eastAsia="仿宋" w:cs="仿宋"/>
          <w:color w:val="000000"/>
          <w:sz w:val="24"/>
          <w:lang w:eastAsia="zh-CN"/>
        </w:rPr>
        <w:t>。</w:t>
      </w:r>
    </w:p>
    <w:p w14:paraId="59A94E49">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应按照合同内容约定施工，不得擅自修改实施方案</w:t>
      </w:r>
      <w:r>
        <w:rPr>
          <w:rFonts w:hint="eastAsia" w:ascii="仿宋" w:hAnsi="仿宋" w:eastAsia="仿宋" w:cs="仿宋"/>
          <w:color w:val="000000"/>
          <w:sz w:val="24"/>
          <w:lang w:eastAsia="zh-CN"/>
        </w:rPr>
        <w:t>。</w:t>
      </w:r>
    </w:p>
    <w:p w14:paraId="157B1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000000"/>
          <w:sz w:val="24"/>
          <w:szCs w:val="24"/>
        </w:rPr>
      </w:pPr>
      <w:r>
        <w:rPr>
          <w:rFonts w:hint="eastAsia" w:ascii="仿宋" w:hAnsi="仿宋" w:eastAsia="仿宋" w:cs="仿宋"/>
          <w:color w:val="000000"/>
          <w:sz w:val="24"/>
        </w:rPr>
        <w:t>3、</w:t>
      </w:r>
      <w:r>
        <w:rPr>
          <w:rFonts w:hint="eastAsia" w:ascii="仿宋" w:hAnsi="仿宋" w:eastAsia="仿宋" w:cs="仿宋"/>
          <w:color w:val="000000"/>
          <w:kern w:val="2"/>
          <w:sz w:val="24"/>
          <w:szCs w:val="24"/>
          <w:lang w:val="zh-CN" w:eastAsia="zh-CN" w:bidi="ar"/>
        </w:rPr>
        <w:t>甲方提出变更应于3 个工作日内出具书面工程联系单，乙方核算工程量与费用并经甲方书面签字确认后实施；未经甲方书面确认的变更，审计不予认可。</w:t>
      </w:r>
    </w:p>
    <w:p w14:paraId="6CC49B02">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8"/>
          <w:szCs w:val="28"/>
          <w:lang w:val="zh-CN"/>
        </w:rPr>
        <w:t>六、关于工程质量及验收的约定</w:t>
      </w:r>
    </w:p>
    <w:p w14:paraId="3203AEE7">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000000"/>
          <w:sz w:val="24"/>
        </w:rPr>
        <w:t>1</w:t>
      </w:r>
      <w:r>
        <w:rPr>
          <w:rFonts w:hint="eastAsia" w:ascii="仿宋" w:hAnsi="仿宋" w:eastAsia="仿宋" w:cs="仿宋"/>
          <w:color w:val="auto"/>
          <w:sz w:val="24"/>
        </w:rPr>
        <w:t>、在现场检测条件满足要求的前提下，</w:t>
      </w:r>
      <w:r>
        <w:rPr>
          <w:rFonts w:hint="eastAsia" w:ascii="仿宋" w:hAnsi="仿宋" w:eastAsia="仿宋" w:cs="仿宋"/>
          <w:color w:val="auto"/>
          <w:sz w:val="24"/>
          <w:lang w:eastAsia="zh-CN"/>
        </w:rPr>
        <w:t>乙方应</w:t>
      </w:r>
      <w:r>
        <w:rPr>
          <w:rFonts w:hint="eastAsia" w:ascii="仿宋" w:hAnsi="仿宋" w:eastAsia="仿宋" w:cs="仿宋"/>
          <w:color w:val="auto"/>
          <w:sz w:val="24"/>
        </w:rPr>
        <w:t xml:space="preserve">在进场后 </w:t>
      </w:r>
      <w:r>
        <w:rPr>
          <w:rFonts w:hint="eastAsia" w:ascii="仿宋" w:hAnsi="仿宋" w:eastAsia="仿宋" w:cs="仿宋"/>
          <w:color w:val="auto"/>
          <w:sz w:val="24"/>
          <w:lang w:val="en-US" w:eastAsia="zh-CN"/>
        </w:rPr>
        <w:t>30个日历</w:t>
      </w:r>
      <w:r>
        <w:rPr>
          <w:rFonts w:hint="eastAsia" w:ascii="仿宋" w:hAnsi="仿宋" w:eastAsia="仿宋" w:cs="仿宋"/>
          <w:color w:val="auto"/>
          <w:sz w:val="24"/>
        </w:rPr>
        <w:t>天内完成现场检测工作</w:t>
      </w:r>
      <w:r>
        <w:rPr>
          <w:rFonts w:hint="eastAsia" w:ascii="仿宋" w:hAnsi="仿宋" w:eastAsia="仿宋" w:cs="仿宋"/>
          <w:color w:val="auto"/>
          <w:sz w:val="24"/>
          <w:lang w:eastAsia="zh-CN"/>
        </w:rPr>
        <w:t>，</w:t>
      </w:r>
      <w:r>
        <w:rPr>
          <w:rFonts w:hint="eastAsia" w:ascii="仿宋" w:hAnsi="仿宋" w:eastAsia="仿宋" w:cs="仿宋"/>
          <w:color w:val="auto"/>
          <w:sz w:val="24"/>
          <w:szCs w:val="20"/>
          <w:lang w:val="en-US" w:eastAsia="zh-CN"/>
        </w:rPr>
        <w:t>对</w:t>
      </w:r>
      <w:r>
        <w:rPr>
          <w:rFonts w:hint="eastAsia" w:ascii="仿宋" w:hAnsi="仿宋" w:eastAsia="仿宋" w:cs="仿宋"/>
          <w:sz w:val="24"/>
          <w:szCs w:val="20"/>
          <w:lang w:val="en-US" w:eastAsia="zh-CN"/>
        </w:rPr>
        <w:t>北院区、南</w:t>
      </w:r>
      <w:r>
        <w:rPr>
          <w:rFonts w:hint="eastAsia" w:ascii="仿宋" w:hAnsi="仿宋" w:eastAsia="仿宋" w:cs="仿宋"/>
          <w:color w:val="auto"/>
          <w:sz w:val="24"/>
          <w:szCs w:val="20"/>
          <w:lang w:val="en-US" w:eastAsia="zh-CN"/>
        </w:rPr>
        <w:t>院区</w:t>
      </w:r>
      <w:r>
        <w:rPr>
          <w:rFonts w:hint="eastAsia" w:ascii="仿宋" w:hAnsi="仿宋" w:eastAsia="仿宋" w:cs="仿宋"/>
          <w:sz w:val="24"/>
          <w:szCs w:val="20"/>
          <w:lang w:val="en-US" w:eastAsia="zh-CN"/>
        </w:rPr>
        <w:t>所在</w:t>
      </w:r>
      <w:r>
        <w:rPr>
          <w:rFonts w:hint="eastAsia" w:ascii="仿宋" w:hAnsi="仿宋" w:eastAsia="仿宋" w:cs="仿宋"/>
          <w:color w:val="auto"/>
          <w:sz w:val="24"/>
          <w:szCs w:val="20"/>
          <w:lang w:val="en-US" w:eastAsia="zh-CN"/>
        </w:rPr>
        <w:t>建筑的接闪器、接地装置、浪涌保护器（SPD）、等电位连接等防雷装置进行检测，并在</w:t>
      </w:r>
      <w:r>
        <w:rPr>
          <w:rFonts w:hint="eastAsia" w:ascii="仿宋" w:hAnsi="仿宋" w:eastAsia="仿宋" w:cs="仿宋"/>
          <w:color w:val="auto"/>
          <w:sz w:val="24"/>
          <w:lang w:val="en-US" w:eastAsia="zh-CN"/>
        </w:rPr>
        <w:t>15个工作日内</w:t>
      </w:r>
      <w:r>
        <w:rPr>
          <w:rFonts w:hint="eastAsia" w:ascii="仿宋" w:hAnsi="仿宋" w:eastAsia="仿宋" w:cs="仿宋"/>
          <w:color w:val="auto"/>
          <w:sz w:val="24"/>
          <w:szCs w:val="20"/>
          <w:lang w:val="en-US" w:eastAsia="zh-CN"/>
        </w:rPr>
        <w:t>出具</w:t>
      </w:r>
      <w:r>
        <w:rPr>
          <w:rStyle w:val="24"/>
          <w:rFonts w:hint="eastAsia" w:ascii="仿宋" w:hAnsi="仿宋" w:eastAsia="仿宋" w:cs="仿宋"/>
          <w:b w:val="0"/>
          <w:bCs w:val="0"/>
          <w:i w:val="0"/>
          <w:iCs w:val="0"/>
          <w:caps w:val="0"/>
          <w:color w:val="auto"/>
          <w:spacing w:val="0"/>
          <w:sz w:val="24"/>
          <w:szCs w:val="24"/>
          <w:u w:val="none"/>
          <w:shd w:val="clear" w:fill="FFFFFF"/>
        </w:rPr>
        <w:t>防雷装置</w:t>
      </w:r>
      <w:r>
        <w:rPr>
          <w:rFonts w:hint="eastAsia" w:ascii="仿宋" w:hAnsi="仿宋" w:eastAsia="仿宋" w:cs="仿宋"/>
          <w:color w:val="auto"/>
          <w:sz w:val="24"/>
          <w:szCs w:val="20"/>
          <w:lang w:val="en-US" w:eastAsia="zh-CN"/>
        </w:rPr>
        <w:t>检测报告（纸质版、电子版）和定期检测合格登记证。</w:t>
      </w:r>
      <w:r>
        <w:rPr>
          <w:rFonts w:hint="eastAsia" w:ascii="仿宋" w:hAnsi="仿宋" w:eastAsia="仿宋" w:cs="仿宋"/>
          <w:color w:val="auto"/>
          <w:sz w:val="24"/>
          <w:lang w:eastAsia="zh-CN"/>
        </w:rPr>
        <w:t>乙方应</w:t>
      </w:r>
      <w:r>
        <w:rPr>
          <w:rFonts w:hint="eastAsia" w:ascii="仿宋" w:hAnsi="仿宋" w:eastAsia="仿宋" w:cs="仿宋"/>
          <w:sz w:val="24"/>
        </w:rPr>
        <w:t>保证其检测结果科学、公正、准确和及时，</w:t>
      </w:r>
      <w:r>
        <w:rPr>
          <w:rFonts w:hint="eastAsia" w:ascii="仿宋" w:hAnsi="仿宋" w:eastAsia="仿宋" w:cs="仿宋"/>
          <w:sz w:val="24"/>
          <w:lang w:eastAsia="zh-CN"/>
        </w:rPr>
        <w:t>并</w:t>
      </w:r>
      <w:r>
        <w:rPr>
          <w:rFonts w:hint="eastAsia" w:ascii="仿宋" w:hAnsi="仿宋" w:eastAsia="仿宋" w:cs="仿宋"/>
          <w:sz w:val="24"/>
        </w:rPr>
        <w:t>承担由此引发的法律责任</w:t>
      </w:r>
      <w:r>
        <w:rPr>
          <w:rFonts w:hint="eastAsia" w:ascii="仿宋" w:hAnsi="仿宋" w:eastAsia="仿宋" w:cs="仿宋"/>
          <w:color w:val="auto"/>
          <w:sz w:val="24"/>
          <w:lang w:eastAsia="zh-CN"/>
        </w:rPr>
        <w:t>。</w:t>
      </w:r>
    </w:p>
    <w:p w14:paraId="38A4B8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000000"/>
          <w:sz w:val="24"/>
        </w:rPr>
        <w:t>2、</w:t>
      </w:r>
      <w:r>
        <w:rPr>
          <w:rFonts w:hint="eastAsia" w:ascii="仿宋" w:hAnsi="仿宋" w:eastAsia="仿宋" w:cs="仿宋"/>
          <w:sz w:val="24"/>
          <w:lang w:eastAsia="zh-CN"/>
        </w:rPr>
        <w:t>乙方</w:t>
      </w:r>
      <w:r>
        <w:rPr>
          <w:rFonts w:hint="eastAsia" w:ascii="仿宋" w:hAnsi="仿宋" w:eastAsia="仿宋" w:cs="仿宋"/>
          <w:sz w:val="24"/>
        </w:rPr>
        <w:t>在完成检测工作后</w:t>
      </w:r>
      <w:r>
        <w:rPr>
          <w:rFonts w:hint="eastAsia" w:ascii="仿宋" w:hAnsi="仿宋" w:eastAsia="仿宋" w:cs="仿宋"/>
          <w:sz w:val="24"/>
          <w:lang w:eastAsia="zh-CN"/>
        </w:rPr>
        <w:t>，</w:t>
      </w:r>
      <w:r>
        <w:rPr>
          <w:rFonts w:hint="eastAsia" w:ascii="仿宋" w:hAnsi="仿宋" w:eastAsia="仿宋" w:cs="仿宋"/>
          <w:sz w:val="24"/>
          <w:lang w:val="en-US" w:eastAsia="zh-CN"/>
        </w:rPr>
        <w:t>应向甲方提交</w:t>
      </w:r>
      <w:r>
        <w:rPr>
          <w:rFonts w:hint="eastAsia" w:ascii="仿宋" w:hAnsi="仿宋" w:eastAsia="仿宋" w:cs="仿宋"/>
          <w:color w:val="auto"/>
          <w:sz w:val="24"/>
          <w:lang w:val="en-US" w:eastAsia="zh-CN"/>
        </w:rPr>
        <w:t>一式两份的</w:t>
      </w:r>
      <w:r>
        <w:rPr>
          <w:rFonts w:hint="eastAsia" w:ascii="仿宋" w:hAnsi="仿宋" w:eastAsia="仿宋" w:cs="仿宋"/>
          <w:color w:val="auto"/>
          <w:sz w:val="24"/>
          <w:lang w:eastAsia="zh-CN"/>
        </w:rPr>
        <w:t>纸质版</w:t>
      </w:r>
      <w:r>
        <w:rPr>
          <w:rStyle w:val="24"/>
          <w:rFonts w:hint="eastAsia" w:ascii="仿宋" w:hAnsi="仿宋" w:eastAsia="仿宋" w:cs="仿宋"/>
          <w:b w:val="0"/>
          <w:bCs w:val="0"/>
          <w:i w:val="0"/>
          <w:iCs w:val="0"/>
          <w:caps w:val="0"/>
          <w:color w:val="auto"/>
          <w:spacing w:val="0"/>
          <w:sz w:val="24"/>
          <w:szCs w:val="24"/>
          <w:u w:val="none"/>
          <w:shd w:val="clear" w:fill="FFFFFF"/>
        </w:rPr>
        <w:t>防雷装置</w:t>
      </w:r>
      <w:r>
        <w:rPr>
          <w:rFonts w:hint="eastAsia" w:ascii="仿宋" w:hAnsi="仿宋" w:eastAsia="仿宋" w:cs="仿宋"/>
          <w:color w:val="auto"/>
          <w:sz w:val="24"/>
          <w:lang w:val="en-US" w:eastAsia="zh-CN"/>
        </w:rPr>
        <w:t>检测</w:t>
      </w:r>
      <w:r>
        <w:rPr>
          <w:rFonts w:hint="eastAsia" w:ascii="仿宋" w:hAnsi="仿宋" w:eastAsia="仿宋" w:cs="仿宋"/>
          <w:sz w:val="24"/>
        </w:rPr>
        <w:t>报告</w:t>
      </w:r>
      <w:r>
        <w:rPr>
          <w:rFonts w:hint="eastAsia" w:ascii="仿宋" w:hAnsi="仿宋" w:eastAsia="仿宋" w:cs="仿宋"/>
          <w:sz w:val="24"/>
          <w:lang w:val="en-US" w:eastAsia="zh-CN"/>
        </w:rPr>
        <w:t>和</w:t>
      </w:r>
      <w:r>
        <w:rPr>
          <w:rFonts w:hint="eastAsia" w:ascii="仿宋" w:hAnsi="仿宋" w:eastAsia="仿宋" w:cs="仿宋"/>
          <w:color w:val="auto"/>
          <w:sz w:val="24"/>
          <w:szCs w:val="20"/>
          <w:lang w:val="en-US" w:eastAsia="zh-CN"/>
        </w:rPr>
        <w:t>定期检测合格登记证（下称“检测成果”）</w:t>
      </w:r>
      <w:r>
        <w:rPr>
          <w:rFonts w:hint="eastAsia" w:ascii="仿宋" w:hAnsi="仿宋" w:eastAsia="仿宋" w:cs="仿宋"/>
          <w:sz w:val="24"/>
          <w:lang w:eastAsia="zh-CN"/>
        </w:rPr>
        <w:t>，</w:t>
      </w:r>
      <w:r>
        <w:rPr>
          <w:rFonts w:hint="eastAsia" w:ascii="仿宋" w:hAnsi="仿宋" w:eastAsia="仿宋" w:cs="仿宋"/>
          <w:sz w:val="24"/>
          <w:lang w:val="en-US" w:eastAsia="zh-CN"/>
        </w:rPr>
        <w:t>并书面提请甲方进行验收</w:t>
      </w:r>
      <w:r>
        <w:rPr>
          <w:rFonts w:hint="eastAsia" w:ascii="仿宋" w:hAnsi="仿宋" w:eastAsia="仿宋" w:cs="仿宋"/>
          <w:sz w:val="24"/>
        </w:rPr>
        <w:t>。</w:t>
      </w:r>
      <w:r>
        <w:rPr>
          <w:rFonts w:hint="eastAsia" w:ascii="仿宋" w:hAnsi="仿宋" w:eastAsia="仿宋" w:cs="仿宋"/>
          <w:i w:val="0"/>
          <w:iCs w:val="0"/>
          <w:caps w:val="0"/>
          <w:color w:val="auto"/>
          <w:spacing w:val="0"/>
          <w:sz w:val="24"/>
          <w:szCs w:val="20"/>
          <w:shd w:val="clear" w:fill="auto"/>
        </w:rPr>
        <w:t>甲方应在收到乙方书面验收申请及完整的检测成果后</w:t>
      </w:r>
      <w:r>
        <w:rPr>
          <w:rFonts w:hint="eastAsia" w:ascii="仿宋" w:hAnsi="仿宋" w:eastAsia="仿宋" w:cs="仿宋"/>
          <w:b/>
          <w:bCs/>
          <w:color w:val="auto"/>
          <w:sz w:val="24"/>
          <w:szCs w:val="20"/>
          <w:lang w:eastAsia="zh-CN"/>
        </w:rPr>
        <w:t>1</w:t>
      </w:r>
      <w:r>
        <w:rPr>
          <w:rFonts w:hint="eastAsia" w:ascii="仿宋" w:hAnsi="仿宋" w:eastAsia="仿宋" w:cs="仿宋"/>
          <w:b/>
          <w:bCs/>
          <w:color w:val="auto"/>
          <w:sz w:val="24"/>
          <w:szCs w:val="20"/>
          <w:lang w:val="en-US" w:eastAsia="zh-CN"/>
        </w:rPr>
        <w:t>0</w:t>
      </w:r>
      <w:r>
        <w:rPr>
          <w:rFonts w:hint="eastAsia" w:ascii="仿宋" w:hAnsi="仿宋" w:eastAsia="仿宋" w:cs="仿宋"/>
          <w:b/>
          <w:bCs/>
          <w:color w:val="auto"/>
          <w:sz w:val="24"/>
        </w:rPr>
        <w:t>个工作日</w:t>
      </w:r>
      <w:r>
        <w:rPr>
          <w:rFonts w:hint="eastAsia" w:ascii="仿宋" w:hAnsi="仿宋" w:eastAsia="仿宋" w:cs="仿宋"/>
          <w:color w:val="auto"/>
          <w:sz w:val="24"/>
        </w:rPr>
        <w:t>内组织</w:t>
      </w:r>
      <w:r>
        <w:rPr>
          <w:rFonts w:hint="eastAsia" w:ascii="仿宋" w:hAnsi="仿宋" w:eastAsia="仿宋" w:cs="仿宋"/>
          <w:color w:val="auto"/>
          <w:sz w:val="24"/>
          <w:lang w:eastAsia="zh-CN"/>
        </w:rPr>
        <w:t>乙方</w:t>
      </w:r>
      <w:r>
        <w:rPr>
          <w:rFonts w:hint="eastAsia" w:ascii="仿宋" w:hAnsi="仿宋" w:eastAsia="仿宋" w:cs="仿宋"/>
          <w:color w:val="auto"/>
          <w:sz w:val="24"/>
        </w:rPr>
        <w:t>完成验收工作</w:t>
      </w:r>
      <w:r>
        <w:rPr>
          <w:rFonts w:hint="eastAsia" w:ascii="仿宋" w:hAnsi="仿宋" w:eastAsia="仿宋" w:cs="仿宋"/>
          <w:color w:val="auto"/>
          <w:sz w:val="24"/>
          <w:lang w:eastAsia="zh-CN"/>
        </w:rPr>
        <w:t>。</w:t>
      </w:r>
    </w:p>
    <w:p w14:paraId="4A01FC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lang w:eastAsia="zh-CN"/>
        </w:rPr>
      </w:pPr>
      <w:r>
        <w:rPr>
          <w:rFonts w:hint="eastAsia" w:ascii="仿宋" w:hAnsi="仿宋" w:eastAsia="仿宋" w:cs="仿宋"/>
          <w:i w:val="0"/>
          <w:iCs w:val="0"/>
          <w:caps w:val="0"/>
          <w:color w:val="auto"/>
          <w:spacing w:val="0"/>
          <w:sz w:val="24"/>
          <w:szCs w:val="24"/>
          <w:shd w:val="clear" w:fill="auto"/>
        </w:rPr>
        <w:t>如甲方认为检测成果存在问题（包括但不限于检测程序、检测方法、报告内容、结论等不符合国家规范或合同约定），应</w:t>
      </w:r>
      <w:r>
        <w:rPr>
          <w:rFonts w:hint="eastAsia" w:ascii="仿宋" w:hAnsi="仿宋" w:eastAsia="仿宋" w:cs="仿宋"/>
          <w:b/>
          <w:bCs/>
          <w:i w:val="0"/>
          <w:iCs w:val="0"/>
          <w:caps w:val="0"/>
          <w:color w:val="auto"/>
          <w:spacing w:val="0"/>
          <w:sz w:val="24"/>
          <w:szCs w:val="24"/>
          <w:shd w:val="clear" w:fill="auto"/>
        </w:rPr>
        <w:t>在验收期内</w:t>
      </w:r>
      <w:r>
        <w:rPr>
          <w:rFonts w:hint="default" w:ascii="Segoe UI" w:hAnsi="Segoe UI" w:eastAsia="Segoe UI" w:cs="Segoe UI"/>
          <w:i w:val="0"/>
          <w:iCs w:val="0"/>
          <w:caps w:val="0"/>
          <w:color w:val="0F1115"/>
          <w:spacing w:val="0"/>
          <w:sz w:val="24"/>
          <w:szCs w:val="24"/>
          <w:shd w:val="clear" w:fill="FFFFFF"/>
        </w:rPr>
        <w:t> </w:t>
      </w:r>
      <w:r>
        <w:rPr>
          <w:rFonts w:hint="eastAsia" w:ascii="仿宋" w:hAnsi="仿宋" w:eastAsia="仿宋" w:cs="仿宋"/>
          <w:i w:val="0"/>
          <w:iCs w:val="0"/>
          <w:caps w:val="0"/>
          <w:color w:val="auto"/>
          <w:spacing w:val="0"/>
          <w:sz w:val="24"/>
          <w:szCs w:val="24"/>
          <w:shd w:val="clear" w:fill="auto"/>
        </w:rPr>
        <w:t>向乙方一次性发出书面修改或补充通知，并说明具体理由。乙方应在收到通知后</w:t>
      </w:r>
      <w:r>
        <w:rPr>
          <w:rFonts w:hint="eastAsia" w:ascii="仿宋" w:hAnsi="仿宋" w:eastAsia="仿宋" w:cs="仿宋"/>
          <w:b/>
          <w:bCs/>
          <w:i w:val="0"/>
          <w:iCs w:val="0"/>
          <w:caps w:val="0"/>
          <w:color w:val="auto"/>
          <w:spacing w:val="0"/>
          <w:sz w:val="24"/>
          <w:szCs w:val="24"/>
          <w:shd w:val="clear" w:fill="auto"/>
        </w:rPr>
        <w:t> 7个工作日</w:t>
      </w:r>
      <w:r>
        <w:rPr>
          <w:rFonts w:hint="default" w:ascii="Segoe UI" w:hAnsi="Segoe UI" w:eastAsia="Segoe UI" w:cs="Segoe UI"/>
          <w:i w:val="0"/>
          <w:iCs w:val="0"/>
          <w:caps w:val="0"/>
          <w:color w:val="0F1115"/>
          <w:spacing w:val="0"/>
          <w:sz w:val="24"/>
          <w:szCs w:val="24"/>
          <w:shd w:val="clear" w:fill="FFFFFF"/>
        </w:rPr>
        <w:t> </w:t>
      </w:r>
      <w:r>
        <w:rPr>
          <w:rFonts w:hint="eastAsia" w:ascii="仿宋" w:hAnsi="仿宋" w:eastAsia="仿宋" w:cs="仿宋"/>
          <w:i w:val="0"/>
          <w:iCs w:val="0"/>
          <w:caps w:val="0"/>
          <w:color w:val="auto"/>
          <w:spacing w:val="0"/>
          <w:sz w:val="24"/>
          <w:szCs w:val="24"/>
          <w:shd w:val="clear" w:fill="auto"/>
        </w:rPr>
        <w:t>内完成修改或补充，并重新提交验收，由此产生的延误由乙方承担责任</w:t>
      </w:r>
      <w:r>
        <w:rPr>
          <w:rFonts w:hint="eastAsia" w:ascii="仿宋" w:hAnsi="仿宋" w:eastAsia="仿宋" w:cs="仿宋"/>
          <w:sz w:val="24"/>
          <w:lang w:eastAsia="zh-CN"/>
        </w:rPr>
        <w:t>。</w:t>
      </w:r>
    </w:p>
    <w:p w14:paraId="2A596B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rPr>
      </w:pPr>
      <w:r>
        <w:rPr>
          <w:rFonts w:hint="eastAsia" w:ascii="仿宋" w:hAnsi="仿宋" w:eastAsia="仿宋" w:cs="仿宋"/>
          <w:sz w:val="24"/>
          <w:lang w:eastAsia="zh-CN"/>
        </w:rPr>
        <w:t>若双方经协商仍对检测结果存在重大分歧，可共同委托具备资质的第三方检测机构进行复核，复核结果对双方均有约束力，相关费用由过错方承担。</w:t>
      </w:r>
    </w:p>
    <w:p w14:paraId="7D1DF507">
      <w:pPr>
        <w:widowControl/>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val="zh-CN"/>
        </w:rPr>
        <w:t>、</w:t>
      </w:r>
      <w:r>
        <w:rPr>
          <w:rFonts w:hint="eastAsia" w:ascii="仿宋" w:hAnsi="仿宋" w:eastAsia="仿宋" w:cs="仿宋"/>
          <w:color w:val="auto"/>
          <w:sz w:val="24"/>
        </w:rPr>
        <w:t>乙方应执行国家有关的法规，并遵循相关标准、规范进行</w:t>
      </w:r>
      <w:r>
        <w:rPr>
          <w:rFonts w:hint="eastAsia" w:ascii="仿宋" w:hAnsi="仿宋" w:eastAsia="仿宋" w:cs="仿宋"/>
          <w:color w:val="auto"/>
          <w:sz w:val="24"/>
          <w:lang w:val="en-US" w:eastAsia="zh-CN"/>
        </w:rPr>
        <w:t>测试</w:t>
      </w:r>
      <w:r>
        <w:rPr>
          <w:rFonts w:hint="eastAsia" w:ascii="仿宋" w:hAnsi="仿宋" w:eastAsia="仿宋" w:cs="仿宋"/>
          <w:color w:val="auto"/>
          <w:sz w:val="24"/>
        </w:rPr>
        <w:t>，包括但不限于以下标准、规范：</w:t>
      </w:r>
    </w:p>
    <w:p w14:paraId="6E9B02E9">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lang w:eastAsia="zh-CN"/>
        </w:rPr>
        <w:t>（</w:t>
      </w:r>
      <w:r>
        <w:rPr>
          <w:rFonts w:hint="eastAsia" w:ascii="仿宋" w:hAnsi="仿宋" w:eastAsia="仿宋" w:cs="仿宋"/>
          <w:color w:val="auto"/>
          <w:sz w:val="24"/>
        </w:rPr>
        <w:t>1)《中华人民共和国气象法》</w:t>
      </w:r>
    </w:p>
    <w:p w14:paraId="6419A55C">
      <w:pPr>
        <w:widowControl/>
        <w:spacing w:line="360" w:lineRule="auto"/>
        <w:ind w:firstLine="480" w:firstLineChars="200"/>
        <w:rPr>
          <w:rFonts w:hint="eastAsia" w:ascii="仿宋" w:hAnsi="仿宋" w:eastAsia="仿宋" w:cs="仿宋"/>
          <w:color w:val="auto"/>
          <w:sz w:val="24"/>
          <w:szCs w:val="20"/>
          <w:lang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2</w:t>
      </w:r>
      <w:r>
        <w:rPr>
          <w:rFonts w:hint="eastAsia" w:ascii="仿宋" w:hAnsi="仿宋" w:eastAsia="仿宋" w:cs="仿宋"/>
          <w:color w:val="auto"/>
          <w:sz w:val="24"/>
          <w:szCs w:val="20"/>
          <w:lang w:eastAsia="zh-CN"/>
        </w:rPr>
        <w:t>）《气象灾害防御条例》</w:t>
      </w:r>
    </w:p>
    <w:p w14:paraId="16934C9B">
      <w:pPr>
        <w:widowControl/>
        <w:spacing w:line="360" w:lineRule="auto"/>
        <w:ind w:firstLine="480" w:firstLineChars="200"/>
        <w:rPr>
          <w:rFonts w:hint="eastAsia" w:ascii="仿宋" w:hAnsi="仿宋" w:eastAsia="仿宋" w:cs="仿宋"/>
          <w:color w:val="auto"/>
          <w:sz w:val="24"/>
          <w:szCs w:val="20"/>
          <w:lang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3</w:t>
      </w:r>
      <w:r>
        <w:rPr>
          <w:rFonts w:hint="eastAsia" w:ascii="仿宋" w:hAnsi="仿宋" w:eastAsia="仿宋" w:cs="仿宋"/>
          <w:color w:val="auto"/>
          <w:sz w:val="24"/>
          <w:szCs w:val="20"/>
          <w:lang w:eastAsia="zh-CN"/>
        </w:rPr>
        <w:t>）《防雷减灾管理办法》</w:t>
      </w:r>
    </w:p>
    <w:p w14:paraId="763AD80D">
      <w:pPr>
        <w:widowControl/>
        <w:spacing w:line="360" w:lineRule="auto"/>
        <w:ind w:firstLine="480" w:firstLineChars="200"/>
        <w:rPr>
          <w:rFonts w:hint="eastAsia" w:ascii="仿宋" w:hAnsi="仿宋" w:eastAsia="仿宋" w:cs="仿宋"/>
          <w:color w:val="auto"/>
          <w:sz w:val="24"/>
          <w:szCs w:val="20"/>
          <w:lang w:val="en-US" w:eastAsia="zh-CN"/>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4</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《建筑物防雷设计规范》</w:t>
      </w:r>
      <w:r>
        <w:rPr>
          <w:rFonts w:hint="eastAsia" w:ascii="仿宋" w:hAnsi="仿宋" w:eastAsia="仿宋" w:cs="仿宋"/>
          <w:color w:val="auto"/>
          <w:sz w:val="24"/>
          <w:szCs w:val="20"/>
        </w:rPr>
        <w:t>GB 50057-2010</w:t>
      </w:r>
    </w:p>
    <w:p w14:paraId="399FBD5E">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szCs w:val="20"/>
          <w:lang w:eastAsia="zh-CN"/>
        </w:rPr>
        <w:t>（5</w:t>
      </w:r>
      <w:r>
        <w:rPr>
          <w:rFonts w:hint="eastAsia" w:ascii="仿宋" w:hAnsi="仿宋" w:eastAsia="仿宋" w:cs="仿宋"/>
          <w:color w:val="auto"/>
          <w:sz w:val="24"/>
          <w:szCs w:val="20"/>
        </w:rPr>
        <w:t>)</w:t>
      </w:r>
      <w:r>
        <w:rPr>
          <w:rFonts w:hint="eastAsia" w:ascii="仿宋" w:hAnsi="仿宋" w:eastAsia="仿宋" w:cs="仿宋"/>
          <w:color w:val="auto"/>
          <w:sz w:val="24"/>
          <w:szCs w:val="20"/>
          <w:lang w:val="en-US" w:eastAsia="zh-CN"/>
        </w:rPr>
        <w:t>《建筑物防雷装置检测技术规范》</w:t>
      </w:r>
      <w:r>
        <w:rPr>
          <w:rFonts w:hint="eastAsia" w:ascii="仿宋" w:hAnsi="仿宋" w:eastAsia="仿宋" w:cs="仿宋"/>
          <w:color w:val="auto"/>
          <w:sz w:val="24"/>
          <w:szCs w:val="20"/>
        </w:rPr>
        <w:t>GB/T 21431-2023</w:t>
      </w:r>
    </w:p>
    <w:p w14:paraId="66EDEF9C">
      <w:pPr>
        <w:widowControl/>
        <w:spacing w:line="360" w:lineRule="auto"/>
        <w:ind w:firstLine="480" w:firstLineChars="200"/>
        <w:rPr>
          <w:rFonts w:hint="eastAsia" w:ascii="仿宋" w:hAnsi="仿宋" w:eastAsia="仿宋" w:cs="仿宋"/>
          <w:color w:val="auto"/>
          <w:sz w:val="24"/>
          <w:szCs w:val="20"/>
        </w:rPr>
      </w:pP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lang w:val="en-US" w:eastAsia="zh-CN"/>
        </w:rPr>
        <w:t>6</w:t>
      </w:r>
      <w:r>
        <w:rPr>
          <w:rFonts w:hint="eastAsia" w:ascii="仿宋" w:hAnsi="仿宋" w:eastAsia="仿宋" w:cs="仿宋"/>
          <w:color w:val="auto"/>
          <w:sz w:val="24"/>
          <w:szCs w:val="20"/>
          <w:lang w:eastAsia="zh-CN"/>
        </w:rPr>
        <w:t>）</w:t>
      </w:r>
      <w:r>
        <w:rPr>
          <w:rFonts w:hint="eastAsia" w:ascii="仿宋" w:hAnsi="仿宋" w:eastAsia="仿宋" w:cs="仿宋"/>
          <w:color w:val="auto"/>
          <w:sz w:val="24"/>
          <w:szCs w:val="20"/>
        </w:rPr>
        <w:t>《建筑物电子信息系统防雷技术规范》（GB 50343-2012）</w:t>
      </w:r>
    </w:p>
    <w:p w14:paraId="08400333">
      <w:pPr>
        <w:widowControl/>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根据现场检查检测、综合分析结果，出具</w:t>
      </w:r>
      <w:r>
        <w:rPr>
          <w:rFonts w:hint="eastAsia" w:ascii="仿宋" w:hAnsi="仿宋" w:eastAsia="仿宋" w:cs="仿宋"/>
          <w:color w:val="auto"/>
          <w:sz w:val="24"/>
          <w:lang w:val="en-US" w:eastAsia="zh-CN"/>
        </w:rPr>
        <w:t>正式检测</w:t>
      </w:r>
      <w:r>
        <w:rPr>
          <w:rFonts w:hint="eastAsia" w:ascii="仿宋" w:hAnsi="仿宋" w:eastAsia="仿宋" w:cs="仿宋"/>
          <w:color w:val="auto"/>
          <w:sz w:val="24"/>
        </w:rPr>
        <w:t>报告，综合评估</w:t>
      </w:r>
      <w:r>
        <w:rPr>
          <w:rFonts w:hint="eastAsia" w:ascii="仿宋" w:hAnsi="仿宋" w:eastAsia="仿宋" w:cs="仿宋"/>
          <w:color w:val="auto"/>
          <w:sz w:val="24"/>
          <w:lang w:val="en-US" w:eastAsia="zh-CN"/>
        </w:rPr>
        <w:t>建筑防雷</w:t>
      </w:r>
      <w:r>
        <w:rPr>
          <w:rFonts w:hint="eastAsia" w:ascii="仿宋" w:hAnsi="仿宋" w:eastAsia="仿宋" w:cs="仿宋"/>
          <w:color w:val="auto"/>
          <w:sz w:val="24"/>
        </w:rPr>
        <w:t>安全性。</w:t>
      </w:r>
      <w:r>
        <w:rPr>
          <w:rFonts w:hint="eastAsia" w:ascii="仿宋" w:hAnsi="仿宋" w:eastAsia="仿宋" w:cs="仿宋"/>
          <w:color w:val="auto"/>
          <w:sz w:val="24"/>
          <w:lang w:val="en-US" w:eastAsia="zh-CN"/>
        </w:rPr>
        <w:t>若检测不合格，须</w:t>
      </w:r>
      <w:r>
        <w:rPr>
          <w:rFonts w:hint="eastAsia" w:ascii="仿宋" w:hAnsi="仿宋" w:eastAsia="仿宋" w:cs="仿宋"/>
          <w:color w:val="auto"/>
          <w:sz w:val="24"/>
        </w:rPr>
        <w:t>指出</w:t>
      </w:r>
      <w:r>
        <w:rPr>
          <w:rFonts w:hint="eastAsia" w:ascii="仿宋" w:hAnsi="仿宋" w:eastAsia="仿宋" w:cs="仿宋"/>
          <w:color w:val="auto"/>
          <w:sz w:val="24"/>
          <w:lang w:val="en-US" w:eastAsia="zh-CN"/>
        </w:rPr>
        <w:t>其中</w:t>
      </w:r>
      <w:r>
        <w:rPr>
          <w:rFonts w:hint="eastAsia" w:ascii="仿宋" w:hAnsi="仿宋" w:eastAsia="仿宋" w:cs="仿宋"/>
          <w:color w:val="auto"/>
          <w:sz w:val="24"/>
        </w:rPr>
        <w:t>存在的主要问题，提出相应的维修整改建议，乙方应无偿提供技术指导，甲方应积极配合在现场完成。</w:t>
      </w:r>
    </w:p>
    <w:p w14:paraId="0271B3CC">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rPr>
        <w:t>七</w:t>
      </w:r>
      <w:r>
        <w:rPr>
          <w:rFonts w:hint="eastAsia" w:ascii="仿宋" w:hAnsi="仿宋" w:eastAsia="仿宋" w:cs="仿宋"/>
          <w:b/>
          <w:bCs/>
          <w:color w:val="000000"/>
          <w:sz w:val="28"/>
          <w:szCs w:val="28"/>
          <w:lang w:val="zh-CN"/>
        </w:rPr>
        <w:t>、关于工程款结算的约定</w:t>
      </w:r>
    </w:p>
    <w:p w14:paraId="28410AD2">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lang w:val="zh-CN"/>
        </w:rPr>
        <w:t>1、</w:t>
      </w:r>
      <w:r>
        <w:rPr>
          <w:rFonts w:hint="eastAsia" w:ascii="仿宋" w:hAnsi="仿宋" w:eastAsia="仿宋" w:cs="仿宋"/>
          <w:i w:val="0"/>
          <w:iCs w:val="0"/>
          <w:caps w:val="0"/>
          <w:spacing w:val="0"/>
          <w:sz w:val="24"/>
          <w:szCs w:val="24"/>
          <w:shd w:val="clear"/>
        </w:rPr>
        <w:t>按实际完成工程量结算，项目单价执行合同附件工程量清单相应子目单价。实际结算总价如超过合同暂定价的，在不改变合同其他条款的前提下，双方可以协商签订补充合同，但所有补充合同的采购金额不得超过原合同采购金额的10%，超出部分不予支付</w:t>
      </w:r>
      <w:r>
        <w:rPr>
          <w:rFonts w:hint="eastAsia" w:ascii="仿宋" w:hAnsi="仿宋" w:eastAsia="仿宋" w:cs="仿宋"/>
          <w:sz w:val="24"/>
          <w:lang w:eastAsia="zh-CN"/>
        </w:rPr>
        <w:t>。</w:t>
      </w:r>
    </w:p>
    <w:p w14:paraId="5D177186">
      <w:pPr>
        <w:pStyle w:val="7"/>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2、结算方式：</w:t>
      </w:r>
    </w:p>
    <w:p w14:paraId="7C1AD04E">
      <w:pPr>
        <w:pStyle w:val="7"/>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（1）每年度检测服务完成后，</w:t>
      </w:r>
      <w:r>
        <w:rPr>
          <w:rFonts w:hint="eastAsia" w:ascii="仿宋" w:hAnsi="仿宋" w:eastAsia="仿宋" w:cs="仿宋"/>
          <w:i w:val="0"/>
          <w:iCs w:val="0"/>
          <w:caps w:val="0"/>
          <w:color w:val="auto"/>
          <w:spacing w:val="0"/>
          <w:sz w:val="24"/>
          <w:szCs w:val="24"/>
          <w:shd w:val="clear" w:fill="auto"/>
        </w:rPr>
        <w:t>乙方向甲方提交完整的检测成果并书面申请结算</w:t>
      </w:r>
      <w:r>
        <w:rPr>
          <w:rFonts w:hint="eastAsia" w:ascii="仿宋" w:hAnsi="仿宋" w:eastAsia="仿宋" w:cs="仿宋"/>
          <w:i w:val="0"/>
          <w:iCs w:val="0"/>
          <w:caps w:val="0"/>
          <w:color w:val="auto"/>
          <w:spacing w:val="0"/>
          <w:sz w:val="24"/>
          <w:szCs w:val="24"/>
          <w:shd w:val="clear"/>
          <w:lang w:eastAsia="zh-CN"/>
        </w:rPr>
        <w:t>。</w:t>
      </w:r>
    </w:p>
    <w:p w14:paraId="40F84850">
      <w:pPr>
        <w:spacing w:line="360" w:lineRule="auto"/>
        <w:ind w:firstLine="480" w:firstLineChars="200"/>
        <w:rPr>
          <w:rFonts w:hint="eastAsia" w:ascii="仿宋" w:hAnsi="仿宋" w:eastAsia="仿宋" w:cs="仿宋"/>
          <w:i w:val="0"/>
          <w:iCs w:val="0"/>
          <w:caps w:val="0"/>
          <w:color w:val="auto"/>
          <w:spacing w:val="0"/>
          <w:sz w:val="24"/>
          <w:szCs w:val="24"/>
          <w:shd w:val="clear"/>
          <w:lang w:eastAsia="zh-CN"/>
        </w:rPr>
      </w:pPr>
      <w:r>
        <w:rPr>
          <w:rFonts w:hint="eastAsia" w:ascii="仿宋" w:hAnsi="仿宋" w:eastAsia="仿宋" w:cs="仿宋"/>
          <w:color w:val="auto"/>
          <w:sz w:val="24"/>
          <w:szCs w:val="24"/>
          <w:lang w:val="en-US" w:eastAsia="zh-CN"/>
        </w:rPr>
        <w:t>（2）</w:t>
      </w:r>
      <w:r>
        <w:rPr>
          <w:rFonts w:hint="eastAsia" w:ascii="仿宋" w:hAnsi="仿宋" w:eastAsia="仿宋" w:cs="仿宋"/>
          <w:b w:val="0"/>
          <w:bCs w:val="0"/>
          <w:i w:val="0"/>
          <w:iCs w:val="0"/>
          <w:caps w:val="0"/>
          <w:color w:val="auto"/>
          <w:spacing w:val="0"/>
          <w:sz w:val="24"/>
          <w:szCs w:val="24"/>
          <w:shd w:val="clear" w:fill="auto"/>
        </w:rPr>
        <w:t>该期检测成果经甲方依据本合同第六条约定书面验收合格后</w:t>
      </w:r>
      <w:r>
        <w:rPr>
          <w:rFonts w:hint="eastAsia" w:ascii="仿宋" w:hAnsi="仿宋" w:eastAsia="仿宋" w:cs="仿宋"/>
          <w:i w:val="0"/>
          <w:iCs w:val="0"/>
          <w:caps w:val="0"/>
          <w:color w:val="auto"/>
          <w:spacing w:val="0"/>
          <w:sz w:val="24"/>
          <w:szCs w:val="24"/>
          <w:shd w:val="clear" w:fill="auto"/>
        </w:rPr>
        <w:t>，双方共同对当次实际完成的检测点数进行核算，并签署《当次工程量确认单》，作为结算依据</w:t>
      </w:r>
      <w:r>
        <w:rPr>
          <w:rFonts w:hint="eastAsia" w:ascii="仿宋" w:hAnsi="仿宋" w:eastAsia="仿宋" w:cs="仿宋"/>
          <w:i w:val="0"/>
          <w:iCs w:val="0"/>
          <w:caps w:val="0"/>
          <w:color w:val="auto"/>
          <w:spacing w:val="0"/>
          <w:sz w:val="24"/>
          <w:szCs w:val="24"/>
          <w:shd w:val="clear"/>
          <w:lang w:eastAsia="zh-CN"/>
        </w:rPr>
        <w:t>。</w:t>
      </w:r>
    </w:p>
    <w:p w14:paraId="0ED47FDD">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3、支付方式：</w:t>
      </w:r>
    </w:p>
    <w:p w14:paraId="259AA750">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（1）结算周期：本项目服务期为三年，每一年为一个结算支付周期，对应完成一期的检测服务，共三期。</w:t>
      </w:r>
    </w:p>
    <w:p w14:paraId="2A9A43D5">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（2）结算金额计算：</w:t>
      </w:r>
      <w:r>
        <w:rPr>
          <w:rFonts w:hint="eastAsia" w:ascii="仿宋" w:hAnsi="仿宋" w:eastAsia="仿宋" w:cs="仿宋"/>
          <w:color w:val="auto"/>
          <w:sz w:val="24"/>
          <w:szCs w:val="24"/>
        </w:rPr>
        <w:t>当次结算金额</w:t>
      </w:r>
      <w:r>
        <w:rPr>
          <w:rFonts w:hint="eastAsia" w:ascii="仿宋" w:hAnsi="仿宋" w:eastAsia="仿宋" w:cs="仿宋"/>
          <w:color w:val="auto"/>
          <w:sz w:val="24"/>
          <w:szCs w:val="24"/>
          <w:lang w:val="en-US" w:eastAsia="zh-CN"/>
        </w:rPr>
        <w:t>=实际检测点数*成交单价。</w:t>
      </w:r>
    </w:p>
    <w:p w14:paraId="628772C0">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auto"/>
          <w:sz w:val="24"/>
          <w:lang w:val="en-US" w:eastAsia="zh-CN"/>
        </w:rPr>
        <w:t>4、当次</w:t>
      </w:r>
      <w:r>
        <w:rPr>
          <w:rFonts w:hint="eastAsia" w:ascii="仿宋" w:hAnsi="仿宋" w:eastAsia="仿宋" w:cs="仿宋"/>
          <w:color w:val="auto"/>
          <w:sz w:val="24"/>
          <w:szCs w:val="24"/>
        </w:rPr>
        <w:t>结算周期</w:t>
      </w:r>
      <w:r>
        <w:rPr>
          <w:rFonts w:hint="eastAsia" w:ascii="仿宋" w:hAnsi="仿宋" w:eastAsia="仿宋" w:cs="仿宋"/>
          <w:color w:val="auto"/>
          <w:sz w:val="24"/>
          <w:szCs w:val="24"/>
          <w:lang w:val="en-US" w:eastAsia="zh-CN"/>
        </w:rPr>
        <w:t>内的检测服务完成后</w:t>
      </w:r>
      <w:r>
        <w:rPr>
          <w:rFonts w:hint="eastAsia" w:ascii="仿宋" w:hAnsi="仿宋" w:eastAsia="仿宋" w:cs="仿宋"/>
          <w:color w:val="auto"/>
          <w:sz w:val="24"/>
          <w:szCs w:val="24"/>
          <w:lang w:eastAsia="zh-CN"/>
        </w:rPr>
        <w:t>，</w:t>
      </w:r>
      <w:r>
        <w:rPr>
          <w:rFonts w:hint="eastAsia" w:ascii="仿宋" w:hAnsi="仿宋" w:eastAsia="仿宋" w:cs="仿宋"/>
          <w:color w:val="auto"/>
          <w:sz w:val="24"/>
          <w:lang w:val="en-US" w:eastAsia="zh-CN"/>
        </w:rPr>
        <w:t>由乙方出具正式</w:t>
      </w:r>
      <w:r>
        <w:rPr>
          <w:rFonts w:hint="eastAsia" w:ascii="仿宋" w:hAnsi="仿宋" w:eastAsia="仿宋" w:cs="仿宋"/>
          <w:color w:val="auto"/>
          <w:sz w:val="24"/>
          <w:szCs w:val="20"/>
          <w:lang w:val="en-US" w:eastAsia="zh-CN"/>
        </w:rPr>
        <w:t>检测合格报告和定期检测合格登记证</w:t>
      </w:r>
      <w:r>
        <w:rPr>
          <w:rFonts w:hint="eastAsia" w:ascii="仿宋" w:hAnsi="仿宋" w:eastAsia="仿宋" w:cs="仿宋"/>
          <w:color w:val="auto"/>
          <w:sz w:val="24"/>
          <w:lang w:val="zh-CN"/>
        </w:rPr>
        <w:t>，</w:t>
      </w:r>
      <w:r>
        <w:rPr>
          <w:rFonts w:hint="eastAsia" w:ascii="仿宋" w:hAnsi="仿宋" w:eastAsia="仿宋" w:cs="仿宋"/>
          <w:i w:val="0"/>
          <w:iCs w:val="0"/>
          <w:caps w:val="0"/>
          <w:color w:val="auto"/>
          <w:spacing w:val="0"/>
          <w:sz w:val="24"/>
          <w:szCs w:val="24"/>
          <w:shd w:val="clear" w:fill="auto"/>
        </w:rPr>
        <w:t>每期检测成果经甲方</w:t>
      </w:r>
      <w:r>
        <w:rPr>
          <w:rFonts w:hint="eastAsia" w:ascii="仿宋" w:hAnsi="仿宋" w:eastAsia="仿宋" w:cs="仿宋"/>
          <w:i w:val="0"/>
          <w:iCs w:val="0"/>
          <w:caps w:val="0"/>
          <w:color w:val="auto"/>
          <w:spacing w:val="0"/>
          <w:sz w:val="24"/>
          <w:szCs w:val="24"/>
          <w:shd w:val="clear" w:fill="auto"/>
          <w:lang w:val="en-US" w:eastAsia="zh-CN"/>
        </w:rPr>
        <w:t>审计部门</w:t>
      </w:r>
      <w:r>
        <w:rPr>
          <w:rFonts w:hint="eastAsia" w:ascii="仿宋" w:hAnsi="仿宋" w:eastAsia="仿宋" w:cs="仿宋"/>
          <w:color w:val="000000"/>
          <w:sz w:val="24"/>
          <w:lang w:bidi="ar"/>
        </w:rPr>
        <w:t>审核无误且满足支付条件后</w:t>
      </w:r>
      <w:r>
        <w:rPr>
          <w:rFonts w:hint="eastAsia" w:ascii="仿宋" w:hAnsi="仿宋" w:eastAsia="仿宋" w:cs="仿宋"/>
          <w:color w:val="000000"/>
          <w:sz w:val="24"/>
          <w:lang w:val="en-US" w:eastAsia="zh-CN" w:bidi="ar"/>
        </w:rPr>
        <w:t>30天</w:t>
      </w:r>
      <w:r>
        <w:rPr>
          <w:rFonts w:hint="eastAsia" w:ascii="仿宋" w:hAnsi="仿宋" w:eastAsia="仿宋" w:cs="仿宋"/>
          <w:color w:val="000000"/>
          <w:sz w:val="24"/>
          <w:lang w:bidi="ar"/>
        </w:rPr>
        <w:t>内</w:t>
      </w:r>
      <w:r>
        <w:rPr>
          <w:rFonts w:hint="eastAsia" w:ascii="仿宋" w:hAnsi="仿宋" w:eastAsia="仿宋" w:cs="仿宋"/>
          <w:i w:val="0"/>
          <w:iCs w:val="0"/>
          <w:caps w:val="0"/>
          <w:color w:val="auto"/>
          <w:spacing w:val="0"/>
          <w:sz w:val="24"/>
          <w:szCs w:val="24"/>
          <w:shd w:val="clear" w:fill="auto"/>
        </w:rPr>
        <w:t>，甲方向乙方支付该期结算款的100%</w:t>
      </w:r>
      <w:r>
        <w:rPr>
          <w:rFonts w:hint="eastAsia" w:ascii="仿宋" w:hAnsi="仿宋" w:eastAsia="仿宋" w:cs="仿宋"/>
          <w:color w:val="auto"/>
          <w:sz w:val="24"/>
        </w:rPr>
        <w:t>。若有本合同规定的违约情形，需在结算价中扣除相应违约金</w:t>
      </w:r>
      <w:r>
        <w:rPr>
          <w:rFonts w:hint="eastAsia" w:ascii="仿宋" w:hAnsi="仿宋" w:eastAsia="仿宋" w:cs="仿宋"/>
          <w:color w:val="auto"/>
          <w:sz w:val="24"/>
          <w:lang w:eastAsia="zh-CN"/>
        </w:rPr>
        <w:t>。</w:t>
      </w:r>
    </w:p>
    <w:p w14:paraId="201E03A0">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en-US" w:eastAsia="zh-CN"/>
        </w:rPr>
        <w:t>5</w:t>
      </w:r>
      <w:r>
        <w:rPr>
          <w:rFonts w:hint="eastAsia" w:ascii="仿宋" w:hAnsi="仿宋" w:eastAsia="仿宋" w:cs="仿宋"/>
          <w:sz w:val="24"/>
        </w:rPr>
        <w:t>、由甲方财务部门</w:t>
      </w:r>
      <w:r>
        <w:rPr>
          <w:rFonts w:hint="eastAsia" w:ascii="仿宋" w:hAnsi="仿宋" w:eastAsia="仿宋" w:cs="仿宋"/>
          <w:sz w:val="24"/>
          <w:lang w:val="zh-CN"/>
        </w:rPr>
        <w:t>按照</w:t>
      </w:r>
      <w:r>
        <w:rPr>
          <w:rFonts w:hint="eastAsia" w:ascii="仿宋" w:hAnsi="仿宋" w:eastAsia="仿宋" w:cs="仿宋"/>
          <w:sz w:val="24"/>
          <w:lang w:val="en-US" w:eastAsia="zh-CN"/>
        </w:rPr>
        <w:t>乙</w:t>
      </w:r>
      <w:r>
        <w:rPr>
          <w:rFonts w:hint="eastAsia" w:ascii="仿宋" w:hAnsi="仿宋" w:eastAsia="仿宋" w:cs="仿宋"/>
          <w:sz w:val="24"/>
          <w:lang w:val="zh-CN"/>
        </w:rPr>
        <w:t>方提供的银行账户支付货款后，因</w:t>
      </w:r>
      <w:r>
        <w:rPr>
          <w:rFonts w:hint="eastAsia" w:ascii="仿宋" w:hAnsi="仿宋" w:eastAsia="仿宋" w:cs="仿宋"/>
          <w:sz w:val="24"/>
          <w:lang w:val="en-US" w:eastAsia="zh-CN"/>
        </w:rPr>
        <w:t>乙</w:t>
      </w:r>
      <w:r>
        <w:rPr>
          <w:rFonts w:hint="eastAsia" w:ascii="仿宋" w:hAnsi="仿宋" w:eastAsia="仿宋" w:cs="仿宋"/>
          <w:sz w:val="24"/>
          <w:lang w:val="zh-CN"/>
        </w:rPr>
        <w:t>方提供账户或者账号相关信息遗漏、错误等原因所产生的后果由</w:t>
      </w:r>
      <w:r>
        <w:rPr>
          <w:rFonts w:hint="eastAsia" w:ascii="仿宋" w:hAnsi="仿宋" w:eastAsia="仿宋" w:cs="仿宋"/>
          <w:sz w:val="24"/>
          <w:lang w:val="en-US" w:eastAsia="zh-CN"/>
        </w:rPr>
        <w:t>乙</w:t>
      </w:r>
      <w:r>
        <w:rPr>
          <w:rFonts w:hint="eastAsia" w:ascii="仿宋" w:hAnsi="仿宋" w:eastAsia="仿宋" w:cs="仿宋"/>
          <w:sz w:val="24"/>
          <w:lang w:val="zh-CN"/>
        </w:rPr>
        <w:t>方自行承担：</w:t>
      </w:r>
    </w:p>
    <w:p w14:paraId="2017D0CA">
      <w:pPr>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sz w:val="24"/>
          <w:lang w:val="en-US" w:eastAsia="zh-CN"/>
        </w:rPr>
        <w:t>甲</w:t>
      </w:r>
      <w:r>
        <w:rPr>
          <w:rFonts w:hint="eastAsia" w:ascii="仿宋" w:hAnsi="仿宋" w:eastAsia="仿宋" w:cs="仿宋"/>
          <w:sz w:val="24"/>
          <w:lang w:val="zh-CN"/>
        </w:rPr>
        <w:t>方</w:t>
      </w:r>
      <w:r>
        <w:rPr>
          <w:rFonts w:hint="eastAsia" w:ascii="仿宋" w:hAnsi="仿宋" w:eastAsia="仿宋" w:cs="仿宋"/>
          <w:color w:val="auto"/>
          <w:sz w:val="24"/>
          <w:lang w:val="zh-CN"/>
        </w:rPr>
        <w:t>开票信息：名称：</w:t>
      </w:r>
      <w:r>
        <w:rPr>
          <w:rFonts w:hint="eastAsia" w:ascii="仿宋" w:hAnsi="仿宋" w:eastAsia="仿宋" w:cs="仿宋"/>
          <w:color w:val="auto"/>
          <w:sz w:val="24"/>
          <w:u w:val="single"/>
          <w:lang w:val="zh-CN"/>
        </w:rPr>
        <w:t>中山大学孙逸仙纪念医院</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3A7DCD5E">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color w:val="auto"/>
          <w:sz w:val="24"/>
          <w:lang w:val="zh-CN"/>
        </w:rPr>
        <w:t>开户行：</w:t>
      </w:r>
      <w:r>
        <w:rPr>
          <w:rFonts w:hint="eastAsia" w:ascii="仿宋" w:hAnsi="仿宋" w:eastAsia="仿宋" w:cs="仿宋"/>
          <w:color w:val="auto"/>
          <w:sz w:val="24"/>
          <w:u w:val="single"/>
          <w:lang w:val="zh-CN"/>
        </w:rPr>
        <w:t>广州市工商银行第二支行</w:t>
      </w:r>
      <w:r>
        <w:rPr>
          <w:rFonts w:hint="eastAsia" w:ascii="仿宋" w:hAnsi="仿宋" w:eastAsia="仿宋" w:cs="仿宋"/>
          <w:color w:val="auto"/>
          <w:sz w:val="24"/>
          <w:lang w:val="zh-CN"/>
        </w:rPr>
        <w:t>，账号：</w:t>
      </w:r>
      <w:r>
        <w:rPr>
          <w:rFonts w:hint="eastAsia" w:ascii="仿宋" w:hAnsi="仿宋" w:eastAsia="仿宋" w:cs="仿宋"/>
          <w:color w:val="auto"/>
          <w:sz w:val="24"/>
          <w:u w:val="single"/>
          <w:lang w:val="zh-CN"/>
        </w:rPr>
        <w:t>3602000509000704422</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03DEC39E">
      <w:pPr>
        <w:spacing w:line="360" w:lineRule="auto"/>
        <w:ind w:firstLine="480" w:firstLineChars="200"/>
        <w:jc w:val="left"/>
        <w:rPr>
          <w:rFonts w:ascii="仿宋" w:hAnsi="仿宋" w:eastAsia="仿宋" w:cs="仿宋"/>
          <w:sz w:val="24"/>
          <w:lang w:val="zh-CN"/>
        </w:rPr>
      </w:pPr>
      <w:r>
        <w:rPr>
          <w:rFonts w:hint="eastAsia" w:ascii="仿宋" w:hAnsi="仿宋" w:eastAsia="仿宋" w:cs="仿宋"/>
          <w:sz w:val="24"/>
        </w:rPr>
        <w:t>乙</w:t>
      </w:r>
      <w:r>
        <w:rPr>
          <w:rFonts w:hint="eastAsia" w:ascii="仿宋" w:hAnsi="仿宋" w:eastAsia="仿宋" w:cs="仿宋"/>
          <w:sz w:val="24"/>
          <w:lang w:val="zh-CN"/>
        </w:rPr>
        <w:t>方银行账户收取本项目款项：名称：</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073C6A7D">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sz w:val="24"/>
          <w:lang w:val="zh-CN"/>
        </w:rPr>
        <w:t>开户行：</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，账号：</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7005321A">
      <w:pPr>
        <w:autoSpaceDE w:val="0"/>
        <w:autoSpaceDN w:val="0"/>
        <w:adjustRightInd w:val="0"/>
        <w:spacing w:line="360" w:lineRule="auto"/>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八</w:t>
      </w:r>
      <w:r>
        <w:rPr>
          <w:rFonts w:hint="eastAsia" w:ascii="仿宋" w:hAnsi="仿宋" w:eastAsia="仿宋" w:cs="仿宋"/>
          <w:b/>
          <w:bCs/>
          <w:color w:val="000000"/>
          <w:sz w:val="28"/>
          <w:szCs w:val="28"/>
          <w:lang w:val="zh-CN"/>
        </w:rPr>
        <w:t>、违约责任</w:t>
      </w:r>
    </w:p>
    <w:p w14:paraId="2CD8AEC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因不可抗力的自然灾害所造成的突发性的损害，工期顺延。</w:t>
      </w:r>
    </w:p>
    <w:p w14:paraId="3F5E71F9">
      <w:pPr>
        <w:spacing w:line="360" w:lineRule="auto"/>
        <w:ind w:firstLine="480" w:firstLineChars="200"/>
        <w:rPr>
          <w:rFonts w:hint="eastAsia" w:ascii="仿宋" w:hAnsi="仿宋" w:eastAsia="仿宋" w:cs="仿宋"/>
          <w:sz w:val="24"/>
          <w:lang w:val="zh-CN"/>
        </w:rPr>
      </w:pPr>
      <w:r>
        <w:rPr>
          <w:rFonts w:hint="eastAsia" w:ascii="仿宋" w:hAnsi="仿宋" w:eastAsia="仿宋" w:cs="仿宋"/>
          <w:color w:val="000000"/>
          <w:sz w:val="24"/>
        </w:rPr>
        <w:t>2、</w:t>
      </w:r>
      <w:r>
        <w:rPr>
          <w:rFonts w:hint="eastAsia" w:ascii="仿宋" w:hAnsi="仿宋" w:eastAsia="仿宋" w:cs="仿宋"/>
          <w:color w:val="000000"/>
          <w:sz w:val="24"/>
          <w:szCs w:val="24"/>
          <w:lang w:val="zh-CN"/>
        </w:rPr>
        <w:t>因乙方原因导致工程不能按期完工的，乙方应承担违约责任并赔偿甲方损失</w:t>
      </w:r>
      <w:r>
        <w:rPr>
          <w:rFonts w:hint="eastAsia" w:ascii="仿宋" w:hAnsi="仿宋" w:eastAsia="仿宋" w:cs="仿宋"/>
          <w:color w:val="auto"/>
          <w:sz w:val="24"/>
          <w:szCs w:val="24"/>
          <w:lang w:val="zh-CN"/>
        </w:rPr>
        <w:t>。每逾期一日按</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的0.5‰支付违约金，违约金总额不超过</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的10%。</w:t>
      </w:r>
      <w:r>
        <w:rPr>
          <w:rFonts w:hint="eastAsia" w:ascii="仿宋" w:hAnsi="仿宋" w:eastAsia="仿宋" w:cs="仿宋"/>
          <w:color w:val="000000"/>
          <w:sz w:val="24"/>
          <w:szCs w:val="24"/>
          <w:lang w:val="zh-CN"/>
        </w:rPr>
        <w:t>甲方有权在应付工程款中直接扣除相应违约金，乙方支付违约金后，仍应继续完成工程并承担质量保修责任</w:t>
      </w:r>
      <w:r>
        <w:rPr>
          <w:rFonts w:hint="eastAsia" w:ascii="仿宋" w:hAnsi="仿宋" w:eastAsia="仿宋" w:cs="仿宋"/>
          <w:sz w:val="24"/>
          <w:lang w:val="zh-CN"/>
        </w:rPr>
        <w:t>。</w:t>
      </w:r>
    </w:p>
    <w:p w14:paraId="1950BAE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3、</w:t>
      </w:r>
      <w:r>
        <w:rPr>
          <w:rFonts w:hint="eastAsia" w:ascii="仿宋" w:hAnsi="仿宋" w:eastAsia="仿宋" w:cs="仿宋"/>
          <w:sz w:val="24"/>
          <w:lang w:val="zh-CN"/>
        </w:rPr>
        <w:t>因甲方场地、设备和生产作业等原因造成乙方无法正常施工的</w:t>
      </w:r>
      <w:r>
        <w:rPr>
          <w:rFonts w:hint="eastAsia" w:ascii="仿宋" w:hAnsi="仿宋" w:eastAsia="仿宋" w:cs="仿宋"/>
          <w:color w:val="000000"/>
          <w:sz w:val="24"/>
          <w:lang w:val="zh-CN"/>
        </w:rPr>
        <w:t>，除施工</w:t>
      </w:r>
      <w:r>
        <w:rPr>
          <w:rFonts w:hint="eastAsia" w:ascii="仿宋" w:hAnsi="仿宋" w:eastAsia="仿宋" w:cs="仿宋"/>
          <w:color w:val="000000"/>
          <w:sz w:val="24"/>
          <w:lang w:val="en-US" w:eastAsia="zh-CN"/>
        </w:rPr>
        <w:tab/>
      </w:r>
      <w:r>
        <w:rPr>
          <w:rFonts w:hint="eastAsia" w:ascii="仿宋" w:hAnsi="仿宋" w:eastAsia="仿宋" w:cs="仿宋"/>
          <w:color w:val="000000"/>
          <w:sz w:val="24"/>
          <w:lang w:val="zh-CN"/>
        </w:rPr>
        <w:t>工期顺延外，甲方不再作任何补偿。</w:t>
      </w:r>
    </w:p>
    <w:p w14:paraId="1DE9A6B3">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rPr>
        <w:t>4、因乙方责任（如发生安全、质量事故）而导致项目不能继续施工的，</w:t>
      </w:r>
      <w:r>
        <w:rPr>
          <w:rFonts w:hint="eastAsia" w:ascii="仿宋" w:hAnsi="仿宋" w:eastAsia="仿宋" w:cs="仿宋"/>
          <w:sz w:val="24"/>
        </w:rPr>
        <w:t>或停工时间持续达15</w:t>
      </w:r>
      <w:r>
        <w:rPr>
          <w:rFonts w:hint="eastAsia" w:ascii="仿宋" w:hAnsi="仿宋" w:eastAsia="仿宋" w:cs="仿宋"/>
          <w:sz w:val="24"/>
          <w:lang w:val="en-US" w:eastAsia="zh-CN"/>
        </w:rPr>
        <w:t>个日历天</w:t>
      </w:r>
      <w:r>
        <w:rPr>
          <w:rFonts w:hint="eastAsia" w:ascii="仿宋" w:hAnsi="仿宋" w:eastAsia="仿宋" w:cs="仿宋"/>
          <w:sz w:val="24"/>
        </w:rPr>
        <w:t>的，</w:t>
      </w:r>
      <w:r>
        <w:rPr>
          <w:rFonts w:hint="eastAsia" w:ascii="仿宋" w:hAnsi="仿宋" w:eastAsia="仿宋" w:cs="仿宋"/>
          <w:color w:val="000000"/>
          <w:sz w:val="24"/>
        </w:rPr>
        <w:t>甲方有权终止合同，并由乙方赔偿经济损失</w:t>
      </w:r>
      <w:r>
        <w:rPr>
          <w:rFonts w:hint="eastAsia" w:ascii="仿宋" w:hAnsi="仿宋" w:eastAsia="仿宋" w:cs="仿宋"/>
          <w:color w:val="000000"/>
          <w:sz w:val="24"/>
          <w:lang w:eastAsia="zh-CN"/>
        </w:rPr>
        <w:t>。</w:t>
      </w:r>
    </w:p>
    <w:p w14:paraId="5E11A4C2">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5、</w:t>
      </w:r>
      <w:r>
        <w:rPr>
          <w:rFonts w:hint="eastAsia" w:ascii="仿宋" w:hAnsi="仿宋" w:eastAsia="仿宋" w:cs="仿宋"/>
          <w:sz w:val="24"/>
        </w:rPr>
        <w:t>任何一方无正当理由单方面解除本合同，应向对方支付违约金，金额为合同暂定价的10%。若因一方根本违约（包括但不限于乙方检测报告存在严重失实等）导致合同目的无法实现，守约方有权解除合同，并要求违约方赔偿实际损失，不受本款10%违约金上限的限制。</w:t>
      </w:r>
    </w:p>
    <w:p w14:paraId="2DC10172">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rPr>
      </w:pPr>
      <w:r>
        <w:rPr>
          <w:rFonts w:hint="eastAsia" w:ascii="仿宋" w:hAnsi="仿宋" w:eastAsia="仿宋" w:cs="仿宋"/>
          <w:sz w:val="24"/>
          <w:lang w:val="en-US" w:eastAsia="zh-CN"/>
        </w:rPr>
        <w:t>6、</w:t>
      </w:r>
      <w:r>
        <w:rPr>
          <w:rFonts w:hint="eastAsia" w:ascii="仿宋" w:hAnsi="仿宋" w:eastAsia="仿宋" w:cs="仿宋"/>
          <w:b w:val="0"/>
          <w:bCs w:val="0"/>
          <w:i w:val="0"/>
          <w:iCs w:val="0"/>
          <w:caps w:val="0"/>
          <w:color w:val="auto"/>
          <w:spacing w:val="0"/>
          <w:sz w:val="24"/>
          <w:szCs w:val="24"/>
          <w:shd w:val="clear" w:fill="auto"/>
        </w:rPr>
        <w:t>若乙方提交的检测报告存在严重失实、数据造假或违反国家强制性规范的情形，经权威第三方或主管部门认定，乙方除应承担因此给甲方造成的一切损失外，还应向甲方支付合同暂定价20%的违约金。甲方有权立即单方解除合同，并将乙方列入供应商黑名单。</w:t>
      </w:r>
    </w:p>
    <w:p w14:paraId="3AFB70BC">
      <w:pPr>
        <w:spacing w:line="360" w:lineRule="auto"/>
        <w:ind w:firstLine="480" w:firstLineChars="200"/>
        <w:rPr>
          <w:rFonts w:hint="eastAsia" w:ascii="仿宋" w:hAnsi="仿宋" w:eastAsia="仿宋" w:cs="仿宋"/>
        </w:rPr>
      </w:pPr>
      <w:r>
        <w:rPr>
          <w:rFonts w:hint="eastAsia" w:ascii="仿宋" w:hAnsi="仿宋" w:eastAsia="仿宋" w:cs="仿宋"/>
          <w:b w:val="0"/>
          <w:bCs w:val="0"/>
          <w:i w:val="0"/>
          <w:iCs w:val="0"/>
          <w:caps w:val="0"/>
          <w:color w:val="auto"/>
          <w:spacing w:val="0"/>
          <w:sz w:val="24"/>
          <w:szCs w:val="24"/>
          <w:shd w:val="clear" w:fill="auto"/>
          <w:lang w:val="en-US" w:eastAsia="zh-CN"/>
        </w:rPr>
        <w:t>7、因一方违约导致诉讼的，违约方应承担守约方为维权所支出的合理费用（包括但不限于律师费、诉讼费、保全费等）。</w:t>
      </w:r>
    </w:p>
    <w:p w14:paraId="0FB25B50">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九</w:t>
      </w:r>
      <w:r>
        <w:rPr>
          <w:rFonts w:hint="eastAsia" w:ascii="仿宋" w:hAnsi="仿宋" w:eastAsia="仿宋" w:cs="仿宋"/>
          <w:b/>
          <w:bCs/>
          <w:color w:val="000000"/>
          <w:sz w:val="28"/>
          <w:szCs w:val="28"/>
          <w:lang w:val="zh-CN"/>
        </w:rPr>
        <w:t>、争议或纠纷处理</w:t>
      </w:r>
    </w:p>
    <w:p w14:paraId="7ED9647B">
      <w:pPr>
        <w:spacing w:line="360" w:lineRule="auto"/>
        <w:ind w:firstLine="480" w:firstLineChars="200"/>
        <w:jc w:val="left"/>
        <w:rPr>
          <w:rFonts w:hint="eastAsia" w:ascii="仿宋" w:hAnsi="仿宋" w:eastAsia="仿宋" w:cs="仿宋"/>
          <w:bCs/>
          <w:sz w:val="24"/>
          <w:szCs w:val="21"/>
        </w:rPr>
      </w:pPr>
      <w:r>
        <w:rPr>
          <w:rFonts w:hint="eastAsia" w:ascii="仿宋" w:hAnsi="仿宋" w:eastAsia="仿宋" w:cs="仿宋"/>
          <w:bCs/>
          <w:sz w:val="24"/>
          <w:szCs w:val="21"/>
        </w:rPr>
        <w:t>合同期间发生争议，由双方协商解决，如协商不成，可向甲方所在地有管辖权的人民法院提起诉讼，补充合同与附件均具备法律效应。</w:t>
      </w:r>
    </w:p>
    <w:p w14:paraId="46AC066C">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十</w:t>
      </w:r>
      <w:r>
        <w:rPr>
          <w:rFonts w:hint="eastAsia" w:ascii="仿宋" w:hAnsi="仿宋" w:eastAsia="仿宋" w:cs="仿宋"/>
          <w:b/>
          <w:bCs/>
          <w:color w:val="000000"/>
          <w:sz w:val="28"/>
          <w:szCs w:val="28"/>
          <w:lang w:val="zh-CN"/>
        </w:rPr>
        <w:t>、附则</w:t>
      </w:r>
    </w:p>
    <w:p w14:paraId="2959E23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、本合同一式</w:t>
      </w: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份，甲方执</w:t>
      </w: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份，乙方执</w:t>
      </w: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份。</w:t>
      </w:r>
    </w:p>
    <w:p w14:paraId="765E02C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2</w:t>
      </w:r>
      <w:r>
        <w:rPr>
          <w:rFonts w:hint="eastAsia" w:ascii="仿宋" w:hAnsi="仿宋" w:eastAsia="仿宋" w:cs="仿宋"/>
          <w:color w:val="000000"/>
          <w:sz w:val="24"/>
          <w:lang w:val="zh-CN"/>
        </w:rPr>
        <w:t>、本合同自甲、乙双方法定代表人或授权代表签字并加盖公章之日起生效，以最后签署日为合同生效日期，本合同履行完后自动终止。</w:t>
      </w:r>
    </w:p>
    <w:p w14:paraId="1CF9D29A">
      <w:pPr>
        <w:pStyle w:val="7"/>
        <w:autoSpaceDE w:val="0"/>
        <w:autoSpaceDN w:val="0"/>
        <w:adjustRightInd w:val="0"/>
        <w:spacing w:line="360" w:lineRule="auto"/>
        <w:ind w:firstLine="420" w:firstLineChars="200"/>
        <w:rPr>
          <w:rFonts w:hint="eastAsia" w:ascii="仿宋" w:hAnsi="仿宋" w:eastAsia="仿宋" w:cs="仿宋"/>
          <w:lang w:val="zh-CN"/>
        </w:rPr>
      </w:pPr>
    </w:p>
    <w:p w14:paraId="17E80161">
      <w:pPr>
        <w:pStyle w:val="8"/>
        <w:rPr>
          <w:rFonts w:hint="eastAsia" w:ascii="仿宋" w:hAnsi="仿宋" w:eastAsia="仿宋" w:cs="仿宋"/>
          <w:color w:val="000000"/>
          <w:sz w:val="24"/>
          <w:lang w:val="zh-CN"/>
        </w:rPr>
      </w:pPr>
    </w:p>
    <w:p w14:paraId="065B483C">
      <w:pPr>
        <w:pStyle w:val="9"/>
        <w:rPr>
          <w:rFonts w:hint="eastAsia" w:ascii="仿宋" w:hAnsi="仿宋" w:eastAsia="仿宋" w:cs="仿宋"/>
          <w:color w:val="000000"/>
          <w:sz w:val="24"/>
          <w:lang w:val="zh-CN"/>
        </w:rPr>
      </w:pPr>
    </w:p>
    <w:p w14:paraId="74C23043">
      <w:pPr>
        <w:pStyle w:val="9"/>
        <w:rPr>
          <w:rFonts w:hint="eastAsia" w:ascii="仿宋" w:hAnsi="仿宋" w:eastAsia="仿宋" w:cs="仿宋"/>
          <w:color w:val="000000"/>
          <w:sz w:val="24"/>
          <w:lang w:val="zh-CN"/>
        </w:rPr>
      </w:pPr>
    </w:p>
    <w:p w14:paraId="33CCB430">
      <w:pPr>
        <w:pStyle w:val="9"/>
        <w:rPr>
          <w:rFonts w:hint="eastAsia" w:ascii="仿宋" w:hAnsi="仿宋" w:eastAsia="仿宋" w:cs="仿宋"/>
          <w:color w:val="000000"/>
          <w:sz w:val="24"/>
          <w:lang w:val="zh-CN"/>
        </w:rPr>
      </w:pPr>
    </w:p>
    <w:p w14:paraId="12CEAC87">
      <w:pPr>
        <w:pStyle w:val="8"/>
        <w:rPr>
          <w:rFonts w:hint="eastAsia" w:ascii="仿宋" w:hAnsi="仿宋" w:eastAsia="仿宋" w:cs="仿宋"/>
          <w:color w:val="000000"/>
          <w:sz w:val="24"/>
          <w:lang w:val="zh-CN"/>
        </w:rPr>
      </w:pPr>
    </w:p>
    <w:tbl>
      <w:tblPr>
        <w:tblStyle w:val="21"/>
        <w:tblW w:w="0" w:type="auto"/>
        <w:jc w:val="center"/>
        <w:tblLayout w:type="autofit"/>
        <w:tblCellMar>
          <w:top w:w="0" w:type="dxa"/>
          <w:left w:w="108" w:type="dxa"/>
          <w:bottom w:w="0" w:type="dxa"/>
          <w:right w:w="108" w:type="dxa"/>
        </w:tblCellMar>
      </w:tblPr>
      <w:tblGrid>
        <w:gridCol w:w="4258"/>
        <w:gridCol w:w="4258"/>
      </w:tblGrid>
      <w:tr w14:paraId="5E7CA3A1">
        <w:tblPrEx>
          <w:tblCellMar>
            <w:top w:w="0" w:type="dxa"/>
            <w:left w:w="108" w:type="dxa"/>
            <w:bottom w:w="0" w:type="dxa"/>
            <w:right w:w="108" w:type="dxa"/>
          </w:tblCellMar>
        </w:tblPrEx>
        <w:trPr>
          <w:trHeight w:val="340" w:hRule="atLeast"/>
          <w:jc w:val="center"/>
        </w:trPr>
        <w:tc>
          <w:tcPr>
            <w:tcW w:w="4258" w:type="dxa"/>
            <w:noWrap/>
          </w:tcPr>
          <w:p w14:paraId="4503821F">
            <w:pPr>
              <w:spacing w:line="360" w:lineRule="auto"/>
              <w:rPr>
                <w:rFonts w:ascii="仿宋" w:hAnsi="仿宋" w:eastAsia="仿宋" w:cs="仿宋"/>
                <w:sz w:val="24"/>
                <w:szCs w:val="24"/>
              </w:rPr>
            </w:pPr>
            <w:r>
              <w:rPr>
                <w:rFonts w:hint="eastAsia" w:ascii="仿宋" w:hAnsi="仿宋" w:eastAsia="仿宋" w:cs="仿宋"/>
                <w:sz w:val="24"/>
                <w:szCs w:val="24"/>
              </w:rPr>
              <w:t>甲方：中山大学孙逸仙纪念医院</w:t>
            </w:r>
          </w:p>
          <w:p w14:paraId="576325A1">
            <w:pPr>
              <w:pStyle w:val="7"/>
              <w:rPr>
                <w:sz w:val="24"/>
                <w:szCs w:val="24"/>
              </w:rPr>
            </w:pPr>
          </w:p>
        </w:tc>
        <w:tc>
          <w:tcPr>
            <w:tcW w:w="4258" w:type="dxa"/>
            <w:noWrap/>
          </w:tcPr>
          <w:p w14:paraId="3684B7B0">
            <w:pPr>
              <w:spacing w:line="360" w:lineRule="auto"/>
              <w:rPr>
                <w:rFonts w:ascii="仿宋" w:hAnsi="仿宋" w:eastAsia="仿宋" w:cs="仿宋"/>
                <w:sz w:val="24"/>
                <w:szCs w:val="24"/>
              </w:rPr>
            </w:pPr>
            <w:r>
              <w:rPr>
                <w:rFonts w:hint="eastAsia" w:ascii="仿宋" w:hAnsi="仿宋" w:eastAsia="仿宋" w:cs="仿宋"/>
                <w:sz w:val="24"/>
                <w:szCs w:val="24"/>
              </w:rPr>
              <w:t>乙方：</w:t>
            </w:r>
          </w:p>
        </w:tc>
      </w:tr>
      <w:tr w14:paraId="494FFA12">
        <w:tblPrEx>
          <w:tblCellMar>
            <w:top w:w="0" w:type="dxa"/>
            <w:left w:w="108" w:type="dxa"/>
            <w:bottom w:w="0" w:type="dxa"/>
            <w:right w:w="108" w:type="dxa"/>
          </w:tblCellMar>
        </w:tblPrEx>
        <w:trPr>
          <w:trHeight w:val="340" w:hRule="atLeast"/>
          <w:jc w:val="center"/>
        </w:trPr>
        <w:tc>
          <w:tcPr>
            <w:tcW w:w="4258" w:type="dxa"/>
            <w:noWrap/>
          </w:tcPr>
          <w:p w14:paraId="0232AF59">
            <w:pPr>
              <w:pStyle w:val="7"/>
              <w:spacing w:line="360" w:lineRule="auto"/>
              <w:rPr>
                <w:rFonts w:hint="eastAsia" w:eastAsia="宋体"/>
                <w:sz w:val="24"/>
                <w:szCs w:val="24"/>
                <w:lang w:val="en-US" w:eastAsia="zh-CN"/>
              </w:rPr>
            </w:pPr>
            <w:r>
              <w:rPr>
                <w:rFonts w:hint="eastAsia" w:ascii="仿宋" w:hAnsi="仿宋" w:eastAsia="仿宋" w:cs="仿宋"/>
                <w:sz w:val="24"/>
                <w:szCs w:val="24"/>
                <w:lang w:val="en-US" w:eastAsia="zh-CN"/>
              </w:rPr>
              <w:t>地址：</w:t>
            </w:r>
            <w:r>
              <w:rPr>
                <w:rFonts w:hint="eastAsia" w:ascii="仿宋" w:hAnsi="仿宋" w:eastAsia="仿宋" w:cs="仿宋"/>
                <w:kern w:val="2"/>
                <w:sz w:val="24"/>
              </w:rPr>
              <w:t>广州市越秀区沿江西路107号</w:t>
            </w:r>
          </w:p>
        </w:tc>
        <w:tc>
          <w:tcPr>
            <w:tcW w:w="4258" w:type="dxa"/>
            <w:noWrap/>
          </w:tcPr>
          <w:p w14:paraId="50553426">
            <w:pPr>
              <w:pStyle w:val="7"/>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地址：</w:t>
            </w:r>
          </w:p>
        </w:tc>
      </w:tr>
      <w:tr w14:paraId="007364D7">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11ADC805">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055D9770">
            <w:pPr>
              <w:pStyle w:val="7"/>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4431A3D7">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r>
      <w:tr w14:paraId="7C488673">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1ACF1FBB">
            <w:pPr>
              <w:spacing w:line="360" w:lineRule="auto"/>
              <w:rPr>
                <w:rFonts w:ascii="仿宋" w:hAnsi="仿宋" w:eastAsia="仿宋" w:cs="仿宋"/>
                <w:sz w:val="24"/>
                <w:szCs w:val="24"/>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p w14:paraId="3A72D8A4">
            <w:pPr>
              <w:pStyle w:val="7"/>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77BF34F0">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tc>
      </w:tr>
      <w:tr w14:paraId="050911CD">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38F43A3C">
            <w:pPr>
              <w:spacing w:line="360" w:lineRule="auto"/>
              <w:rPr>
                <w:rFonts w:ascii="宋体" w:hAnsi="宋体" w:cs="SimSun-Identity-H"/>
                <w:kern w:val="0"/>
                <w:sz w:val="24"/>
                <w:szCs w:val="24"/>
              </w:rPr>
            </w:pPr>
            <w:r>
              <w:rPr>
                <w:rFonts w:hint="eastAsia" w:ascii="仿宋" w:hAnsi="仿宋" w:eastAsia="仿宋" w:cs="仿宋"/>
                <w:sz w:val="24"/>
                <w:szCs w:val="24"/>
              </w:rPr>
              <w:t>联系人</w:t>
            </w:r>
            <w:r>
              <w:rPr>
                <w:rFonts w:hint="eastAsia" w:ascii="宋体" w:hAnsi="宋体" w:cs="SimSun-Identity-H"/>
                <w:kern w:val="0"/>
                <w:sz w:val="24"/>
                <w:szCs w:val="24"/>
              </w:rPr>
              <w:t>：</w:t>
            </w:r>
          </w:p>
          <w:p w14:paraId="1383D440">
            <w:pPr>
              <w:pStyle w:val="7"/>
              <w:rPr>
                <w:rFonts w:hint="default"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1BEB1E6C">
            <w:pPr>
              <w:spacing w:line="360" w:lineRule="auto"/>
              <w:rPr>
                <w:rFonts w:hint="eastAsia" w:ascii="仿宋" w:hAnsi="仿宋" w:eastAsia="宋体" w:cs="仿宋"/>
                <w:kern w:val="2"/>
                <w:sz w:val="24"/>
                <w:szCs w:val="24"/>
                <w:lang w:val="en-US" w:eastAsia="zh-CN" w:bidi="ar-SA"/>
              </w:rPr>
            </w:pPr>
            <w:r>
              <w:rPr>
                <w:rFonts w:hint="eastAsia" w:ascii="仿宋" w:hAnsi="仿宋" w:eastAsia="仿宋" w:cs="仿宋"/>
                <w:sz w:val="24"/>
                <w:szCs w:val="24"/>
              </w:rPr>
              <w:t>联系人</w:t>
            </w:r>
            <w:r>
              <w:rPr>
                <w:rFonts w:hint="eastAsia" w:ascii="宋体" w:hAnsi="宋体" w:cs="SimSun-Identity-H"/>
                <w:kern w:val="0"/>
                <w:sz w:val="24"/>
                <w:szCs w:val="24"/>
              </w:rPr>
              <w:t>：</w:t>
            </w:r>
          </w:p>
        </w:tc>
      </w:tr>
      <w:tr w14:paraId="4A28A5CE">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62263CD0">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020-81332161</w:t>
            </w:r>
          </w:p>
        </w:tc>
        <w:tc>
          <w:tcPr>
            <w:tcW w:w="4258" w:type="dxa"/>
            <w:shd w:val="clear" w:color="auto" w:fill="auto"/>
            <w:noWrap/>
            <w:vAlign w:val="top"/>
          </w:tcPr>
          <w:p w14:paraId="6C20E022">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lang w:val="en-US" w:eastAsia="zh-CN"/>
              </w:rPr>
              <w:t xml:space="preserve"> </w:t>
            </w:r>
          </w:p>
        </w:tc>
      </w:tr>
      <w:tr w14:paraId="3143E937">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6F79B63D">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 xml:space="preserve">开户银行：广州市工商银行第二支行 </w:t>
            </w:r>
          </w:p>
        </w:tc>
        <w:tc>
          <w:tcPr>
            <w:tcW w:w="4258" w:type="dxa"/>
            <w:shd w:val="clear" w:color="auto" w:fill="auto"/>
            <w:noWrap/>
            <w:vAlign w:val="top"/>
          </w:tcPr>
          <w:p w14:paraId="3A79C971">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开户银行</w:t>
            </w:r>
            <w:r>
              <w:rPr>
                <w:rFonts w:hint="eastAsia" w:ascii="仿宋" w:hAnsi="仿宋" w:eastAsia="仿宋" w:cs="仿宋"/>
                <w:kern w:val="2"/>
                <w:sz w:val="24"/>
                <w:lang w:eastAsia="zh-CN"/>
              </w:rPr>
              <w:t>：</w:t>
            </w:r>
          </w:p>
        </w:tc>
      </w:tr>
      <w:tr w14:paraId="4EE45EBE">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31CBDC">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账号：</w:t>
            </w:r>
            <w:r>
              <w:rPr>
                <w:rFonts w:hint="eastAsia" w:ascii="仿宋" w:hAnsi="仿宋" w:eastAsia="仿宋" w:cs="仿宋"/>
                <w:kern w:val="2"/>
                <w:sz w:val="24"/>
              </w:rPr>
              <w:t>3602000509000704422</w:t>
            </w:r>
          </w:p>
        </w:tc>
        <w:tc>
          <w:tcPr>
            <w:tcW w:w="4258" w:type="dxa"/>
            <w:shd w:val="clear" w:color="auto" w:fill="auto"/>
            <w:noWrap/>
            <w:vAlign w:val="top"/>
          </w:tcPr>
          <w:p w14:paraId="3FFB7183">
            <w:pPr>
              <w:spacing w:line="360" w:lineRule="auto"/>
              <w:rPr>
                <w:rFonts w:hint="eastAsia" w:ascii="仿宋" w:hAnsi="仿宋" w:eastAsia="仿宋" w:cs="仿宋"/>
                <w:b/>
                <w:bCs/>
                <w:kern w:val="2"/>
                <w:sz w:val="24"/>
                <w:szCs w:val="24"/>
                <w:lang w:val="en-US" w:eastAsia="zh-CN" w:bidi="ar-SA"/>
              </w:rPr>
            </w:pPr>
            <w:r>
              <w:rPr>
                <w:rFonts w:hint="eastAsia" w:ascii="仿宋" w:hAnsi="仿宋" w:eastAsia="仿宋" w:cs="仿宋"/>
                <w:kern w:val="2"/>
                <w:sz w:val="24"/>
                <w:szCs w:val="24"/>
                <w:lang w:val="en-US" w:eastAsia="zh-CN" w:bidi="ar-SA"/>
              </w:rPr>
              <w:t>账号：</w:t>
            </w:r>
          </w:p>
        </w:tc>
      </w:tr>
      <w:tr w14:paraId="72DDC7C4">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A05027">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邮政编码：510120</w:t>
            </w:r>
          </w:p>
        </w:tc>
        <w:tc>
          <w:tcPr>
            <w:tcW w:w="4258" w:type="dxa"/>
            <w:shd w:val="clear" w:color="auto" w:fill="auto"/>
            <w:noWrap/>
            <w:vAlign w:val="top"/>
          </w:tcPr>
          <w:p w14:paraId="1CE59F2F">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w:t>
            </w:r>
          </w:p>
        </w:tc>
      </w:tr>
      <w:tr w14:paraId="585EDAC4">
        <w:tblPrEx>
          <w:tblCellMar>
            <w:top w:w="0" w:type="dxa"/>
            <w:left w:w="108" w:type="dxa"/>
            <w:bottom w:w="0" w:type="dxa"/>
            <w:right w:w="108" w:type="dxa"/>
          </w:tblCellMar>
        </w:tblPrEx>
        <w:trPr>
          <w:trHeight w:val="340" w:hRule="atLeast"/>
          <w:jc w:val="center"/>
        </w:trPr>
        <w:tc>
          <w:tcPr>
            <w:tcW w:w="4258" w:type="dxa"/>
            <w:noWrap/>
          </w:tcPr>
          <w:p w14:paraId="71B59C0A">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 81332</w:t>
            </w:r>
            <w:r>
              <w:rPr>
                <w:rFonts w:hint="eastAsia" w:ascii="仿宋" w:hAnsi="仿宋" w:eastAsia="仿宋" w:cs="仿宋"/>
                <w:kern w:val="2"/>
                <w:sz w:val="24"/>
                <w:lang w:val="en-US" w:eastAsia="zh-CN"/>
              </w:rPr>
              <w:t>161</w:t>
            </w:r>
            <w:r>
              <w:rPr>
                <w:rFonts w:hint="eastAsia" w:ascii="仿宋" w:hAnsi="仿宋" w:eastAsia="仿宋" w:cs="仿宋"/>
                <w:kern w:val="2"/>
                <w:sz w:val="24"/>
              </w:rPr>
              <w:t xml:space="preserve">@163.com  </w:t>
            </w:r>
          </w:p>
        </w:tc>
        <w:tc>
          <w:tcPr>
            <w:tcW w:w="4258" w:type="dxa"/>
            <w:noWrap/>
          </w:tcPr>
          <w:p w14:paraId="70A84A72">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p>
        </w:tc>
      </w:tr>
      <w:tr w14:paraId="50C730A5">
        <w:tblPrEx>
          <w:tblCellMar>
            <w:top w:w="0" w:type="dxa"/>
            <w:left w:w="108" w:type="dxa"/>
            <w:bottom w:w="0" w:type="dxa"/>
            <w:right w:w="108" w:type="dxa"/>
          </w:tblCellMar>
        </w:tblPrEx>
        <w:trPr>
          <w:trHeight w:val="340" w:hRule="atLeast"/>
          <w:jc w:val="center"/>
        </w:trPr>
        <w:tc>
          <w:tcPr>
            <w:tcW w:w="4258" w:type="dxa"/>
            <w:shd w:val="clear" w:color="auto" w:fill="auto"/>
            <w:noWrap/>
            <w:vAlign w:val="top"/>
          </w:tcPr>
          <w:p w14:paraId="0A5B9645">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c>
          <w:tcPr>
            <w:tcW w:w="4258" w:type="dxa"/>
            <w:shd w:val="clear" w:color="auto" w:fill="auto"/>
            <w:noWrap/>
            <w:vAlign w:val="top"/>
          </w:tcPr>
          <w:p w14:paraId="5AA4F469">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r>
    </w:tbl>
    <w:p w14:paraId="68E79320">
      <w:pPr>
        <w:pStyle w:val="12"/>
        <w:spacing w:line="360" w:lineRule="auto"/>
        <w:jc w:val="both"/>
        <w:rPr>
          <w:rFonts w:hint="eastAsia" w:ascii="仿宋" w:hAnsi="仿宋" w:eastAsia="仿宋" w:cs="仿宋"/>
          <w:i/>
          <w:iCs/>
          <w:sz w:val="22"/>
          <w:szCs w:val="36"/>
          <w:lang w:bidi="zh-CN"/>
        </w:rPr>
      </w:pPr>
    </w:p>
    <w:p w14:paraId="43369723">
      <w:pPr>
        <w:pStyle w:val="12"/>
        <w:spacing w:line="360" w:lineRule="auto"/>
        <w:jc w:val="both"/>
        <w:rPr>
          <w:rFonts w:hint="eastAsia" w:ascii="仿宋" w:hAnsi="仿宋" w:eastAsia="仿宋" w:cs="仿宋"/>
          <w:i/>
          <w:iCs/>
          <w:sz w:val="22"/>
          <w:szCs w:val="36"/>
          <w:lang w:bidi="zh-CN"/>
        </w:rPr>
      </w:pPr>
    </w:p>
    <w:p w14:paraId="573B1C03">
      <w:pPr>
        <w:pStyle w:val="12"/>
        <w:spacing w:line="360" w:lineRule="auto"/>
        <w:jc w:val="both"/>
        <w:rPr>
          <w:rFonts w:hint="eastAsia" w:ascii="仿宋" w:hAnsi="仿宋" w:eastAsia="仿宋" w:cs="仿宋"/>
          <w:i/>
          <w:iCs/>
          <w:sz w:val="22"/>
          <w:szCs w:val="36"/>
          <w:lang w:bidi="zh-CN"/>
        </w:rPr>
      </w:pPr>
      <w:r>
        <w:rPr>
          <w:rFonts w:hint="eastAsia" w:ascii="仿宋" w:hAnsi="仿宋" w:eastAsia="仿宋" w:cs="仿宋"/>
          <w:color w:val="000000"/>
          <w:sz w:val="24"/>
          <w:szCs w:val="24"/>
          <w:highlight w:val="none"/>
          <w:lang w:val="zh-CN"/>
        </w:rPr>
        <w:t>附</w:t>
      </w:r>
      <w:r>
        <w:rPr>
          <w:rFonts w:hint="eastAsia" w:ascii="仿宋" w:hAnsi="仿宋" w:eastAsia="仿宋" w:cs="仿宋"/>
          <w:color w:val="000000"/>
          <w:sz w:val="24"/>
          <w:szCs w:val="24"/>
          <w:highlight w:val="none"/>
          <w:lang w:val="en-US" w:eastAsia="zh-CN"/>
        </w:rPr>
        <w:t>表</w:t>
      </w:r>
      <w:r>
        <w:rPr>
          <w:rFonts w:hint="eastAsia" w:ascii="仿宋" w:hAnsi="仿宋" w:eastAsia="仿宋" w:cs="仿宋"/>
          <w:color w:val="000000"/>
          <w:sz w:val="24"/>
          <w:szCs w:val="24"/>
          <w:highlight w:val="none"/>
          <w:lang w:val="zh-CN"/>
        </w:rPr>
        <w:t>—</w:t>
      </w:r>
      <w:r>
        <w:rPr>
          <w:rFonts w:hint="eastAsia" w:ascii="仿宋" w:hAnsi="仿宋" w:eastAsia="仿宋" w:cs="仿宋"/>
          <w:color w:val="000000"/>
          <w:sz w:val="24"/>
          <w:szCs w:val="24"/>
          <w:lang w:val="en-US" w:eastAsia="zh-CN"/>
        </w:rPr>
        <w:t>2026年-2028年北院区、南院区建筑防雷设施检测</w:t>
      </w:r>
      <w:r>
        <w:rPr>
          <w:rFonts w:hint="eastAsia" w:ascii="仿宋" w:hAnsi="仿宋" w:eastAsia="仿宋" w:cs="仿宋"/>
          <w:color w:val="000000"/>
          <w:sz w:val="24"/>
        </w:rPr>
        <w:t>项目</w:t>
      </w:r>
      <w:r>
        <w:rPr>
          <w:rFonts w:hint="eastAsia" w:ascii="仿宋" w:hAnsi="仿宋" w:eastAsia="仿宋" w:cs="仿宋"/>
          <w:color w:val="000000"/>
          <w:sz w:val="24"/>
          <w:szCs w:val="24"/>
          <w:lang w:val="zh-CN"/>
        </w:rPr>
        <w:t>工程量清单</w:t>
      </w:r>
    </w:p>
    <w:p w14:paraId="181CDDCE">
      <w:pPr>
        <w:pStyle w:val="12"/>
        <w:spacing w:line="360" w:lineRule="auto"/>
        <w:jc w:val="both"/>
        <w:rPr>
          <w:rFonts w:hint="eastAsia" w:ascii="仿宋" w:hAnsi="仿宋" w:eastAsia="仿宋" w:cs="仿宋"/>
          <w:i/>
          <w:iCs/>
          <w:sz w:val="22"/>
          <w:szCs w:val="36"/>
          <w:lang w:val="en-US" w:bidi="zh-CN"/>
        </w:rPr>
      </w:pPr>
    </w:p>
    <w:p w14:paraId="4CF712B0">
      <w:pPr>
        <w:pStyle w:val="12"/>
        <w:spacing w:line="360" w:lineRule="auto"/>
        <w:jc w:val="both"/>
        <w:rPr>
          <w:rFonts w:hint="eastAsia" w:ascii="仿宋" w:hAnsi="仿宋" w:eastAsia="仿宋" w:cs="仿宋"/>
          <w:i/>
          <w:iCs/>
          <w:sz w:val="22"/>
          <w:szCs w:val="36"/>
          <w:lang w:val="en-US" w:bidi="zh-CN"/>
        </w:rPr>
      </w:pPr>
    </w:p>
    <w:p w14:paraId="3C23D62D">
      <w:pPr>
        <w:pStyle w:val="12"/>
        <w:spacing w:line="360" w:lineRule="auto"/>
        <w:jc w:val="both"/>
        <w:rPr>
          <w:rFonts w:hint="eastAsia" w:ascii="仿宋" w:hAnsi="仿宋" w:eastAsia="仿宋" w:cs="仿宋"/>
          <w:i/>
          <w:iCs/>
          <w:sz w:val="22"/>
          <w:szCs w:val="36"/>
          <w:lang w:val="en-US" w:bidi="zh-CN"/>
        </w:rPr>
      </w:pPr>
    </w:p>
    <w:p w14:paraId="5AAB56E1">
      <w:pPr>
        <w:pStyle w:val="12"/>
        <w:spacing w:line="360" w:lineRule="auto"/>
        <w:jc w:val="both"/>
        <w:rPr>
          <w:rFonts w:hint="eastAsia" w:ascii="仿宋" w:hAnsi="仿宋" w:eastAsia="仿宋" w:cs="仿宋"/>
          <w:i/>
          <w:iCs/>
          <w:sz w:val="22"/>
          <w:szCs w:val="36"/>
          <w:lang w:val="en-US" w:bidi="zh-CN"/>
        </w:rPr>
      </w:pPr>
    </w:p>
    <w:p w14:paraId="438C51B6">
      <w:pPr>
        <w:pStyle w:val="12"/>
        <w:spacing w:line="360" w:lineRule="auto"/>
        <w:jc w:val="both"/>
        <w:rPr>
          <w:rFonts w:hint="eastAsia" w:ascii="仿宋" w:hAnsi="仿宋" w:eastAsia="仿宋" w:cs="仿宋"/>
          <w:i/>
          <w:iCs/>
          <w:sz w:val="22"/>
          <w:szCs w:val="36"/>
          <w:lang w:val="en-US" w:bidi="zh-CN"/>
        </w:rPr>
      </w:pPr>
    </w:p>
    <w:p w14:paraId="05BBE15C">
      <w:pPr>
        <w:pStyle w:val="12"/>
        <w:spacing w:line="360" w:lineRule="auto"/>
        <w:jc w:val="both"/>
        <w:rPr>
          <w:rFonts w:hint="eastAsia" w:ascii="仿宋" w:hAnsi="仿宋" w:eastAsia="仿宋" w:cs="仿宋"/>
          <w:i/>
          <w:iCs/>
          <w:sz w:val="22"/>
          <w:szCs w:val="36"/>
          <w:lang w:val="en-US" w:bidi="zh-CN"/>
        </w:rPr>
      </w:pPr>
    </w:p>
    <w:p w14:paraId="79091F72">
      <w:pPr>
        <w:pStyle w:val="12"/>
        <w:spacing w:line="360" w:lineRule="auto"/>
        <w:jc w:val="both"/>
        <w:rPr>
          <w:rFonts w:hint="eastAsia" w:ascii="仿宋" w:hAnsi="仿宋" w:eastAsia="仿宋" w:cs="仿宋"/>
          <w:i/>
          <w:iCs/>
          <w:sz w:val="22"/>
          <w:szCs w:val="36"/>
          <w:lang w:val="en-US" w:bidi="zh-CN"/>
        </w:rPr>
      </w:pPr>
    </w:p>
    <w:p w14:paraId="60D62F3A">
      <w:pPr>
        <w:pStyle w:val="12"/>
        <w:spacing w:line="360" w:lineRule="auto"/>
        <w:jc w:val="both"/>
        <w:rPr>
          <w:rFonts w:hint="eastAsia" w:ascii="仿宋" w:hAnsi="仿宋" w:eastAsia="仿宋" w:cs="仿宋"/>
          <w:i/>
          <w:iCs/>
          <w:sz w:val="22"/>
          <w:szCs w:val="36"/>
          <w:lang w:val="en-US" w:bidi="zh-CN"/>
        </w:rPr>
      </w:pPr>
    </w:p>
    <w:p w14:paraId="743EDBB9">
      <w:pPr>
        <w:pStyle w:val="12"/>
        <w:spacing w:line="360" w:lineRule="auto"/>
        <w:jc w:val="both"/>
        <w:rPr>
          <w:rFonts w:hint="eastAsia" w:ascii="仿宋" w:hAnsi="仿宋" w:eastAsia="仿宋" w:cs="仿宋"/>
          <w:i/>
          <w:iCs/>
          <w:sz w:val="22"/>
          <w:szCs w:val="36"/>
          <w:lang w:val="en-US" w:bidi="zh-CN"/>
        </w:rPr>
      </w:pPr>
    </w:p>
    <w:p w14:paraId="28277D18">
      <w:pPr>
        <w:pStyle w:val="12"/>
        <w:spacing w:line="360" w:lineRule="auto"/>
        <w:jc w:val="both"/>
        <w:rPr>
          <w:rFonts w:hint="eastAsia" w:ascii="仿宋" w:hAnsi="仿宋" w:eastAsia="仿宋" w:cs="仿宋"/>
          <w:i/>
          <w:iCs/>
          <w:sz w:val="22"/>
          <w:szCs w:val="36"/>
          <w:lang w:val="en-US" w:bidi="zh-CN"/>
        </w:rPr>
      </w:pPr>
    </w:p>
    <w:p w14:paraId="5E89AA13">
      <w:pPr>
        <w:pStyle w:val="12"/>
        <w:spacing w:line="360" w:lineRule="auto"/>
        <w:jc w:val="both"/>
        <w:rPr>
          <w:rFonts w:hint="eastAsia" w:ascii="仿宋" w:hAnsi="仿宋" w:eastAsia="仿宋" w:cs="仿宋"/>
          <w:i/>
          <w:iCs/>
          <w:sz w:val="22"/>
          <w:szCs w:val="36"/>
          <w:lang w:val="en-US" w:bidi="zh-CN"/>
        </w:rPr>
      </w:pPr>
    </w:p>
    <w:p w14:paraId="23B35B17">
      <w:pPr>
        <w:pStyle w:val="12"/>
        <w:spacing w:line="360" w:lineRule="auto"/>
        <w:jc w:val="both"/>
        <w:rPr>
          <w:rFonts w:hint="eastAsia" w:ascii="仿宋" w:hAnsi="仿宋" w:eastAsia="仿宋" w:cs="仿宋"/>
          <w:i/>
          <w:iCs/>
          <w:sz w:val="22"/>
          <w:szCs w:val="36"/>
          <w:lang w:val="en-US" w:bidi="zh-CN"/>
        </w:rPr>
      </w:pPr>
    </w:p>
    <w:p w14:paraId="47388680">
      <w:pPr>
        <w:pStyle w:val="12"/>
        <w:spacing w:line="360" w:lineRule="auto"/>
        <w:jc w:val="both"/>
        <w:rPr>
          <w:rFonts w:hint="eastAsia" w:ascii="仿宋" w:hAnsi="仿宋" w:eastAsia="仿宋" w:cs="仿宋"/>
          <w:i/>
          <w:iCs/>
          <w:sz w:val="22"/>
          <w:szCs w:val="36"/>
          <w:lang w:val="en-US" w:bidi="zh-CN"/>
        </w:rPr>
      </w:pPr>
    </w:p>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3"/>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3"/>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3"/>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3"/>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413D41"/>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507CB"/>
    <w:rsid w:val="03B14CF2"/>
    <w:rsid w:val="03B85FA3"/>
    <w:rsid w:val="03F20AEB"/>
    <w:rsid w:val="041B2525"/>
    <w:rsid w:val="04493917"/>
    <w:rsid w:val="04702B56"/>
    <w:rsid w:val="047210F8"/>
    <w:rsid w:val="04922F98"/>
    <w:rsid w:val="04936FA6"/>
    <w:rsid w:val="04970029"/>
    <w:rsid w:val="049C2AB3"/>
    <w:rsid w:val="04DE21B6"/>
    <w:rsid w:val="04FC6AE0"/>
    <w:rsid w:val="05464D81"/>
    <w:rsid w:val="0561184A"/>
    <w:rsid w:val="05616943"/>
    <w:rsid w:val="05807D72"/>
    <w:rsid w:val="059B12C3"/>
    <w:rsid w:val="059B6C35"/>
    <w:rsid w:val="05E530D0"/>
    <w:rsid w:val="06097792"/>
    <w:rsid w:val="0617479A"/>
    <w:rsid w:val="063E5882"/>
    <w:rsid w:val="06446A75"/>
    <w:rsid w:val="065D35AE"/>
    <w:rsid w:val="068E5516"/>
    <w:rsid w:val="06BF3F2A"/>
    <w:rsid w:val="06C24A28"/>
    <w:rsid w:val="06F270BC"/>
    <w:rsid w:val="07470B0F"/>
    <w:rsid w:val="074F30F9"/>
    <w:rsid w:val="07783917"/>
    <w:rsid w:val="079808BF"/>
    <w:rsid w:val="079B18F7"/>
    <w:rsid w:val="07B84598"/>
    <w:rsid w:val="083B4F6F"/>
    <w:rsid w:val="0880401A"/>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8643A8"/>
    <w:rsid w:val="0DAE1CD4"/>
    <w:rsid w:val="0DB37F58"/>
    <w:rsid w:val="0DCD6884"/>
    <w:rsid w:val="0E0E4AD3"/>
    <w:rsid w:val="0E114DF1"/>
    <w:rsid w:val="0E216CB2"/>
    <w:rsid w:val="0E3D7C28"/>
    <w:rsid w:val="0E47674E"/>
    <w:rsid w:val="0E6C09F1"/>
    <w:rsid w:val="0E9D4F53"/>
    <w:rsid w:val="0EAE1C6E"/>
    <w:rsid w:val="0ECE2D17"/>
    <w:rsid w:val="0EDC6D10"/>
    <w:rsid w:val="0F06712A"/>
    <w:rsid w:val="0F276DBA"/>
    <w:rsid w:val="0F490B74"/>
    <w:rsid w:val="0F4A3109"/>
    <w:rsid w:val="0F7B5503"/>
    <w:rsid w:val="0FD37F53"/>
    <w:rsid w:val="0FEE7136"/>
    <w:rsid w:val="10007D45"/>
    <w:rsid w:val="1004205B"/>
    <w:rsid w:val="10250CCD"/>
    <w:rsid w:val="106F1535"/>
    <w:rsid w:val="109575E1"/>
    <w:rsid w:val="10B05DB1"/>
    <w:rsid w:val="10CB6B56"/>
    <w:rsid w:val="10F36D78"/>
    <w:rsid w:val="11163ADF"/>
    <w:rsid w:val="11175575"/>
    <w:rsid w:val="1128487D"/>
    <w:rsid w:val="115405C6"/>
    <w:rsid w:val="11590DA4"/>
    <w:rsid w:val="11597426"/>
    <w:rsid w:val="116A3294"/>
    <w:rsid w:val="117B6FDE"/>
    <w:rsid w:val="119B4F8B"/>
    <w:rsid w:val="12062B4E"/>
    <w:rsid w:val="124205ED"/>
    <w:rsid w:val="12671431"/>
    <w:rsid w:val="127C4DBC"/>
    <w:rsid w:val="1288550F"/>
    <w:rsid w:val="129867C5"/>
    <w:rsid w:val="12C10A21"/>
    <w:rsid w:val="12C36875"/>
    <w:rsid w:val="131566FB"/>
    <w:rsid w:val="133F1F60"/>
    <w:rsid w:val="134639A2"/>
    <w:rsid w:val="136235F4"/>
    <w:rsid w:val="13837C04"/>
    <w:rsid w:val="13857CA0"/>
    <w:rsid w:val="139B227B"/>
    <w:rsid w:val="13C17C01"/>
    <w:rsid w:val="13D84582"/>
    <w:rsid w:val="1413577E"/>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287735"/>
    <w:rsid w:val="162A0342"/>
    <w:rsid w:val="16320961"/>
    <w:rsid w:val="16916448"/>
    <w:rsid w:val="16A6065A"/>
    <w:rsid w:val="16D76A65"/>
    <w:rsid w:val="17306E6C"/>
    <w:rsid w:val="17594C02"/>
    <w:rsid w:val="17654071"/>
    <w:rsid w:val="17712A16"/>
    <w:rsid w:val="17832749"/>
    <w:rsid w:val="17AB10BD"/>
    <w:rsid w:val="17B172B6"/>
    <w:rsid w:val="17B54F74"/>
    <w:rsid w:val="17B63710"/>
    <w:rsid w:val="17C50FB3"/>
    <w:rsid w:val="17ED1616"/>
    <w:rsid w:val="17F05D1B"/>
    <w:rsid w:val="18193641"/>
    <w:rsid w:val="182B3D01"/>
    <w:rsid w:val="18BA4D45"/>
    <w:rsid w:val="18E408BA"/>
    <w:rsid w:val="19011D1D"/>
    <w:rsid w:val="191A17B3"/>
    <w:rsid w:val="19DE36A1"/>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6F5C49"/>
    <w:rsid w:val="1D8B05A9"/>
    <w:rsid w:val="1DAE0558"/>
    <w:rsid w:val="1DC55869"/>
    <w:rsid w:val="1DF21940"/>
    <w:rsid w:val="1E6257AE"/>
    <w:rsid w:val="1E6C3E2E"/>
    <w:rsid w:val="1E6E5F01"/>
    <w:rsid w:val="1E815B99"/>
    <w:rsid w:val="1ED43161"/>
    <w:rsid w:val="1F112126"/>
    <w:rsid w:val="1F3C059C"/>
    <w:rsid w:val="1F3D77B5"/>
    <w:rsid w:val="1F5570C1"/>
    <w:rsid w:val="1F7E4DCC"/>
    <w:rsid w:val="1FBC274D"/>
    <w:rsid w:val="1FD051E8"/>
    <w:rsid w:val="20087C8F"/>
    <w:rsid w:val="206E3B70"/>
    <w:rsid w:val="208C4C0C"/>
    <w:rsid w:val="209150AE"/>
    <w:rsid w:val="20F6197C"/>
    <w:rsid w:val="20FB77F4"/>
    <w:rsid w:val="21505B06"/>
    <w:rsid w:val="21614CBF"/>
    <w:rsid w:val="2187519D"/>
    <w:rsid w:val="21901F20"/>
    <w:rsid w:val="2191195B"/>
    <w:rsid w:val="21AE4421"/>
    <w:rsid w:val="21E70C05"/>
    <w:rsid w:val="21EA09A9"/>
    <w:rsid w:val="21F71429"/>
    <w:rsid w:val="22140B6D"/>
    <w:rsid w:val="221438A4"/>
    <w:rsid w:val="222525E1"/>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9A328C"/>
    <w:rsid w:val="24BB5A33"/>
    <w:rsid w:val="24D52A7D"/>
    <w:rsid w:val="24FE1558"/>
    <w:rsid w:val="25010A26"/>
    <w:rsid w:val="25087398"/>
    <w:rsid w:val="251D41DD"/>
    <w:rsid w:val="251E1CAD"/>
    <w:rsid w:val="255147C0"/>
    <w:rsid w:val="25D575A4"/>
    <w:rsid w:val="25DA0320"/>
    <w:rsid w:val="25ED1E01"/>
    <w:rsid w:val="26530B7F"/>
    <w:rsid w:val="266C262D"/>
    <w:rsid w:val="2685203A"/>
    <w:rsid w:val="268E38A0"/>
    <w:rsid w:val="26E3376C"/>
    <w:rsid w:val="2716334E"/>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C1720F"/>
    <w:rsid w:val="2C114842"/>
    <w:rsid w:val="2C163734"/>
    <w:rsid w:val="2C374E11"/>
    <w:rsid w:val="2C7E421C"/>
    <w:rsid w:val="2CB90C8F"/>
    <w:rsid w:val="2CC35BA7"/>
    <w:rsid w:val="2CE00904"/>
    <w:rsid w:val="2CE101E6"/>
    <w:rsid w:val="2D3037AE"/>
    <w:rsid w:val="2D435803"/>
    <w:rsid w:val="2D4A3018"/>
    <w:rsid w:val="2D510EC7"/>
    <w:rsid w:val="2D83274D"/>
    <w:rsid w:val="2DA14432"/>
    <w:rsid w:val="2E0A5087"/>
    <w:rsid w:val="2E492358"/>
    <w:rsid w:val="2E7110F5"/>
    <w:rsid w:val="2E870919"/>
    <w:rsid w:val="2ED718A0"/>
    <w:rsid w:val="2ED743AA"/>
    <w:rsid w:val="2EE003B6"/>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A361A8"/>
    <w:rsid w:val="32BA3997"/>
    <w:rsid w:val="32F026BC"/>
    <w:rsid w:val="330702CB"/>
    <w:rsid w:val="330A787A"/>
    <w:rsid w:val="3329706C"/>
    <w:rsid w:val="33792F26"/>
    <w:rsid w:val="338C391E"/>
    <w:rsid w:val="338D077F"/>
    <w:rsid w:val="338D472C"/>
    <w:rsid w:val="338E1A3C"/>
    <w:rsid w:val="33D834CC"/>
    <w:rsid w:val="33DC1707"/>
    <w:rsid w:val="33E97A6D"/>
    <w:rsid w:val="341A7ED6"/>
    <w:rsid w:val="341E1D1F"/>
    <w:rsid w:val="34303DD0"/>
    <w:rsid w:val="343461CA"/>
    <w:rsid w:val="344670DD"/>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CD3410"/>
    <w:rsid w:val="38E43605"/>
    <w:rsid w:val="38F01AA4"/>
    <w:rsid w:val="39040108"/>
    <w:rsid w:val="390F3856"/>
    <w:rsid w:val="392A081F"/>
    <w:rsid w:val="397275DF"/>
    <w:rsid w:val="39822E1E"/>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94542C"/>
    <w:rsid w:val="3CC46897"/>
    <w:rsid w:val="3D0658D8"/>
    <w:rsid w:val="3D123AC2"/>
    <w:rsid w:val="3D3B3666"/>
    <w:rsid w:val="3D9C2FA3"/>
    <w:rsid w:val="3E083824"/>
    <w:rsid w:val="3E1C72D0"/>
    <w:rsid w:val="3E3F2FCC"/>
    <w:rsid w:val="3E462845"/>
    <w:rsid w:val="3E75253C"/>
    <w:rsid w:val="3E8804C1"/>
    <w:rsid w:val="3E8C6495"/>
    <w:rsid w:val="3E9637B5"/>
    <w:rsid w:val="3EFD0EAF"/>
    <w:rsid w:val="3F7C4554"/>
    <w:rsid w:val="3F80388E"/>
    <w:rsid w:val="3FA370D9"/>
    <w:rsid w:val="3FB13F2F"/>
    <w:rsid w:val="3FE71217"/>
    <w:rsid w:val="3FF22376"/>
    <w:rsid w:val="400350EF"/>
    <w:rsid w:val="40061FE5"/>
    <w:rsid w:val="4012695A"/>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D26859"/>
    <w:rsid w:val="42EA174A"/>
    <w:rsid w:val="42F10102"/>
    <w:rsid w:val="43517CBA"/>
    <w:rsid w:val="436C2B91"/>
    <w:rsid w:val="439B47F3"/>
    <w:rsid w:val="43AD1BA4"/>
    <w:rsid w:val="4412227B"/>
    <w:rsid w:val="44170B63"/>
    <w:rsid w:val="445C0786"/>
    <w:rsid w:val="447C6D47"/>
    <w:rsid w:val="44D62DC2"/>
    <w:rsid w:val="44F22952"/>
    <w:rsid w:val="45091C30"/>
    <w:rsid w:val="455424E1"/>
    <w:rsid w:val="457F2C83"/>
    <w:rsid w:val="45C67B21"/>
    <w:rsid w:val="46004DE1"/>
    <w:rsid w:val="462907DC"/>
    <w:rsid w:val="463659F7"/>
    <w:rsid w:val="466F0AD9"/>
    <w:rsid w:val="46815F57"/>
    <w:rsid w:val="46845629"/>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9747D0"/>
    <w:rsid w:val="4A136301"/>
    <w:rsid w:val="4A2C22C6"/>
    <w:rsid w:val="4A724E9E"/>
    <w:rsid w:val="4A757FAF"/>
    <w:rsid w:val="4A8D1239"/>
    <w:rsid w:val="4AA368A3"/>
    <w:rsid w:val="4AA46CC4"/>
    <w:rsid w:val="4BB83B29"/>
    <w:rsid w:val="4BD54E32"/>
    <w:rsid w:val="4C2757BD"/>
    <w:rsid w:val="4C292770"/>
    <w:rsid w:val="4C43185C"/>
    <w:rsid w:val="4C693860"/>
    <w:rsid w:val="4C8B7324"/>
    <w:rsid w:val="4CAC5CC3"/>
    <w:rsid w:val="4CB608EF"/>
    <w:rsid w:val="4CB811A5"/>
    <w:rsid w:val="4D0A226B"/>
    <w:rsid w:val="4D2A1C24"/>
    <w:rsid w:val="4D3B0DF4"/>
    <w:rsid w:val="4D502AF2"/>
    <w:rsid w:val="4D602AE2"/>
    <w:rsid w:val="4DA05D3E"/>
    <w:rsid w:val="4DD54BE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502344EE"/>
    <w:rsid w:val="504F345C"/>
    <w:rsid w:val="50591CBD"/>
    <w:rsid w:val="50800F93"/>
    <w:rsid w:val="508C7AEB"/>
    <w:rsid w:val="50CA33A4"/>
    <w:rsid w:val="50D43E40"/>
    <w:rsid w:val="510C493E"/>
    <w:rsid w:val="510C673D"/>
    <w:rsid w:val="51204589"/>
    <w:rsid w:val="513204B4"/>
    <w:rsid w:val="51374703"/>
    <w:rsid w:val="51556929"/>
    <w:rsid w:val="5162343C"/>
    <w:rsid w:val="51BC393B"/>
    <w:rsid w:val="51CF7D67"/>
    <w:rsid w:val="51F7271A"/>
    <w:rsid w:val="521D6D1B"/>
    <w:rsid w:val="52546CFC"/>
    <w:rsid w:val="525F5585"/>
    <w:rsid w:val="52636A33"/>
    <w:rsid w:val="52C31D1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D6A8B"/>
    <w:rsid w:val="54993992"/>
    <w:rsid w:val="54FC6E52"/>
    <w:rsid w:val="552E13B2"/>
    <w:rsid w:val="554C74C9"/>
    <w:rsid w:val="55882507"/>
    <w:rsid w:val="55943798"/>
    <w:rsid w:val="55A44CE8"/>
    <w:rsid w:val="55BC0B98"/>
    <w:rsid w:val="55E53FF3"/>
    <w:rsid w:val="55FB7CF2"/>
    <w:rsid w:val="566367A5"/>
    <w:rsid w:val="56874E26"/>
    <w:rsid w:val="569752EE"/>
    <w:rsid w:val="57233025"/>
    <w:rsid w:val="57251F40"/>
    <w:rsid w:val="57265B36"/>
    <w:rsid w:val="573021C6"/>
    <w:rsid w:val="574727AC"/>
    <w:rsid w:val="57492C25"/>
    <w:rsid w:val="57566F57"/>
    <w:rsid w:val="577949F3"/>
    <w:rsid w:val="57E24C8E"/>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738CB"/>
    <w:rsid w:val="5A8B6F17"/>
    <w:rsid w:val="5A904D92"/>
    <w:rsid w:val="5AC42461"/>
    <w:rsid w:val="5AC95C92"/>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F3BED"/>
    <w:rsid w:val="5D0D0354"/>
    <w:rsid w:val="5D0E5BDE"/>
    <w:rsid w:val="5D4A1228"/>
    <w:rsid w:val="5D4B41A7"/>
    <w:rsid w:val="5D5932FD"/>
    <w:rsid w:val="5E2751A9"/>
    <w:rsid w:val="5E4D0988"/>
    <w:rsid w:val="5E86168A"/>
    <w:rsid w:val="5EBA426F"/>
    <w:rsid w:val="5EBA601D"/>
    <w:rsid w:val="5EC836C0"/>
    <w:rsid w:val="5F0402CC"/>
    <w:rsid w:val="5F0B6879"/>
    <w:rsid w:val="5F0C439F"/>
    <w:rsid w:val="5F814D8D"/>
    <w:rsid w:val="5FA82133"/>
    <w:rsid w:val="5FA82319"/>
    <w:rsid w:val="5FD54160"/>
    <w:rsid w:val="60037CFD"/>
    <w:rsid w:val="60854409"/>
    <w:rsid w:val="60DF7F71"/>
    <w:rsid w:val="60F90953"/>
    <w:rsid w:val="61021EFD"/>
    <w:rsid w:val="61404053"/>
    <w:rsid w:val="614F48DB"/>
    <w:rsid w:val="617701F5"/>
    <w:rsid w:val="619F6EAB"/>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845033"/>
    <w:rsid w:val="64897A59"/>
    <w:rsid w:val="64A11A3C"/>
    <w:rsid w:val="64CC26CC"/>
    <w:rsid w:val="65085608"/>
    <w:rsid w:val="650A5824"/>
    <w:rsid w:val="65420B1A"/>
    <w:rsid w:val="65A01822"/>
    <w:rsid w:val="65A34F63"/>
    <w:rsid w:val="65E05BD0"/>
    <w:rsid w:val="66270AA3"/>
    <w:rsid w:val="662976FB"/>
    <w:rsid w:val="66482351"/>
    <w:rsid w:val="665C20B0"/>
    <w:rsid w:val="6662369D"/>
    <w:rsid w:val="66DC5058"/>
    <w:rsid w:val="66E92868"/>
    <w:rsid w:val="67065B78"/>
    <w:rsid w:val="670C1B0F"/>
    <w:rsid w:val="675B0B16"/>
    <w:rsid w:val="67BD0A07"/>
    <w:rsid w:val="67CC0761"/>
    <w:rsid w:val="67E97C88"/>
    <w:rsid w:val="6807524B"/>
    <w:rsid w:val="68573C08"/>
    <w:rsid w:val="68680898"/>
    <w:rsid w:val="68694610"/>
    <w:rsid w:val="68B86D73"/>
    <w:rsid w:val="68C46FB3"/>
    <w:rsid w:val="68CF6B69"/>
    <w:rsid w:val="68E14D7D"/>
    <w:rsid w:val="69020CEC"/>
    <w:rsid w:val="690D7691"/>
    <w:rsid w:val="69201173"/>
    <w:rsid w:val="692864A6"/>
    <w:rsid w:val="692A1985"/>
    <w:rsid w:val="692D19E3"/>
    <w:rsid w:val="694B4786"/>
    <w:rsid w:val="69625712"/>
    <w:rsid w:val="696B06B6"/>
    <w:rsid w:val="696B2F3E"/>
    <w:rsid w:val="69990F25"/>
    <w:rsid w:val="69AD5E63"/>
    <w:rsid w:val="69B664CA"/>
    <w:rsid w:val="69EF22E8"/>
    <w:rsid w:val="6A0F56A4"/>
    <w:rsid w:val="6A3C022E"/>
    <w:rsid w:val="6A53112C"/>
    <w:rsid w:val="6A7C687C"/>
    <w:rsid w:val="6B1C3BBC"/>
    <w:rsid w:val="6B1E2019"/>
    <w:rsid w:val="6B2A0087"/>
    <w:rsid w:val="6B5920C1"/>
    <w:rsid w:val="6B790EAD"/>
    <w:rsid w:val="6BAB0046"/>
    <w:rsid w:val="6BB67B6C"/>
    <w:rsid w:val="6BCD02EE"/>
    <w:rsid w:val="6BF65984"/>
    <w:rsid w:val="6C1A634D"/>
    <w:rsid w:val="6C5437BD"/>
    <w:rsid w:val="6CE626D3"/>
    <w:rsid w:val="6D1758B3"/>
    <w:rsid w:val="6D4F4B5D"/>
    <w:rsid w:val="6D785A21"/>
    <w:rsid w:val="6D981C1F"/>
    <w:rsid w:val="6DFA18E3"/>
    <w:rsid w:val="6E005AB1"/>
    <w:rsid w:val="6E0472B5"/>
    <w:rsid w:val="6E0E1EE1"/>
    <w:rsid w:val="6E3D33F0"/>
    <w:rsid w:val="6E677844"/>
    <w:rsid w:val="6E7E54CF"/>
    <w:rsid w:val="6EFD5AB2"/>
    <w:rsid w:val="6F0B01CF"/>
    <w:rsid w:val="6F0B4673"/>
    <w:rsid w:val="6F27305D"/>
    <w:rsid w:val="6F7D5F0D"/>
    <w:rsid w:val="6F986D13"/>
    <w:rsid w:val="6FB33EA2"/>
    <w:rsid w:val="6FCA251E"/>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35C36"/>
    <w:rsid w:val="73886EC9"/>
    <w:rsid w:val="73A11102"/>
    <w:rsid w:val="73A840F5"/>
    <w:rsid w:val="73E01C2A"/>
    <w:rsid w:val="73FB4CB6"/>
    <w:rsid w:val="741555D7"/>
    <w:rsid w:val="7420122A"/>
    <w:rsid w:val="744D3038"/>
    <w:rsid w:val="74651A02"/>
    <w:rsid w:val="74A70A1A"/>
    <w:rsid w:val="74BA6E18"/>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950BD3"/>
    <w:rsid w:val="78B52EF6"/>
    <w:rsid w:val="78EB356F"/>
    <w:rsid w:val="78EC1071"/>
    <w:rsid w:val="796055BB"/>
    <w:rsid w:val="79BF78EF"/>
    <w:rsid w:val="79C318FE"/>
    <w:rsid w:val="79DA66F5"/>
    <w:rsid w:val="79E77ABC"/>
    <w:rsid w:val="79FC53E1"/>
    <w:rsid w:val="7A120583"/>
    <w:rsid w:val="7A541F06"/>
    <w:rsid w:val="7A884099"/>
    <w:rsid w:val="7AB94F83"/>
    <w:rsid w:val="7AE4541C"/>
    <w:rsid w:val="7B0459B3"/>
    <w:rsid w:val="7B103C6E"/>
    <w:rsid w:val="7B1E74DC"/>
    <w:rsid w:val="7B4A7A78"/>
    <w:rsid w:val="7B4C229B"/>
    <w:rsid w:val="7B6B15E4"/>
    <w:rsid w:val="7B7A6E08"/>
    <w:rsid w:val="7B8F74E8"/>
    <w:rsid w:val="7BAA5A8F"/>
    <w:rsid w:val="7BBD356E"/>
    <w:rsid w:val="7BC07527"/>
    <w:rsid w:val="7C43369E"/>
    <w:rsid w:val="7C4E22B2"/>
    <w:rsid w:val="7CB71554"/>
    <w:rsid w:val="7CE427BB"/>
    <w:rsid w:val="7CED6CB8"/>
    <w:rsid w:val="7CF21BF9"/>
    <w:rsid w:val="7CFE0C47"/>
    <w:rsid w:val="7D0A7D18"/>
    <w:rsid w:val="7D0B74BD"/>
    <w:rsid w:val="7D2D2E78"/>
    <w:rsid w:val="7D3905FD"/>
    <w:rsid w:val="7D5938D3"/>
    <w:rsid w:val="7D5F2F6D"/>
    <w:rsid w:val="7D5F50CC"/>
    <w:rsid w:val="7D9A2F09"/>
    <w:rsid w:val="7DAF0AC7"/>
    <w:rsid w:val="7DBB54B6"/>
    <w:rsid w:val="7DDF16F3"/>
    <w:rsid w:val="7DF13E3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5">
    <w:name w:val="Normal Indent"/>
    <w:basedOn w:val="1"/>
    <w:autoRedefine/>
    <w:qFormat/>
    <w:uiPriority w:val="0"/>
    <w:pPr>
      <w:ind w:firstLine="420"/>
    </w:pPr>
  </w:style>
  <w:style w:type="paragraph" w:styleId="6">
    <w:name w:val="annotation text"/>
    <w:basedOn w:val="1"/>
    <w:autoRedefine/>
    <w:semiHidden/>
    <w:unhideWhenUsed/>
    <w:qFormat/>
    <w:uiPriority w:val="99"/>
    <w:pPr>
      <w:jc w:val="left"/>
    </w:pPr>
  </w:style>
  <w:style w:type="paragraph" w:styleId="7">
    <w:name w:val="Body Text"/>
    <w:basedOn w:val="1"/>
    <w:next w:val="8"/>
    <w:link w:val="37"/>
    <w:autoRedefine/>
    <w:semiHidden/>
    <w:unhideWhenUsed/>
    <w:qFormat/>
    <w:uiPriority w:val="99"/>
    <w:pPr>
      <w:spacing w:after="120"/>
    </w:pPr>
  </w:style>
  <w:style w:type="paragraph" w:styleId="8">
    <w:name w:val="Body Text Indent"/>
    <w:basedOn w:val="1"/>
    <w:next w:val="9"/>
    <w:autoRedefine/>
    <w:qFormat/>
    <w:uiPriority w:val="0"/>
    <w:pPr>
      <w:spacing w:after="120"/>
      <w:ind w:left="420" w:leftChars="200"/>
    </w:pPr>
    <w:rPr>
      <w:rFonts w:asciiTheme="minorHAnsi" w:hAnsiTheme="minorHAnsi" w:cstheme="minorBidi"/>
    </w:rPr>
  </w:style>
  <w:style w:type="paragraph" w:styleId="9">
    <w:name w:val="envelope return"/>
    <w:basedOn w:val="1"/>
    <w:qFormat/>
    <w:uiPriority w:val="0"/>
    <w:pPr>
      <w:snapToGrid w:val="0"/>
    </w:pPr>
    <w:rPr>
      <w:rFonts w:ascii="Arial" w:hAnsi="Arial" w:cs="Arial"/>
      <w:szCs w:val="20"/>
    </w:rPr>
  </w:style>
  <w:style w:type="paragraph" w:styleId="10">
    <w:name w:val="Plain Text"/>
    <w:basedOn w:val="1"/>
    <w:link w:val="36"/>
    <w:autoRedefine/>
    <w:qFormat/>
    <w:uiPriority w:val="99"/>
    <w:rPr>
      <w:rFonts w:ascii="宋体" w:hAnsi="Courier New"/>
      <w:szCs w:val="24"/>
    </w:rPr>
  </w:style>
  <w:style w:type="paragraph" w:styleId="11">
    <w:name w:val="Balloon Text"/>
    <w:basedOn w:val="1"/>
    <w:link w:val="32"/>
    <w:autoRedefine/>
    <w:unhideWhenUsed/>
    <w:qFormat/>
    <w:uiPriority w:val="99"/>
    <w:rPr>
      <w:sz w:val="18"/>
      <w:szCs w:val="18"/>
    </w:rPr>
  </w:style>
  <w:style w:type="paragraph" w:styleId="12">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qFormat/>
    <w:uiPriority w:val="99"/>
  </w:style>
  <w:style w:type="paragraph" w:styleId="15">
    <w:name w:val="toc 2"/>
    <w:basedOn w:val="1"/>
    <w:next w:val="1"/>
    <w:autoRedefine/>
    <w:qFormat/>
    <w:uiPriority w:val="39"/>
    <w:pPr>
      <w:tabs>
        <w:tab w:val="right" w:leader="dot" w:pos="8296"/>
      </w:tabs>
      <w:ind w:left="420" w:leftChars="200"/>
    </w:pPr>
  </w:style>
  <w:style w:type="paragraph" w:styleId="16">
    <w:name w:val="Body Text 2"/>
    <w:basedOn w:val="1"/>
    <w:link w:val="34"/>
    <w:autoRedefine/>
    <w:qFormat/>
    <w:uiPriority w:val="0"/>
    <w:rPr>
      <w:rFonts w:ascii="宋体" w:hAnsi="宋体" w:eastAsiaTheme="minorEastAsia" w:cstheme="minorBidi"/>
      <w:szCs w:val="24"/>
      <w:u w:val="single"/>
    </w:rPr>
  </w:style>
  <w:style w:type="paragraph" w:styleId="17">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8">
    <w:name w:val="Title"/>
    <w:basedOn w:val="1"/>
    <w:next w:val="8"/>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7"/>
    <w:link w:val="38"/>
    <w:autoRedefine/>
    <w:semiHidden/>
    <w:unhideWhenUsed/>
    <w:qFormat/>
    <w:uiPriority w:val="99"/>
    <w:pPr>
      <w:ind w:firstLine="420" w:firstLineChars="100"/>
    </w:pPr>
  </w:style>
  <w:style w:type="paragraph" w:styleId="20">
    <w:name w:val="Body Text First Indent 2"/>
    <w:basedOn w:val="8"/>
    <w:autoRedefine/>
    <w:qFormat/>
    <w:uiPriority w:val="0"/>
    <w:pPr>
      <w:ind w:firstLine="420"/>
    </w:pPr>
  </w:style>
  <w:style w:type="table" w:styleId="22">
    <w:name w:val="Table Grid"/>
    <w:basedOn w:val="21"/>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3"/>
    <w:autoRedefine/>
    <w:qFormat/>
    <w:uiPriority w:val="99"/>
  </w:style>
  <w:style w:type="character" w:styleId="26">
    <w:name w:val="Emphasis"/>
    <w:basedOn w:val="23"/>
    <w:autoRedefine/>
    <w:qFormat/>
    <w:uiPriority w:val="0"/>
    <w:rPr>
      <w:i/>
    </w:rPr>
  </w:style>
  <w:style w:type="character" w:styleId="27">
    <w:name w:val="Hyperlink"/>
    <w:basedOn w:val="23"/>
    <w:autoRedefine/>
    <w:semiHidden/>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character" w:customStyle="1" w:styleId="29">
    <w:name w:val="页眉 Char"/>
    <w:basedOn w:val="23"/>
    <w:link w:val="13"/>
    <w:autoRedefine/>
    <w:qFormat/>
    <w:uiPriority w:val="0"/>
    <w:rPr>
      <w:sz w:val="18"/>
      <w:szCs w:val="18"/>
    </w:rPr>
  </w:style>
  <w:style w:type="character" w:customStyle="1" w:styleId="30">
    <w:name w:val="页脚 Char"/>
    <w:basedOn w:val="23"/>
    <w:link w:val="12"/>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3"/>
    <w:link w:val="11"/>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3"/>
    <w:link w:val="16"/>
    <w:autoRedefine/>
    <w:qFormat/>
    <w:uiPriority w:val="0"/>
    <w:rPr>
      <w:rFonts w:ascii="宋体" w:hAnsi="宋体"/>
      <w:kern w:val="2"/>
      <w:sz w:val="21"/>
      <w:szCs w:val="24"/>
      <w:u w:val="single"/>
    </w:rPr>
  </w:style>
  <w:style w:type="character" w:customStyle="1" w:styleId="35">
    <w:name w:val="纯文本 Char"/>
    <w:basedOn w:val="23"/>
    <w:link w:val="10"/>
    <w:autoRedefine/>
    <w:semiHidden/>
    <w:qFormat/>
    <w:uiPriority w:val="99"/>
    <w:rPr>
      <w:rFonts w:ascii="宋体" w:hAnsi="Courier New" w:eastAsia="宋体" w:cs="Courier New"/>
      <w:kern w:val="2"/>
      <w:sz w:val="21"/>
      <w:szCs w:val="21"/>
    </w:rPr>
  </w:style>
  <w:style w:type="character" w:customStyle="1" w:styleId="36">
    <w:name w:val="纯文本 Char1"/>
    <w:link w:val="10"/>
    <w:autoRedefine/>
    <w:qFormat/>
    <w:uiPriority w:val="99"/>
    <w:rPr>
      <w:rFonts w:ascii="宋体" w:hAnsi="Courier New" w:eastAsia="宋体" w:cs="Times New Roman"/>
      <w:kern w:val="2"/>
      <w:sz w:val="21"/>
      <w:szCs w:val="24"/>
    </w:rPr>
  </w:style>
  <w:style w:type="character" w:customStyle="1" w:styleId="37">
    <w:name w:val="正文文本 Char"/>
    <w:basedOn w:val="23"/>
    <w:link w:val="7"/>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9"/>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3"/>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8105</Words>
  <Characters>8512</Characters>
  <Lines>24</Lines>
  <Paragraphs>7</Paragraphs>
  <TotalTime>49</TotalTime>
  <ScaleCrop>false</ScaleCrop>
  <LinksUpToDate>false</LinksUpToDate>
  <CharactersWithSpaces>10356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翁涵晖</cp:lastModifiedBy>
  <cp:lastPrinted>2023-11-30T06:45:00Z</cp:lastPrinted>
  <dcterms:modified xsi:type="dcterms:W3CDTF">2026-07-27T03:14:32Z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B71FED28EF3340EAA574F408176441E4_13</vt:lpwstr>
  </property>
  <property fmtid="{D5CDD505-2E9C-101B-9397-08002B2CF9AE}" pid="4" name="KSOTemplateDocerSaveRecord">
    <vt:lpwstr>eyJoZGlkIjoiZTJlYzgzOWFlY2IxOTVlM2U0YmNmNjE2MDZiNzg0MzciLCJ1c2VySWQiOiI2Nzg5MjM3MDcifQ==</vt:lpwstr>
  </property>
</Properties>
</file>