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20"/>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项目编号：XJ-202605</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中山大学孙逸仙纪念医院北院区门楼建筑监测服务</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7</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5"/>
        <w:rPr>
          <w:rFonts w:ascii="宋体" w:hAnsi="宋体" w:cs="宋体"/>
          <w:b/>
          <w:bCs/>
          <w:sz w:val="28"/>
          <w:szCs w:val="28"/>
        </w:rPr>
      </w:pPr>
    </w:p>
    <w:p w14:paraId="7F5A9F38">
      <w:pPr>
        <w:pStyle w:val="16"/>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宋体" w:hAnsi="宋体" w:cs="宋体"/>
          <w:sz w:val="24"/>
          <w:szCs w:val="24"/>
          <w:lang w:val="en-US" w:eastAsia="zh-CN"/>
        </w:rPr>
        <w:t>中山大学孙逸仙纪念医院北院区门楼建筑监测服务</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5</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宋体" w:hAnsi="宋体" w:cs="宋体"/>
          <w:sz w:val="24"/>
          <w:szCs w:val="24"/>
          <w:lang w:val="en-US" w:eastAsia="zh-CN"/>
        </w:rPr>
        <w:t>中山大学孙逸仙纪念医院北院区门楼建筑监测服务</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w:t>
      </w:r>
      <w:r>
        <w:rPr>
          <w:rFonts w:hint="eastAsia" w:asciiTheme="minorEastAsia" w:hAnsiTheme="minorEastAsia" w:cstheme="minorEastAsia"/>
          <w:b/>
          <w:sz w:val="24"/>
          <w:szCs w:val="24"/>
          <w:lang w:val="en-US" w:eastAsia="zh-CN"/>
        </w:rPr>
        <w:t>最高限价</w:t>
      </w:r>
      <w:r>
        <w:rPr>
          <w:rFonts w:hint="eastAsia" w:asciiTheme="minorEastAsia" w:hAnsiTheme="minorEastAsia" w:cstheme="minorEastAsia"/>
          <w:b/>
          <w:sz w:val="24"/>
          <w:szCs w:val="24"/>
        </w:rPr>
        <w:t>：</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人民币</w:t>
      </w:r>
      <w:r>
        <w:rPr>
          <w:rFonts w:hint="eastAsia" w:asciiTheme="minorEastAsia" w:hAnsiTheme="minorEastAsia" w:cstheme="minorEastAsia"/>
          <w:kern w:val="2"/>
          <w:sz w:val="24"/>
          <w:szCs w:val="24"/>
          <w:lang w:val="en-US" w:eastAsia="zh-CN" w:bidi="ar-SA"/>
        </w:rPr>
        <w:t>52,960.00</w:t>
      </w:r>
      <w:r>
        <w:rPr>
          <w:rFonts w:hint="eastAsia" w:eastAsia="宋体" w:asciiTheme="minorEastAsia" w:hAnsiTheme="minorEastAsia" w:cstheme="minorEastAsia"/>
          <w:kern w:val="2"/>
          <w:sz w:val="24"/>
          <w:szCs w:val="24"/>
          <w:lang w:val="en-US" w:eastAsia="zh-CN" w:bidi="ar-SA"/>
        </w:rPr>
        <w:t>元。</w:t>
      </w:r>
    </w:p>
    <w:p w14:paraId="32949670">
      <w:pPr>
        <w:pStyle w:val="5"/>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cs="宋体"/>
          <w:sz w:val="24"/>
          <w:highlight w:val="none"/>
        </w:rPr>
        <w:t>包括但不限于</w:t>
      </w:r>
      <w:r>
        <w:rPr>
          <w:rFonts w:hint="eastAsia" w:ascii="宋体" w:hAnsi="宋体" w:cs="宋体"/>
          <w:sz w:val="24"/>
          <w:highlight w:val="none"/>
          <w:lang w:val="en-US" w:eastAsia="zh-CN"/>
        </w:rPr>
        <w:t>对</w:t>
      </w:r>
      <w:r>
        <w:rPr>
          <w:rFonts w:hint="eastAsia" w:ascii="宋体" w:hAnsi="宋体" w:eastAsia="宋体" w:cs="宋体"/>
          <w:sz w:val="24"/>
          <w:highlight w:val="none"/>
          <w:lang w:val="en-US" w:eastAsia="zh-CN"/>
        </w:rPr>
        <w:t>门楼文物建筑进行主体沉降及水平位移监测。</w:t>
      </w:r>
      <w:r>
        <w:rPr>
          <w:rFonts w:hint="eastAsia" w:ascii="宋体" w:hAnsi="宋体" w:cs="宋体"/>
          <w:sz w:val="24"/>
          <w:highlight w:val="none"/>
        </w:rPr>
        <w:t>水平</w:t>
      </w:r>
      <w:r>
        <w:rPr>
          <w:rFonts w:hint="eastAsia" w:ascii="宋体" w:hAnsi="宋体" w:cs="宋体"/>
          <w:sz w:val="24"/>
          <w:highlight w:val="none"/>
          <w:lang w:val="en-US" w:eastAsia="zh-CN"/>
        </w:rPr>
        <w:t>及</w:t>
      </w:r>
      <w:r>
        <w:rPr>
          <w:rFonts w:hint="eastAsia" w:ascii="宋体" w:hAnsi="宋体" w:cs="宋体"/>
          <w:sz w:val="24"/>
          <w:highlight w:val="none"/>
        </w:rPr>
        <w:t>沉降基准点埋设</w:t>
      </w:r>
      <w:r>
        <w:rPr>
          <w:rFonts w:hint="eastAsia" w:ascii="宋体" w:hAnsi="宋体" w:cs="宋体"/>
          <w:sz w:val="24"/>
          <w:highlight w:val="none"/>
          <w:lang w:eastAsia="zh-CN"/>
        </w:rPr>
        <w:t>，</w:t>
      </w:r>
      <w:r>
        <w:rPr>
          <w:rFonts w:hint="eastAsia" w:ascii="宋体" w:hAnsi="宋体" w:cs="宋体"/>
          <w:sz w:val="24"/>
          <w:highlight w:val="none"/>
          <w:lang w:val="en-US" w:eastAsia="zh-CN"/>
        </w:rPr>
        <w:t>门楼</w:t>
      </w:r>
      <w:r>
        <w:rPr>
          <w:rFonts w:hint="eastAsia" w:ascii="宋体" w:hAnsi="宋体" w:cs="宋体"/>
          <w:sz w:val="24"/>
          <w:highlight w:val="none"/>
          <w:lang w:eastAsia="zh-CN"/>
        </w:rPr>
        <w:t>水平</w:t>
      </w:r>
      <w:r>
        <w:rPr>
          <w:rFonts w:hint="eastAsia" w:ascii="宋体" w:hAnsi="宋体" w:cs="宋体"/>
          <w:sz w:val="24"/>
          <w:highlight w:val="none"/>
          <w:lang w:val="en-US" w:eastAsia="zh-CN"/>
        </w:rPr>
        <w:t>位移及</w:t>
      </w:r>
      <w:r>
        <w:rPr>
          <w:rFonts w:hint="eastAsia" w:ascii="宋体" w:hAnsi="宋体" w:cs="宋体"/>
          <w:sz w:val="24"/>
          <w:highlight w:val="none"/>
          <w:lang w:eastAsia="zh-CN"/>
        </w:rPr>
        <w:t>竖向位移（</w:t>
      </w:r>
      <w:r>
        <w:rPr>
          <w:rFonts w:hint="eastAsia" w:ascii="宋体" w:hAnsi="宋体" w:cs="宋体"/>
          <w:sz w:val="24"/>
          <w:highlight w:val="none"/>
          <w:lang w:val="en-US" w:eastAsia="zh-CN"/>
        </w:rPr>
        <w:t>沉降）监测。</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宋体" w:hAnsi="宋体" w:eastAsia="宋体" w:cs="宋体"/>
          <w:color w:val="auto"/>
          <w:sz w:val="24"/>
          <w:szCs w:val="24"/>
          <w:lang w:val="en-US" w:eastAsia="zh-CN"/>
        </w:rPr>
        <w:t>预计监测14个月</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sz w:val="24"/>
          <w:highlight w:val="none"/>
          <w:lang w:val="en-US"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监测频率</w:t>
      </w:r>
      <w:r>
        <w:rPr>
          <w:rFonts w:hint="eastAsia" w:ascii="宋体" w:hAnsi="宋体" w:eastAsia="宋体" w:cs="宋体"/>
          <w:color w:val="auto"/>
          <w:sz w:val="24"/>
          <w:szCs w:val="24"/>
          <w:lang w:val="en-US" w:eastAsia="zh-CN"/>
        </w:rPr>
        <w:t>：</w:t>
      </w:r>
      <w:r>
        <w:rPr>
          <w:rFonts w:hint="eastAsia" w:eastAsia="宋体" w:asciiTheme="minorEastAsia" w:hAnsiTheme="minorEastAsia" w:cstheme="minorEastAsia"/>
          <w:color w:val="auto"/>
          <w:sz w:val="24"/>
          <w:szCs w:val="24"/>
          <w:lang w:val="en-US" w:eastAsia="zh-CN"/>
        </w:rPr>
        <w:t>前2个月按每15天监测一次</w:t>
      </w:r>
      <w:r>
        <w:rPr>
          <w:rFonts w:hint="eastAsia"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val="en-US" w:eastAsia="zh-CN"/>
        </w:rPr>
        <w:t>根据监测结果分析，若监测结果稳定，后续按每3个月监测一次</w:t>
      </w:r>
      <w:r>
        <w:rPr>
          <w:rFonts w:hint="eastAsia" w:eastAsia="宋体" w:asciiTheme="minorEastAsia" w:hAnsiTheme="minorEastAsia" w:cstheme="minorEastAsia"/>
          <w:color w:val="auto"/>
          <w:sz w:val="24"/>
          <w:szCs w:val="24"/>
        </w:rPr>
        <w:t>，首次监测连续监测三次取平均值作为初始值，监测次数暂定</w:t>
      </w:r>
      <w:r>
        <w:rPr>
          <w:rFonts w:hint="eastAsia" w:eastAsia="宋体" w:asciiTheme="minorEastAsia" w:hAnsiTheme="minorEastAsia" w:cstheme="minorEastAsia"/>
          <w:color w:val="auto"/>
          <w:sz w:val="24"/>
          <w:szCs w:val="24"/>
          <w:lang w:val="en-US" w:eastAsia="zh-CN"/>
        </w:rPr>
        <w:t>8</w:t>
      </w:r>
      <w:r>
        <w:rPr>
          <w:rFonts w:hint="eastAsia" w:eastAsia="宋体" w:asciiTheme="minorEastAsia" w:hAnsiTheme="minorEastAsia" w:cstheme="minorEastAsia"/>
          <w:color w:val="auto"/>
          <w:sz w:val="24"/>
          <w:szCs w:val="24"/>
        </w:rPr>
        <w:t>次，最终按实际</w:t>
      </w:r>
      <w:r>
        <w:rPr>
          <w:rFonts w:hint="eastAsia" w:ascii="宋体" w:hAnsi="宋体" w:eastAsia="宋体" w:cs="宋体"/>
          <w:sz w:val="24"/>
          <w:highlight w:val="none"/>
          <w:lang w:val="en-US" w:eastAsia="zh-CN"/>
        </w:rPr>
        <w:t>监测次数为准。</w:t>
      </w:r>
    </w:p>
    <w:p w14:paraId="1E75EFB3">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宋体" w:hAnsi="宋体" w:eastAsia="宋体" w:cs="宋体"/>
          <w:sz w:val="24"/>
          <w:highlight w:val="none"/>
          <w:lang w:val="en-US" w:eastAsia="zh-CN"/>
        </w:rPr>
        <w:t>4、其他</w:t>
      </w:r>
      <w:r>
        <w:rPr>
          <w:rFonts w:hint="eastAsia" w:eastAsia="宋体" w:asciiTheme="minorEastAsia" w:hAnsiTheme="minorEastAsia" w:cstheme="minorEastAsia"/>
          <w:color w:val="auto"/>
          <w:sz w:val="24"/>
          <w:szCs w:val="24"/>
          <w:lang w:val="en-US" w:eastAsia="zh-CN"/>
        </w:rPr>
        <w:t>要求：</w:t>
      </w:r>
    </w:p>
    <w:p w14:paraId="05D6164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（1）供应商须对本项目的全部内容进行报价，不得修改工程量清单内容，如有缺漏或超出最高限价，将导致报价无效。</w:t>
      </w:r>
    </w:p>
    <w:p w14:paraId="0147F460">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（2）按国家、省、市相关规范要求进行监测，包括但不限于沉降与水平位移基准点埋设、监测点埋设，精密水准测量和资料整理与提交等。</w:t>
      </w:r>
    </w:p>
    <w:p w14:paraId="28B1877B">
      <w:pPr>
        <w:spacing w:line="500" w:lineRule="atLeast"/>
        <w:ind w:firstLine="480" w:firstLineChars="200"/>
        <w:rPr>
          <w:rFonts w:hint="eastAsia" w:ascii="宋体" w:hAnsi="宋体" w:eastAsia="宋体" w:cs="宋体"/>
          <w:sz w:val="24"/>
          <w:highlight w:val="none"/>
          <w:lang w:val="en-US" w:eastAsia="zh-CN"/>
        </w:rPr>
      </w:pPr>
      <w:r>
        <w:rPr>
          <w:rFonts w:hint="eastAsia" w:eastAsia="宋体" w:asciiTheme="minorEastAsia" w:hAnsiTheme="minorEastAsia" w:cstheme="minorEastAsia"/>
          <w:color w:val="auto"/>
          <w:sz w:val="24"/>
          <w:szCs w:val="24"/>
          <w:lang w:val="en-US" w:eastAsia="zh-CN"/>
        </w:rPr>
        <w:t>（3）按照规范要求，监测精度采用二等。</w:t>
      </w:r>
    </w:p>
    <w:p w14:paraId="478BE7E3">
      <w:pPr>
        <w:spacing w:line="500" w:lineRule="atLeas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w:t>
      </w:r>
      <w:r>
        <w:rPr>
          <w:rFonts w:hint="eastAsia" w:ascii="宋体" w:hAnsi="宋体" w:cs="宋体"/>
          <w:color w:val="auto"/>
          <w:sz w:val="24"/>
          <w:highlight w:val="none"/>
          <w:lang w:val="en-US" w:eastAsia="zh-CN"/>
        </w:rPr>
        <w:t>监测服务完成后15日内提交监测报告</w:t>
      </w:r>
      <w:r>
        <w:rPr>
          <w:rFonts w:hint="eastAsia" w:ascii="宋体" w:hAnsi="宋体" w:cs="宋体"/>
          <w:sz w:val="24"/>
          <w:highlight w:val="none"/>
          <w:lang w:val="en-US" w:eastAsia="zh-CN"/>
        </w:rPr>
        <w:t>。</w:t>
      </w:r>
    </w:p>
    <w:p w14:paraId="4CFBE1C0">
      <w:pPr>
        <w:spacing w:line="500" w:lineRule="atLeast"/>
        <w:ind w:firstLine="480" w:firstLineChars="200"/>
        <w:rPr>
          <w:rFonts w:hint="eastAsia" w:ascii="宋体" w:hAnsi="宋体" w:eastAsia="宋体" w:cs="宋体"/>
          <w:sz w:val="24"/>
          <w:highlight w:val="none"/>
          <w:lang w:val="en-US" w:eastAsia="zh-CN"/>
        </w:rPr>
      </w:pPr>
    </w:p>
    <w:p w14:paraId="440AE65B">
      <w:pPr>
        <w:spacing w:line="500" w:lineRule="atLeas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5、监测点平面布置图</w:t>
      </w:r>
    </w:p>
    <w:p w14:paraId="41D158D9">
      <w:pPr>
        <w:spacing w:line="500" w:lineRule="atLeast"/>
        <w:ind w:left="-420" w:leftChars="-200" w:firstLine="0" w:firstLineChars="0"/>
        <w:rPr>
          <w:rFonts w:hint="default" w:ascii="宋体" w:hAnsi="宋体" w:eastAsia="宋体" w:cs="宋体"/>
          <w:sz w:val="24"/>
          <w:highlight w:val="none"/>
          <w:lang w:val="en-US" w:eastAsia="zh-CN"/>
        </w:rPr>
      </w:pPr>
      <w:r>
        <w:drawing>
          <wp:inline distT="0" distB="0" distL="114300" distR="114300">
            <wp:extent cx="6169025" cy="3486785"/>
            <wp:effectExtent l="0" t="0" r="3175"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6169025" cy="3486785"/>
                    </a:xfrm>
                    <a:prstGeom prst="rect">
                      <a:avLst/>
                    </a:prstGeom>
                    <a:noFill/>
                    <a:ln>
                      <a:noFill/>
                    </a:ln>
                  </pic:spPr>
                </pic:pic>
              </a:graphicData>
            </a:graphic>
          </wp:inline>
        </w:drawing>
      </w:r>
    </w:p>
    <w:p w14:paraId="4BA729F0">
      <w:pPr>
        <w:spacing w:line="500" w:lineRule="atLeast"/>
        <w:ind w:firstLine="480" w:firstLineChars="200"/>
        <w:rPr>
          <w:rFonts w:hint="eastAsia" w:ascii="宋体" w:hAnsi="宋体" w:eastAsia="宋体" w:cs="宋体"/>
          <w:sz w:val="24"/>
          <w:highlight w:val="none"/>
          <w:lang w:val="en-US" w:eastAsia="zh-CN"/>
        </w:rPr>
      </w:pP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2、具有质量技术监督管理部门颁发的CMA计量认证合格证书，CMA认证范围含水平位移、垂直位移/竖向位移/沉降监测。</w:t>
      </w:r>
    </w:p>
    <w:p w14:paraId="4076460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w:t>
      </w:r>
      <w:r>
        <w:rPr>
          <w:rFonts w:hint="eastAsia" w:eastAsia="宋体" w:asciiTheme="minorEastAsia" w:hAnsiTheme="minorEastAsia" w:cstheme="minorEastAsia"/>
          <w:color w:val="auto"/>
          <w:sz w:val="24"/>
          <w:szCs w:val="24"/>
          <w:lang w:val="en-US" w:eastAsia="zh-CN"/>
        </w:rPr>
        <w:t>、自2023年1月1日起至今（以完成时间为准），至少</w:t>
      </w:r>
      <w:r>
        <w:rPr>
          <w:rFonts w:hint="eastAsia" w:asciiTheme="minorEastAsia" w:hAnsiTheme="minorEastAsia" w:cstheme="minorEastAsia"/>
          <w:color w:val="auto"/>
          <w:sz w:val="24"/>
          <w:szCs w:val="24"/>
          <w:lang w:val="en-US" w:eastAsia="zh-CN"/>
        </w:rPr>
        <w:t>完成过</w:t>
      </w:r>
      <w:r>
        <w:rPr>
          <w:rFonts w:hint="eastAsia" w:eastAsia="宋体" w:asciiTheme="minorEastAsia" w:hAnsiTheme="minorEastAsia" w:cstheme="minorEastAsia"/>
          <w:color w:val="auto"/>
          <w:sz w:val="24"/>
          <w:szCs w:val="24"/>
          <w:lang w:val="en-US" w:eastAsia="zh-CN"/>
        </w:rPr>
        <w:t>1个</w:t>
      </w:r>
      <w:r>
        <w:rPr>
          <w:rFonts w:hint="eastAsia" w:asciiTheme="minorEastAsia" w:hAnsiTheme="minorEastAsia" w:cstheme="minorEastAsia"/>
          <w:color w:val="auto"/>
          <w:sz w:val="24"/>
          <w:szCs w:val="24"/>
          <w:lang w:val="en-US" w:eastAsia="zh-CN"/>
        </w:rPr>
        <w:t>合格的同</w:t>
      </w:r>
      <w:r>
        <w:rPr>
          <w:rFonts w:hint="eastAsia" w:eastAsia="宋体" w:asciiTheme="minorEastAsia" w:hAnsiTheme="minorEastAsia" w:cstheme="minorEastAsia"/>
          <w:color w:val="auto"/>
          <w:sz w:val="24"/>
          <w:szCs w:val="24"/>
          <w:lang w:val="en-US" w:eastAsia="zh-CN"/>
        </w:rPr>
        <w:t>类项目业绩</w:t>
      </w:r>
      <w:r>
        <w:rPr>
          <w:rFonts w:hint="eastAsia" w:eastAsia="宋体" w:asciiTheme="minorEastAsia" w:hAnsiTheme="minorEastAsia" w:cstheme="minorEastAsia"/>
          <w:color w:val="auto"/>
          <w:sz w:val="24"/>
          <w:szCs w:val="24"/>
          <w:lang w:eastAsia="zh-CN"/>
        </w:rPr>
        <w:t>。提供</w:t>
      </w:r>
      <w:r>
        <w:rPr>
          <w:rFonts w:hint="eastAsia" w:eastAsia="宋体" w:asciiTheme="minorEastAsia" w:hAnsiTheme="minorEastAsia" w:cstheme="minorEastAsia"/>
          <w:color w:val="auto"/>
          <w:sz w:val="24"/>
          <w:szCs w:val="24"/>
          <w:lang w:val="en-US" w:eastAsia="zh-CN"/>
        </w:rPr>
        <w:t>该业绩</w:t>
      </w:r>
      <w:r>
        <w:rPr>
          <w:rFonts w:hint="eastAsia" w:ascii="宋体" w:hAnsi="宋体" w:eastAsia="宋体" w:cs="宋体"/>
          <w:color w:val="0000FF"/>
          <w:kern w:val="2"/>
          <w:sz w:val="24"/>
          <w:szCs w:val="24"/>
          <w:highlight w:val="none"/>
          <w:lang w:val="en-US" w:eastAsia="zh-CN" w:bidi="ar-SA"/>
        </w:rPr>
        <w:t>验收资料</w:t>
      </w:r>
      <w:r>
        <w:rPr>
          <w:rFonts w:hint="eastAsia" w:asciiTheme="minorEastAsia" w:hAnsiTheme="minorEastAsia" w:cstheme="minorEastAsia"/>
          <w:color w:val="auto"/>
          <w:sz w:val="24"/>
          <w:szCs w:val="24"/>
          <w:highlight w:val="none"/>
          <w:lang w:val="en-US" w:eastAsia="zh-CN"/>
        </w:rPr>
        <w:t>及</w:t>
      </w:r>
      <w:r>
        <w:rPr>
          <w:rFonts w:hint="eastAsia" w:ascii="宋体" w:hAnsi="宋体" w:eastAsia="宋体" w:cs="宋体"/>
          <w:color w:val="0000FF"/>
          <w:kern w:val="2"/>
          <w:sz w:val="24"/>
          <w:szCs w:val="24"/>
          <w:highlight w:val="none"/>
          <w:lang w:val="en-US" w:eastAsia="zh-CN" w:bidi="ar-SA"/>
        </w:rPr>
        <w:t>合同关键页</w:t>
      </w:r>
      <w:r>
        <w:rPr>
          <w:rFonts w:hint="eastAsia" w:eastAsia="宋体" w:asciiTheme="minorEastAsia" w:hAnsiTheme="minorEastAsia" w:cstheme="minorEastAsia"/>
          <w:color w:val="auto"/>
          <w:sz w:val="24"/>
          <w:szCs w:val="24"/>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60F139AA">
      <w:pPr>
        <w:spacing w:line="500" w:lineRule="atLeast"/>
        <w:ind w:firstLine="480" w:firstLineChars="200"/>
        <w:rPr>
          <w:rFonts w:hint="eastAsia" w:eastAsia="宋体" w:asciiTheme="minorEastAsia" w:hAnsiTheme="minorEastAsia" w:cstheme="minorEastAsia"/>
          <w:color w:val="auto"/>
          <w:sz w:val="24"/>
          <w:szCs w:val="24"/>
        </w:rPr>
      </w:pPr>
      <w:r>
        <w:rPr>
          <w:rFonts w:hint="eastAsia" w:eastAsia="宋体" w:asciiTheme="minorEastAsia" w:hAnsiTheme="minorEastAsia" w:cstheme="minorEastAsia"/>
          <w:color w:val="auto"/>
          <w:sz w:val="24"/>
          <w:szCs w:val="24"/>
          <w:lang w:val="en-US" w:eastAsia="zh-CN"/>
        </w:rPr>
        <w:t>5、拟派项目负责人</w:t>
      </w:r>
      <w:r>
        <w:rPr>
          <w:rFonts w:hint="eastAsia" w:asciiTheme="minorEastAsia" w:hAnsiTheme="minorEastAsia" w:cstheme="minorEastAsia"/>
          <w:color w:val="auto"/>
          <w:sz w:val="24"/>
          <w:szCs w:val="24"/>
          <w:lang w:val="en-US" w:eastAsia="zh-CN"/>
        </w:rPr>
        <w:t>具有</w:t>
      </w:r>
      <w:r>
        <w:rPr>
          <w:rFonts w:hint="eastAsia" w:asciiTheme="minorEastAsia" w:hAnsiTheme="minorEastAsia" w:cstheme="minorEastAsia"/>
          <w:color w:val="auto"/>
          <w:sz w:val="24"/>
          <w:szCs w:val="24"/>
          <w:highlight w:val="none"/>
          <w:lang w:val="en-US" w:eastAsia="zh-CN"/>
        </w:rPr>
        <w:t>测绘工程专业</w:t>
      </w:r>
      <w:r>
        <w:rPr>
          <w:rFonts w:hint="eastAsia" w:asciiTheme="minorEastAsia" w:hAnsiTheme="minorEastAsia" w:cstheme="minorEastAsia"/>
          <w:color w:val="auto"/>
          <w:sz w:val="24"/>
          <w:szCs w:val="24"/>
          <w:lang w:val="en-US" w:eastAsia="zh-CN"/>
        </w:rPr>
        <w:t>中级工程师</w:t>
      </w:r>
      <w:r>
        <w:rPr>
          <w:rFonts w:hint="eastAsia" w:asciiTheme="minorEastAsia" w:hAnsiTheme="minorEastAsia" w:cstheme="minorEastAsia"/>
          <w:color w:val="auto"/>
          <w:sz w:val="24"/>
          <w:szCs w:val="24"/>
          <w:lang w:val="en-US" w:eastAsia="zh-CN"/>
        </w:rPr>
        <w:t>及以上职称</w:t>
      </w:r>
      <w:r>
        <w:rPr>
          <w:rFonts w:hint="default"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11</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4</w:t>
      </w:r>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3"/>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7291"/>
      <w:bookmarkStart w:id="2" w:name="_Toc40346216"/>
      <w:bookmarkStart w:id="3" w:name="_Toc3471"/>
      <w:bookmarkStart w:id="4" w:name="_Toc40346375"/>
      <w:bookmarkStart w:id="5" w:name="_Toc40776111"/>
      <w:bookmarkStart w:id="6" w:name="_Toc8364"/>
      <w:bookmarkStart w:id="7" w:name="_Toc1994"/>
      <w:bookmarkStart w:id="8" w:name="_Toc12520"/>
      <w:bookmarkStart w:id="9" w:name="_Toc28703"/>
      <w:bookmarkStart w:id="10" w:name="_Toc29113"/>
      <w:bookmarkStart w:id="11" w:name="_Toc435"/>
      <w:bookmarkStart w:id="12" w:name="_Toc6547"/>
      <w:bookmarkStart w:id="13" w:name="_Toc21249"/>
      <w:bookmarkStart w:id="14" w:name="_Toc26267"/>
      <w:bookmarkStart w:id="15" w:name="_Toc11305"/>
      <w:bookmarkStart w:id="16" w:name="_Toc11075"/>
      <w:bookmarkStart w:id="17" w:name="_Toc15870"/>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3"/>
        <w:ind w:left="0" w:leftChars="0" w:firstLine="637" w:firstLineChars="177"/>
        <w:jc w:val="left"/>
        <w:rPr>
          <w:rFonts w:hint="eastAsia" w:ascii="宋体" w:hAnsi="宋体" w:eastAsia="宋体" w:cs="宋体"/>
          <w:b w:val="0"/>
          <w:bCs w:val="0"/>
          <w:sz w:val="36"/>
          <w:szCs w:val="36"/>
          <w:lang w:eastAsia="zh-CN"/>
        </w:rPr>
      </w:pPr>
    </w:p>
    <w:p w14:paraId="22A83F7A">
      <w:pPr>
        <w:pStyle w:val="3"/>
        <w:ind w:left="0" w:leftChars="0" w:firstLine="637" w:firstLineChars="177"/>
        <w:jc w:val="left"/>
        <w:rPr>
          <w:rFonts w:hint="eastAsia" w:ascii="宋体" w:hAnsi="宋体" w:eastAsia="宋体" w:cs="宋体"/>
          <w:b w:val="0"/>
          <w:bCs w:val="0"/>
          <w:sz w:val="36"/>
          <w:szCs w:val="36"/>
          <w:lang w:eastAsia="zh-CN"/>
        </w:rPr>
      </w:pPr>
    </w:p>
    <w:p w14:paraId="6644A133">
      <w:pPr>
        <w:pStyle w:val="3"/>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23097"/>
      <w:bookmarkStart w:id="19" w:name="_Toc40346376"/>
      <w:bookmarkStart w:id="20" w:name="_Toc2029"/>
      <w:bookmarkStart w:id="21" w:name="_Toc29102"/>
      <w:bookmarkStart w:id="22" w:name="_Toc19699"/>
      <w:bookmarkStart w:id="23" w:name="_Toc17709"/>
      <w:bookmarkStart w:id="24" w:name="_Toc27997"/>
      <w:bookmarkStart w:id="25" w:name="_Toc40346217"/>
      <w:bookmarkStart w:id="26" w:name="_Toc2012"/>
      <w:bookmarkStart w:id="27" w:name="_Toc11485"/>
      <w:bookmarkStart w:id="28" w:name="_Toc40776112"/>
      <w:bookmarkStart w:id="29" w:name="_Toc20884"/>
      <w:bookmarkStart w:id="30" w:name="_Toc5238"/>
      <w:bookmarkStart w:id="31" w:name="_Toc2916"/>
      <w:bookmarkStart w:id="32" w:name="_Toc1743"/>
      <w:bookmarkStart w:id="33" w:name="_Toc30979"/>
      <w:bookmarkStart w:id="34" w:name="_Toc31538"/>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4824"/>
      <w:bookmarkStart w:id="36" w:name="_Toc29767"/>
      <w:bookmarkStart w:id="37" w:name="_Toc40776113"/>
      <w:bookmarkStart w:id="38" w:name="_Toc40346377"/>
      <w:bookmarkStart w:id="39" w:name="_Toc27867"/>
      <w:bookmarkStart w:id="40" w:name="_Toc28064"/>
      <w:bookmarkStart w:id="41" w:name="_Toc24763"/>
      <w:bookmarkStart w:id="42" w:name="_Toc31993"/>
      <w:bookmarkStart w:id="43" w:name="_Toc4013"/>
      <w:bookmarkStart w:id="44" w:name="_Toc21483"/>
      <w:bookmarkStart w:id="45" w:name="_Toc12645"/>
      <w:bookmarkStart w:id="46" w:name="_Toc7052"/>
      <w:bookmarkStart w:id="47" w:name="_Toc11558"/>
      <w:bookmarkStart w:id="48" w:name="_Toc16794"/>
      <w:bookmarkStart w:id="49" w:name="_Toc40346218"/>
      <w:bookmarkStart w:id="50" w:name="_Toc11141"/>
      <w:bookmarkStart w:id="51" w:name="_Toc17930"/>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11334"/>
      <w:bookmarkStart w:id="53" w:name="_Toc6438"/>
      <w:bookmarkStart w:id="54" w:name="_Toc24651"/>
      <w:bookmarkStart w:id="55" w:name="_Toc40346378"/>
      <w:bookmarkStart w:id="56" w:name="_Toc14287"/>
      <w:bookmarkStart w:id="57" w:name="_Toc40776114"/>
      <w:bookmarkStart w:id="58" w:name="_Toc4563"/>
      <w:bookmarkStart w:id="59" w:name="_Toc16813"/>
      <w:bookmarkStart w:id="60" w:name="_Toc31197"/>
      <w:bookmarkStart w:id="61" w:name="_Toc32709"/>
      <w:bookmarkStart w:id="62" w:name="_Toc9883"/>
      <w:bookmarkStart w:id="63" w:name="_Toc19831"/>
      <w:bookmarkStart w:id="64" w:name="_Toc1324"/>
      <w:bookmarkStart w:id="65" w:name="_Toc26029"/>
      <w:bookmarkStart w:id="66" w:name="_Toc40346219"/>
      <w:bookmarkStart w:id="67" w:name="_Toc17537"/>
      <w:bookmarkStart w:id="68" w:name="_Toc27771"/>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17483"/>
      <w:bookmarkStart w:id="70" w:name="_Toc14586"/>
      <w:bookmarkStart w:id="71" w:name="_Toc40346379"/>
      <w:bookmarkStart w:id="72" w:name="_Toc18353"/>
      <w:bookmarkStart w:id="73" w:name="_Toc20994"/>
      <w:bookmarkStart w:id="74" w:name="_Toc21940"/>
      <w:bookmarkStart w:id="75" w:name="_Toc40776115"/>
      <w:bookmarkStart w:id="76" w:name="_Toc13222"/>
      <w:bookmarkStart w:id="77" w:name="_Toc5634"/>
      <w:bookmarkStart w:id="78" w:name="_Toc27868"/>
      <w:bookmarkStart w:id="79" w:name="_Toc30336"/>
      <w:bookmarkStart w:id="80" w:name="_Toc21686"/>
      <w:bookmarkStart w:id="81" w:name="_Toc40346220"/>
      <w:bookmarkStart w:id="82" w:name="_Toc12650"/>
      <w:bookmarkStart w:id="83" w:name="_Toc27206"/>
      <w:bookmarkStart w:id="84" w:name="_Toc3895"/>
      <w:bookmarkStart w:id="85" w:name="_Toc5189"/>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27646"/>
      <w:bookmarkStart w:id="87" w:name="_Toc11547"/>
      <w:bookmarkStart w:id="88" w:name="_Toc30904"/>
      <w:bookmarkStart w:id="89" w:name="_Toc27009"/>
      <w:bookmarkStart w:id="90" w:name="_Toc40346380"/>
      <w:bookmarkStart w:id="91" w:name="_Toc9282"/>
      <w:bookmarkStart w:id="92" w:name="_Toc32371"/>
      <w:bookmarkStart w:id="93" w:name="_Toc30856"/>
      <w:bookmarkStart w:id="94" w:name="_Toc5220"/>
      <w:bookmarkStart w:id="95" w:name="_Toc10454"/>
      <w:bookmarkStart w:id="96" w:name="_Toc12127"/>
      <w:bookmarkStart w:id="97" w:name="_Toc8526"/>
      <w:bookmarkStart w:id="98" w:name="_Toc40346221"/>
      <w:bookmarkStart w:id="99" w:name="_Toc40776116"/>
      <w:bookmarkStart w:id="100" w:name="_Toc14462"/>
      <w:bookmarkStart w:id="101" w:name="_Toc21449"/>
      <w:bookmarkStart w:id="102" w:name="_Toc3498"/>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
        <w:ind w:firstLine="400"/>
      </w:pPr>
    </w:p>
    <w:p w14:paraId="5EA99B4F">
      <w:pPr>
        <w:pStyle w:val="2"/>
        <w:ind w:firstLine="400"/>
      </w:pPr>
    </w:p>
    <w:p w14:paraId="273253B2">
      <w:pPr>
        <w:pStyle w:val="2"/>
        <w:ind w:firstLine="400"/>
      </w:pPr>
    </w:p>
    <w:p w14:paraId="7AC80C17">
      <w:pPr>
        <w:pStyle w:val="2"/>
        <w:ind w:firstLine="400"/>
      </w:pPr>
    </w:p>
    <w:p w14:paraId="3C9C888B">
      <w:pPr>
        <w:pStyle w:val="2"/>
        <w:ind w:firstLine="400"/>
      </w:pPr>
    </w:p>
    <w:p w14:paraId="2200D5B6">
      <w:pPr>
        <w:pStyle w:val="2"/>
        <w:ind w:firstLine="400"/>
      </w:pPr>
    </w:p>
    <w:p w14:paraId="54A36C62">
      <w:pPr>
        <w:pStyle w:val="2"/>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15539"/>
      <w:bookmarkStart w:id="104" w:name="_Toc10399"/>
      <w:bookmarkStart w:id="105" w:name="_Toc9697"/>
      <w:bookmarkStart w:id="106" w:name="_Toc21213"/>
      <w:bookmarkStart w:id="107" w:name="_Toc6691"/>
      <w:bookmarkStart w:id="108" w:name="_Toc28747"/>
      <w:bookmarkStart w:id="109" w:name="_Toc13184"/>
      <w:bookmarkStart w:id="110" w:name="_Toc16728"/>
      <w:bookmarkStart w:id="111" w:name="_Toc16608"/>
      <w:bookmarkStart w:id="112" w:name="_Toc31077"/>
      <w:bookmarkStart w:id="113" w:name="_Toc8637"/>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
        <w:adjustRightInd w:val="0"/>
        <w:snapToGrid w:val="0"/>
        <w:spacing w:line="360" w:lineRule="exact"/>
        <w:ind w:left="0" w:leftChars="0" w:firstLine="480" w:firstLineChars="20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0F1FF042"/>
    <w:p w14:paraId="45392455"/>
    <w:p w14:paraId="188D86FB"/>
    <w:p w14:paraId="7F7CEFE0"/>
    <w:p w14:paraId="3DB3CA6F"/>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
        <w:ind w:firstLine="400"/>
      </w:pPr>
    </w:p>
    <w:p w14:paraId="7CA4C918">
      <w:pPr>
        <w:pStyle w:val="2"/>
        <w:ind w:firstLine="400"/>
      </w:pPr>
    </w:p>
    <w:p w14:paraId="15447D1D">
      <w:pPr>
        <w:pStyle w:val="2"/>
        <w:ind w:firstLine="400"/>
      </w:pPr>
    </w:p>
    <w:p w14:paraId="7C7D50C2">
      <w:pPr>
        <w:pStyle w:val="3"/>
        <w:spacing w:line="360" w:lineRule="auto"/>
        <w:rPr>
          <w:rFonts w:hint="eastAsia" w:ascii="微软雅黑" w:hAnsi="微软雅黑" w:eastAsia="微软雅黑" w:cs="微软雅黑"/>
          <w:color w:val="auto"/>
        </w:rPr>
      </w:pPr>
    </w:p>
    <w:p w14:paraId="001492CB">
      <w:pPr>
        <w:rPr>
          <w:rFonts w:hint="eastAsia" w:ascii="微软雅黑" w:hAnsi="微软雅黑" w:eastAsia="微软雅黑" w:cs="微软雅黑"/>
          <w:color w:val="auto"/>
        </w:rPr>
      </w:pPr>
    </w:p>
    <w:p w14:paraId="4A61FC2E">
      <w:pPr>
        <w:rPr>
          <w:rFonts w:hint="eastAsia" w:ascii="微软雅黑" w:hAnsi="微软雅黑" w:eastAsia="微软雅黑" w:cs="微软雅黑"/>
          <w:color w:val="auto"/>
        </w:rPr>
      </w:pPr>
    </w:p>
    <w:p w14:paraId="6CF9C223">
      <w:pPr>
        <w:rPr>
          <w:rFonts w:hint="eastAsia" w:ascii="微软雅黑" w:hAnsi="微软雅黑" w:eastAsia="微软雅黑" w:cs="微软雅黑"/>
          <w:color w:val="auto"/>
        </w:rPr>
      </w:pPr>
    </w:p>
    <w:p w14:paraId="10EB076A">
      <w:pPr>
        <w:rPr>
          <w:rFonts w:hint="eastAsia" w:ascii="微软雅黑" w:hAnsi="微软雅黑" w:eastAsia="微软雅黑" w:cs="微软雅黑"/>
          <w:color w:val="auto"/>
        </w:rPr>
      </w:pPr>
    </w:p>
    <w:p w14:paraId="01773774">
      <w:pPr>
        <w:rPr>
          <w:rFonts w:hint="eastAsia" w:ascii="微软雅黑" w:hAnsi="微软雅黑" w:eastAsia="微软雅黑" w:cs="微软雅黑"/>
          <w:color w:val="auto"/>
        </w:rPr>
      </w:pPr>
    </w:p>
    <w:p w14:paraId="7B3CCCAE">
      <w:pPr>
        <w:rPr>
          <w:rFonts w:hint="eastAsia" w:ascii="微软雅黑" w:hAnsi="微软雅黑" w:eastAsia="微软雅黑" w:cs="微软雅黑"/>
          <w:color w:val="auto"/>
        </w:rPr>
      </w:pPr>
    </w:p>
    <w:p w14:paraId="15821A79">
      <w:pPr>
        <w:rPr>
          <w:rFonts w:hint="eastAsia" w:ascii="微软雅黑" w:hAnsi="微软雅黑" w:eastAsia="微软雅黑" w:cs="微软雅黑"/>
          <w:color w:val="auto"/>
        </w:rPr>
      </w:pPr>
    </w:p>
    <w:p w14:paraId="44E87186">
      <w:pPr>
        <w:pStyle w:val="2"/>
        <w:rPr>
          <w:rFonts w:hint="eastAsia" w:ascii="宋体" w:hAnsi="宋体" w:eastAsia="宋体" w:cs="宋体"/>
          <w:color w:val="auto"/>
          <w:kern w:val="2"/>
          <w:sz w:val="24"/>
          <w:szCs w:val="24"/>
          <w:lang w:val="en-US" w:eastAsia="zh-CN" w:bidi="ar-SA"/>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20"/>
        <w:rPr>
          <w:rFonts w:hint="eastAsia" w:eastAsia="宋体" w:asciiTheme="minorEastAsia" w:hAnsiTheme="minorEastAsia" w:cstheme="minorEastAsia"/>
          <w:color w:val="auto"/>
          <w:kern w:val="2"/>
          <w:sz w:val="28"/>
          <w:szCs w:val="28"/>
          <w:lang w:val="en-US" w:eastAsia="zh-CN" w:bidi="ar-SA"/>
        </w:rPr>
      </w:pPr>
    </w:p>
    <w:p w14:paraId="19FB1538">
      <w:pPr>
        <w:pStyle w:val="20"/>
        <w:rPr>
          <w:rFonts w:hint="eastAsia" w:eastAsia="宋体" w:asciiTheme="minorEastAsia" w:hAnsiTheme="minorEastAsia" w:cstheme="minorEastAsia"/>
          <w:color w:val="auto"/>
          <w:kern w:val="2"/>
          <w:sz w:val="28"/>
          <w:szCs w:val="28"/>
          <w:lang w:val="en-US" w:eastAsia="zh-CN" w:bidi="ar-SA"/>
        </w:rPr>
      </w:pPr>
    </w:p>
    <w:p w14:paraId="7FC3A1A4">
      <w:pPr>
        <w:pStyle w:val="20"/>
        <w:rPr>
          <w:rFonts w:hint="eastAsia" w:eastAsia="宋体" w:asciiTheme="minorEastAsia" w:hAnsiTheme="minorEastAsia" w:cstheme="minorEastAsia"/>
          <w:color w:val="auto"/>
          <w:kern w:val="2"/>
          <w:sz w:val="28"/>
          <w:szCs w:val="28"/>
          <w:lang w:val="en-US" w:eastAsia="zh-CN" w:bidi="ar-SA"/>
        </w:rPr>
      </w:pPr>
    </w:p>
    <w:p w14:paraId="51FDFB5C">
      <w:pPr>
        <w:pStyle w:val="20"/>
        <w:rPr>
          <w:rFonts w:hint="eastAsia" w:eastAsia="宋体" w:asciiTheme="minorEastAsia" w:hAnsiTheme="minorEastAsia" w:cstheme="minorEastAsia"/>
          <w:color w:val="auto"/>
          <w:kern w:val="2"/>
          <w:sz w:val="28"/>
          <w:szCs w:val="28"/>
          <w:lang w:val="en-US" w:eastAsia="zh-CN" w:bidi="ar-SA"/>
        </w:rPr>
      </w:pPr>
    </w:p>
    <w:p w14:paraId="191696BE">
      <w:pPr>
        <w:pStyle w:val="20"/>
        <w:rPr>
          <w:rFonts w:hint="eastAsia" w:eastAsia="宋体" w:asciiTheme="minorEastAsia" w:hAnsiTheme="minorEastAsia" w:cstheme="minorEastAsia"/>
          <w:color w:val="auto"/>
          <w:kern w:val="2"/>
          <w:sz w:val="28"/>
          <w:szCs w:val="28"/>
          <w:lang w:val="en-US" w:eastAsia="zh-CN" w:bidi="ar-SA"/>
        </w:rPr>
      </w:pPr>
    </w:p>
    <w:p w14:paraId="2C587E29">
      <w:pPr>
        <w:pStyle w:val="20"/>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20"/>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20"/>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5"/>
        <w:rPr>
          <w:rFonts w:hint="default"/>
          <w:lang w:val="en-US" w:eastAsia="zh-CN"/>
        </w:rPr>
      </w:pPr>
    </w:p>
    <w:p w14:paraId="4BE55E53">
      <w:pPr>
        <w:spacing w:line="500" w:lineRule="atLeast"/>
        <w:rPr>
          <w:rFonts w:hint="eastAsia" w:ascii="宋体" w:hAnsi="宋体"/>
          <w:b/>
          <w:sz w:val="28"/>
          <w:szCs w:val="28"/>
        </w:rPr>
      </w:pPr>
    </w:p>
    <w:p w14:paraId="7B1970CB">
      <w:pPr>
        <w:pStyle w:val="4"/>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20"/>
      </w:pPr>
    </w:p>
    <w:p w14:paraId="6FF9B7AD">
      <w:pPr>
        <w:pStyle w:val="20"/>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eastAsia="宋体" w:cs="宋体"/>
          <w:sz w:val="24"/>
          <w:szCs w:val="36"/>
          <w:lang w:val="en-US" w:eastAsia="zh-CN"/>
        </w:rPr>
        <w:t>CMA计量认证证书</w:t>
      </w:r>
      <w:r>
        <w:rPr>
          <w:rFonts w:hint="eastAsia" w:ascii="宋体" w:hAnsi="宋体" w:cs="宋体"/>
          <w:sz w:val="24"/>
          <w:szCs w:val="36"/>
        </w:rPr>
        <w:t>………………………………………………第（  ）页</w:t>
      </w:r>
    </w:p>
    <w:p w14:paraId="6D9A0A89">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val="en-US" w:eastAsia="zh-CN"/>
        </w:rPr>
        <w:t>同</w:t>
      </w:r>
      <w:r>
        <w:rPr>
          <w:rFonts w:hint="eastAsia" w:asciiTheme="minorEastAsia" w:hAnsiTheme="minorEastAsia" w:cstheme="minorEastAsia"/>
          <w:color w:val="auto"/>
          <w:kern w:val="2"/>
          <w:sz w:val="24"/>
          <w:szCs w:val="24"/>
          <w:lang w:val="en-US" w:eastAsia="zh-CN" w:bidi="ar-SA"/>
        </w:rPr>
        <w:t>类业绩</w:t>
      </w:r>
      <w:r>
        <w:rPr>
          <w:rFonts w:hint="eastAsia" w:ascii="宋体" w:hAnsi="宋体" w:cs="宋体"/>
          <w:sz w:val="24"/>
          <w:szCs w:val="36"/>
        </w:rPr>
        <w:t>…………………………………………………………第（  ）页</w:t>
      </w:r>
    </w:p>
    <w:p w14:paraId="6AA62BF6">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val="en-US" w:eastAsia="zh-CN"/>
        </w:rPr>
        <w:t>项目负责人职称</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20"/>
        <w:rPr>
          <w:rFonts w:ascii="宋体" w:hAnsi="宋体" w:cs="宋体"/>
          <w:sz w:val="24"/>
          <w:szCs w:val="36"/>
        </w:rPr>
      </w:pPr>
    </w:p>
    <w:p w14:paraId="14728056">
      <w:pPr>
        <w:pStyle w:val="20"/>
        <w:rPr>
          <w:rFonts w:ascii="宋体" w:hAnsi="宋体" w:cs="宋体"/>
          <w:sz w:val="24"/>
          <w:szCs w:val="36"/>
        </w:rPr>
      </w:pPr>
    </w:p>
    <w:p w14:paraId="19389E03">
      <w:pPr>
        <w:pStyle w:val="20"/>
        <w:rPr>
          <w:rFonts w:ascii="宋体" w:hAnsi="宋体" w:cs="宋体"/>
          <w:sz w:val="24"/>
          <w:szCs w:val="36"/>
        </w:rPr>
      </w:pPr>
    </w:p>
    <w:p w14:paraId="6933DD5C">
      <w:pPr>
        <w:pStyle w:val="20"/>
        <w:rPr>
          <w:rFonts w:ascii="宋体" w:hAnsi="宋体" w:cs="宋体"/>
          <w:sz w:val="24"/>
          <w:szCs w:val="36"/>
        </w:rPr>
      </w:pPr>
    </w:p>
    <w:p w14:paraId="6BC999AD">
      <w:pPr>
        <w:pStyle w:val="20"/>
        <w:rPr>
          <w:rFonts w:ascii="宋体" w:hAnsi="宋体" w:cs="宋体"/>
          <w:sz w:val="24"/>
          <w:szCs w:val="36"/>
        </w:rPr>
      </w:pPr>
    </w:p>
    <w:p w14:paraId="7AC06D44">
      <w:pPr>
        <w:pStyle w:val="2"/>
        <w:ind w:firstLine="0" w:firstLineChars="0"/>
        <w:rPr>
          <w:rFonts w:ascii="宋体" w:hAnsi="宋体" w:cs="宋体"/>
          <w:sz w:val="24"/>
        </w:rPr>
      </w:pPr>
    </w:p>
    <w:p w14:paraId="6F7C2A99">
      <w:pPr>
        <w:pStyle w:val="2"/>
        <w:ind w:firstLine="0" w:firstLineChars="0"/>
        <w:rPr>
          <w:rFonts w:ascii="宋体" w:hAnsi="宋体" w:cs="宋体"/>
          <w:sz w:val="24"/>
        </w:rPr>
      </w:pPr>
    </w:p>
    <w:p w14:paraId="2671776E">
      <w:pPr>
        <w:pStyle w:val="2"/>
        <w:ind w:firstLine="0" w:firstLineChars="0"/>
        <w:rPr>
          <w:rFonts w:ascii="宋体" w:hAnsi="宋体" w:cs="宋体"/>
          <w:sz w:val="24"/>
        </w:rPr>
      </w:pPr>
    </w:p>
    <w:p w14:paraId="4452B15E">
      <w:pPr>
        <w:pStyle w:val="2"/>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5"/>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20"/>
        <w:rPr>
          <w:rFonts w:hint="eastAsia"/>
        </w:rPr>
      </w:pPr>
    </w:p>
    <w:p w14:paraId="4B277204">
      <w:pPr>
        <w:pStyle w:val="20"/>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监测服务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7"/>
        <w:rPr>
          <w:rFonts w:hint="eastAsia"/>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1"/>
        <w:tblW w:w="9261" w:type="dxa"/>
        <w:jc w:val="center"/>
        <w:tblLayout w:type="fixed"/>
        <w:tblCellMar>
          <w:top w:w="0" w:type="dxa"/>
          <w:left w:w="108" w:type="dxa"/>
          <w:bottom w:w="0" w:type="dxa"/>
          <w:right w:w="108" w:type="dxa"/>
        </w:tblCellMar>
      </w:tblPr>
      <w:tblGrid>
        <w:gridCol w:w="712"/>
        <w:gridCol w:w="2982"/>
        <w:gridCol w:w="915"/>
        <w:gridCol w:w="870"/>
        <w:gridCol w:w="1140"/>
        <w:gridCol w:w="1380"/>
        <w:gridCol w:w="1262"/>
      </w:tblGrid>
      <w:tr w14:paraId="744EC8D1">
        <w:tblPrEx>
          <w:tblCellMar>
            <w:top w:w="0" w:type="dxa"/>
            <w:left w:w="108" w:type="dxa"/>
            <w:bottom w:w="0" w:type="dxa"/>
            <w:right w:w="108" w:type="dxa"/>
          </w:tblCellMar>
        </w:tblPrEx>
        <w:trPr>
          <w:trHeight w:val="777" w:hRule="atLeast"/>
          <w:jc w:val="center"/>
        </w:trPr>
        <w:tc>
          <w:tcPr>
            <w:tcW w:w="712" w:type="dxa"/>
            <w:tcBorders>
              <w:top w:val="single" w:color="auto" w:sz="8" w:space="0"/>
              <w:left w:val="single" w:color="auto" w:sz="8" w:space="0"/>
              <w:bottom w:val="single" w:color="auto" w:sz="4" w:space="0"/>
              <w:right w:val="single" w:color="auto" w:sz="4" w:space="0"/>
            </w:tcBorders>
            <w:shd w:val="clear" w:color="auto" w:fill="auto"/>
            <w:vAlign w:val="center"/>
          </w:tcPr>
          <w:p w14:paraId="4A43A605">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序号</w:t>
            </w:r>
          </w:p>
        </w:tc>
        <w:tc>
          <w:tcPr>
            <w:tcW w:w="2982" w:type="dxa"/>
            <w:tcBorders>
              <w:top w:val="single" w:color="auto" w:sz="8" w:space="0"/>
              <w:left w:val="nil"/>
              <w:bottom w:val="single" w:color="auto" w:sz="4" w:space="0"/>
              <w:right w:val="single" w:color="auto" w:sz="4" w:space="0"/>
            </w:tcBorders>
            <w:shd w:val="clear" w:color="auto" w:fill="auto"/>
            <w:vAlign w:val="center"/>
          </w:tcPr>
          <w:p w14:paraId="53024AE2">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915" w:type="dxa"/>
            <w:tcBorders>
              <w:top w:val="single" w:color="auto" w:sz="8" w:space="0"/>
              <w:left w:val="nil"/>
              <w:bottom w:val="single" w:color="auto" w:sz="4" w:space="0"/>
              <w:right w:val="single" w:color="auto" w:sz="4" w:space="0"/>
            </w:tcBorders>
            <w:shd w:val="clear" w:color="auto" w:fill="auto"/>
            <w:noWrap/>
            <w:vAlign w:val="center"/>
          </w:tcPr>
          <w:p w14:paraId="05B5FAE7">
            <w:pPr>
              <w:widowControl/>
              <w:jc w:val="center"/>
              <w:rPr>
                <w:rFonts w:ascii="宋体" w:hAnsi="宋体" w:cs="宋体"/>
                <w:b/>
                <w:bCs/>
                <w:kern w:val="0"/>
                <w:sz w:val="24"/>
                <w:szCs w:val="24"/>
              </w:rPr>
            </w:pPr>
            <w:r>
              <w:rPr>
                <w:rFonts w:hint="eastAsia" w:ascii="宋体" w:hAnsi="宋体" w:cs="宋体"/>
                <w:b/>
                <w:bCs/>
                <w:kern w:val="0"/>
                <w:sz w:val="24"/>
                <w:szCs w:val="24"/>
              </w:rPr>
              <w:t>单位</w:t>
            </w:r>
          </w:p>
        </w:tc>
        <w:tc>
          <w:tcPr>
            <w:tcW w:w="870" w:type="dxa"/>
            <w:tcBorders>
              <w:top w:val="single" w:color="auto" w:sz="8" w:space="0"/>
              <w:left w:val="nil"/>
              <w:bottom w:val="single" w:color="auto" w:sz="4" w:space="0"/>
              <w:right w:val="single" w:color="auto" w:sz="4" w:space="0"/>
            </w:tcBorders>
            <w:shd w:val="clear" w:color="auto" w:fill="auto"/>
            <w:vAlign w:val="center"/>
          </w:tcPr>
          <w:p w14:paraId="392FC730">
            <w:pPr>
              <w:widowControl/>
              <w:jc w:val="center"/>
              <w:rPr>
                <w:rFonts w:ascii="宋体" w:hAnsi="宋体" w:cs="宋体"/>
                <w:b/>
                <w:bCs/>
                <w:kern w:val="0"/>
                <w:sz w:val="24"/>
                <w:szCs w:val="24"/>
              </w:rPr>
            </w:pPr>
            <w:r>
              <w:rPr>
                <w:rFonts w:hint="eastAsia" w:ascii="宋体" w:hAnsi="宋体" w:cs="宋体"/>
                <w:b/>
                <w:bCs/>
                <w:kern w:val="0"/>
                <w:sz w:val="24"/>
                <w:szCs w:val="24"/>
              </w:rPr>
              <w:t>点数</w:t>
            </w:r>
          </w:p>
        </w:tc>
        <w:tc>
          <w:tcPr>
            <w:tcW w:w="1140" w:type="dxa"/>
            <w:tcBorders>
              <w:top w:val="single" w:color="auto" w:sz="8" w:space="0"/>
              <w:left w:val="nil"/>
              <w:bottom w:val="single" w:color="auto" w:sz="4" w:space="0"/>
              <w:right w:val="single" w:color="auto" w:sz="4" w:space="0"/>
            </w:tcBorders>
            <w:shd w:val="clear" w:color="auto" w:fill="auto"/>
            <w:vAlign w:val="center"/>
          </w:tcPr>
          <w:p w14:paraId="1855B35A">
            <w:pPr>
              <w:widowControl/>
              <w:jc w:val="center"/>
              <w:rPr>
                <w:rFonts w:ascii="宋体" w:hAnsi="宋体" w:cs="宋体"/>
                <w:b/>
                <w:bCs/>
                <w:kern w:val="0"/>
                <w:sz w:val="24"/>
                <w:szCs w:val="24"/>
              </w:rPr>
            </w:pPr>
            <w:r>
              <w:rPr>
                <w:rFonts w:hint="eastAsia" w:ascii="宋体" w:hAnsi="宋体" w:cs="宋体"/>
                <w:b/>
                <w:bCs/>
                <w:kern w:val="0"/>
                <w:sz w:val="24"/>
                <w:szCs w:val="24"/>
              </w:rPr>
              <w:t>监测次数(次）</w:t>
            </w:r>
          </w:p>
        </w:tc>
        <w:tc>
          <w:tcPr>
            <w:tcW w:w="1380" w:type="dxa"/>
            <w:tcBorders>
              <w:top w:val="single" w:color="auto" w:sz="8" w:space="0"/>
              <w:left w:val="nil"/>
              <w:bottom w:val="single" w:color="auto" w:sz="4" w:space="0"/>
              <w:right w:val="single" w:color="auto" w:sz="4" w:space="0"/>
            </w:tcBorders>
            <w:shd w:val="clear" w:color="auto" w:fill="auto"/>
            <w:vAlign w:val="center"/>
          </w:tcPr>
          <w:p w14:paraId="0A3A540E">
            <w:pPr>
              <w:widowControl/>
              <w:jc w:val="center"/>
              <w:rPr>
                <w:rFonts w:ascii="宋体" w:hAnsi="宋体" w:cs="宋体"/>
                <w:b/>
                <w:bCs/>
                <w:kern w:val="0"/>
                <w:sz w:val="24"/>
                <w:szCs w:val="24"/>
              </w:rPr>
            </w:pPr>
            <w:r>
              <w:rPr>
                <w:rFonts w:hint="eastAsia" w:ascii="宋体" w:hAnsi="宋体" w:cs="宋体"/>
                <w:b/>
                <w:bCs/>
                <w:kern w:val="0"/>
                <w:sz w:val="24"/>
                <w:szCs w:val="24"/>
              </w:rPr>
              <w:t xml:space="preserve"> 综合单价(元) </w:t>
            </w:r>
          </w:p>
        </w:tc>
        <w:tc>
          <w:tcPr>
            <w:tcW w:w="1262" w:type="dxa"/>
            <w:tcBorders>
              <w:top w:val="single" w:color="auto" w:sz="8" w:space="0"/>
              <w:left w:val="nil"/>
              <w:bottom w:val="single" w:color="auto" w:sz="4" w:space="0"/>
              <w:right w:val="single" w:color="auto" w:sz="8" w:space="0"/>
            </w:tcBorders>
            <w:shd w:val="clear" w:color="auto" w:fill="auto"/>
            <w:vAlign w:val="center"/>
          </w:tcPr>
          <w:p w14:paraId="7286D6F0">
            <w:pPr>
              <w:widowControl/>
              <w:jc w:val="center"/>
              <w:rPr>
                <w:rFonts w:ascii="宋体" w:hAnsi="宋体" w:cs="宋体"/>
                <w:b/>
                <w:bCs/>
                <w:kern w:val="0"/>
                <w:sz w:val="24"/>
                <w:szCs w:val="24"/>
                <w:highlight w:val="yellow"/>
              </w:rPr>
            </w:pPr>
            <w:r>
              <w:rPr>
                <w:rFonts w:hint="eastAsia" w:ascii="宋体" w:hAnsi="宋体" w:cs="宋体"/>
                <w:b/>
                <w:bCs/>
                <w:kern w:val="0"/>
                <w:sz w:val="24"/>
                <w:szCs w:val="24"/>
                <w:highlight w:val="none"/>
              </w:rPr>
              <w:t>合价（元）</w:t>
            </w:r>
          </w:p>
        </w:tc>
      </w:tr>
      <w:tr w14:paraId="06C9FF43">
        <w:tblPrEx>
          <w:tblCellMar>
            <w:top w:w="0" w:type="dxa"/>
            <w:left w:w="108" w:type="dxa"/>
            <w:bottom w:w="0" w:type="dxa"/>
            <w:right w:w="108" w:type="dxa"/>
          </w:tblCellMar>
        </w:tblPrEx>
        <w:trPr>
          <w:trHeight w:val="553"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101DED2C">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一</w:t>
            </w:r>
          </w:p>
        </w:tc>
        <w:tc>
          <w:tcPr>
            <w:tcW w:w="2982" w:type="dxa"/>
            <w:tcBorders>
              <w:top w:val="nil"/>
              <w:left w:val="nil"/>
              <w:bottom w:val="single" w:color="auto" w:sz="4" w:space="0"/>
              <w:right w:val="single" w:color="auto" w:sz="4" w:space="0"/>
            </w:tcBorders>
            <w:shd w:val="clear" w:color="auto" w:fill="auto"/>
            <w:vAlign w:val="center"/>
          </w:tcPr>
          <w:p w14:paraId="15E07D44">
            <w:pPr>
              <w:widowControl/>
              <w:jc w:val="center"/>
              <w:rPr>
                <w:rFonts w:ascii="宋体" w:hAnsi="宋体" w:cs="宋体"/>
                <w:color w:val="000000"/>
                <w:kern w:val="0"/>
                <w:sz w:val="24"/>
                <w:szCs w:val="24"/>
              </w:rPr>
            </w:pPr>
            <w:r>
              <w:rPr>
                <w:rFonts w:hint="eastAsia" w:ascii="宋体" w:hAnsi="宋体" w:cs="宋体"/>
                <w:color w:val="000000"/>
                <w:kern w:val="0"/>
                <w:sz w:val="24"/>
                <w:szCs w:val="24"/>
              </w:rPr>
              <w:t>监测点埋设</w:t>
            </w:r>
          </w:p>
        </w:tc>
        <w:tc>
          <w:tcPr>
            <w:tcW w:w="915" w:type="dxa"/>
            <w:tcBorders>
              <w:top w:val="nil"/>
              <w:left w:val="nil"/>
              <w:bottom w:val="single" w:color="auto" w:sz="4" w:space="0"/>
              <w:right w:val="single" w:color="auto" w:sz="4" w:space="0"/>
            </w:tcBorders>
            <w:shd w:val="clear" w:color="auto" w:fill="auto"/>
            <w:noWrap/>
            <w:vAlign w:val="center"/>
          </w:tcPr>
          <w:p w14:paraId="1F5D7202">
            <w:pPr>
              <w:widowControl/>
              <w:jc w:val="center"/>
              <w:rPr>
                <w:rFonts w:ascii="宋体" w:hAnsi="宋体" w:cs="宋体"/>
                <w:color w:val="000000"/>
                <w:kern w:val="0"/>
                <w:sz w:val="24"/>
                <w:szCs w:val="24"/>
              </w:rPr>
            </w:pPr>
          </w:p>
        </w:tc>
        <w:tc>
          <w:tcPr>
            <w:tcW w:w="870" w:type="dxa"/>
            <w:tcBorders>
              <w:top w:val="nil"/>
              <w:left w:val="nil"/>
              <w:bottom w:val="single" w:color="auto" w:sz="4" w:space="0"/>
              <w:right w:val="single" w:color="auto" w:sz="4" w:space="0"/>
            </w:tcBorders>
            <w:shd w:val="clear" w:color="auto" w:fill="auto"/>
            <w:noWrap/>
            <w:vAlign w:val="center"/>
          </w:tcPr>
          <w:p w14:paraId="5D90699F">
            <w:pPr>
              <w:widowControl/>
              <w:jc w:val="center"/>
              <w:rPr>
                <w:rFonts w:ascii="宋体" w:hAnsi="宋体" w:cs="宋体"/>
                <w:color w:val="000000"/>
                <w:kern w:val="0"/>
                <w:sz w:val="24"/>
                <w:szCs w:val="24"/>
              </w:rPr>
            </w:pPr>
          </w:p>
        </w:tc>
        <w:tc>
          <w:tcPr>
            <w:tcW w:w="1140" w:type="dxa"/>
            <w:tcBorders>
              <w:top w:val="nil"/>
              <w:left w:val="nil"/>
              <w:bottom w:val="single" w:color="auto" w:sz="4" w:space="0"/>
              <w:right w:val="single" w:color="auto" w:sz="4" w:space="0"/>
            </w:tcBorders>
            <w:shd w:val="clear" w:color="auto" w:fill="auto"/>
            <w:noWrap/>
            <w:vAlign w:val="center"/>
          </w:tcPr>
          <w:p w14:paraId="4ACC351F">
            <w:pPr>
              <w:widowControl/>
              <w:jc w:val="center"/>
              <w:rPr>
                <w:rFonts w:ascii="宋体" w:hAnsi="宋体" w:cs="宋体"/>
                <w:color w:val="000000"/>
                <w:kern w:val="0"/>
                <w:sz w:val="24"/>
                <w:szCs w:val="24"/>
              </w:rPr>
            </w:pPr>
          </w:p>
        </w:tc>
        <w:tc>
          <w:tcPr>
            <w:tcW w:w="1380" w:type="dxa"/>
            <w:tcBorders>
              <w:top w:val="nil"/>
              <w:left w:val="nil"/>
              <w:bottom w:val="single" w:color="auto" w:sz="4" w:space="0"/>
              <w:right w:val="single" w:color="auto" w:sz="4" w:space="0"/>
            </w:tcBorders>
            <w:shd w:val="clear" w:color="auto" w:fill="auto"/>
            <w:noWrap/>
            <w:vAlign w:val="center"/>
          </w:tcPr>
          <w:p w14:paraId="03C10482">
            <w:pPr>
              <w:widowControl/>
              <w:rPr>
                <w:rFonts w:ascii="宋体" w:hAnsi="宋体" w:cs="宋体"/>
                <w:color w:val="000000"/>
                <w:kern w:val="0"/>
                <w:sz w:val="24"/>
                <w:szCs w:val="24"/>
              </w:rPr>
            </w:pPr>
            <w:r>
              <w:rPr>
                <w:rFonts w:hint="eastAsia" w:ascii="宋体" w:hAnsi="宋体" w:cs="宋体"/>
                <w:color w:val="000000"/>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561AB5C9">
            <w:pPr>
              <w:widowControl/>
              <w:rPr>
                <w:rFonts w:ascii="宋体" w:hAnsi="宋体" w:cs="宋体"/>
                <w:color w:val="000000"/>
                <w:kern w:val="0"/>
                <w:sz w:val="24"/>
                <w:szCs w:val="24"/>
                <w:highlight w:val="yellow"/>
              </w:rPr>
            </w:pPr>
          </w:p>
        </w:tc>
      </w:tr>
      <w:tr w14:paraId="6396C89F">
        <w:tblPrEx>
          <w:tblCellMar>
            <w:top w:w="0" w:type="dxa"/>
            <w:left w:w="108" w:type="dxa"/>
            <w:bottom w:w="0" w:type="dxa"/>
            <w:right w:w="108" w:type="dxa"/>
          </w:tblCellMar>
        </w:tblPrEx>
        <w:trPr>
          <w:trHeight w:val="684"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4CB32363">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982" w:type="dxa"/>
            <w:tcBorders>
              <w:top w:val="nil"/>
              <w:left w:val="nil"/>
              <w:bottom w:val="single" w:color="auto" w:sz="4" w:space="0"/>
              <w:right w:val="single" w:color="auto" w:sz="4" w:space="0"/>
            </w:tcBorders>
            <w:shd w:val="clear" w:color="auto" w:fill="auto"/>
            <w:vAlign w:val="center"/>
          </w:tcPr>
          <w:p w14:paraId="6E6C6244">
            <w:pPr>
              <w:widowControl/>
              <w:jc w:val="center"/>
              <w:rPr>
                <w:rFonts w:ascii="宋体" w:hAnsi="宋体" w:cs="宋体"/>
                <w:kern w:val="0"/>
                <w:sz w:val="24"/>
                <w:szCs w:val="24"/>
              </w:rPr>
            </w:pPr>
            <w:r>
              <w:rPr>
                <w:rFonts w:hint="eastAsia" w:ascii="宋体" w:hAnsi="宋体" w:cs="宋体"/>
                <w:kern w:val="0"/>
                <w:sz w:val="24"/>
                <w:szCs w:val="24"/>
              </w:rPr>
              <w:t>水平&amp;沉降基准点</w:t>
            </w:r>
          </w:p>
        </w:tc>
        <w:tc>
          <w:tcPr>
            <w:tcW w:w="915" w:type="dxa"/>
            <w:tcBorders>
              <w:top w:val="nil"/>
              <w:left w:val="nil"/>
              <w:bottom w:val="single" w:color="auto" w:sz="4" w:space="0"/>
              <w:right w:val="single" w:color="auto" w:sz="4" w:space="0"/>
            </w:tcBorders>
            <w:shd w:val="clear" w:color="auto" w:fill="auto"/>
            <w:noWrap/>
            <w:vAlign w:val="center"/>
          </w:tcPr>
          <w:p w14:paraId="2FE7BF60">
            <w:pPr>
              <w:widowControl/>
              <w:jc w:val="center"/>
              <w:rPr>
                <w:rFonts w:ascii="宋体" w:hAnsi="宋体" w:cs="宋体"/>
                <w:kern w:val="0"/>
                <w:sz w:val="24"/>
                <w:szCs w:val="24"/>
              </w:rPr>
            </w:pPr>
            <w:r>
              <w:rPr>
                <w:rFonts w:hint="eastAsia" w:ascii="宋体" w:hAnsi="宋体" w:cs="宋体"/>
                <w:kern w:val="0"/>
                <w:sz w:val="24"/>
                <w:szCs w:val="24"/>
              </w:rPr>
              <w:t>点</w:t>
            </w:r>
          </w:p>
        </w:tc>
        <w:tc>
          <w:tcPr>
            <w:tcW w:w="870" w:type="dxa"/>
            <w:tcBorders>
              <w:top w:val="nil"/>
              <w:left w:val="nil"/>
              <w:bottom w:val="single" w:color="auto" w:sz="4" w:space="0"/>
              <w:right w:val="single" w:color="auto" w:sz="4" w:space="0"/>
            </w:tcBorders>
            <w:shd w:val="clear" w:color="auto" w:fill="auto"/>
            <w:noWrap/>
            <w:vAlign w:val="center"/>
          </w:tcPr>
          <w:p w14:paraId="1DE8F41D">
            <w:pPr>
              <w:widowControl/>
              <w:jc w:val="center"/>
              <w:rPr>
                <w:rFonts w:ascii="宋体" w:hAnsi="宋体" w:cs="宋体"/>
                <w:kern w:val="0"/>
                <w:sz w:val="24"/>
                <w:szCs w:val="24"/>
              </w:rPr>
            </w:pPr>
            <w:r>
              <w:rPr>
                <w:rFonts w:hint="eastAsia" w:ascii="宋体" w:hAnsi="宋体" w:cs="宋体"/>
                <w:kern w:val="0"/>
                <w:sz w:val="24"/>
                <w:szCs w:val="24"/>
              </w:rPr>
              <w:t>3</w:t>
            </w:r>
          </w:p>
        </w:tc>
        <w:tc>
          <w:tcPr>
            <w:tcW w:w="1140" w:type="dxa"/>
            <w:tcBorders>
              <w:top w:val="nil"/>
              <w:left w:val="nil"/>
              <w:bottom w:val="single" w:color="auto" w:sz="4" w:space="0"/>
              <w:right w:val="single" w:color="auto" w:sz="4" w:space="0"/>
            </w:tcBorders>
            <w:shd w:val="clear" w:color="auto" w:fill="auto"/>
            <w:noWrap/>
            <w:vAlign w:val="center"/>
          </w:tcPr>
          <w:p w14:paraId="4510BA3A">
            <w:pPr>
              <w:widowControl/>
              <w:jc w:val="center"/>
              <w:rPr>
                <w:rFonts w:ascii="宋体" w:hAnsi="宋体" w:cs="宋体"/>
                <w:kern w:val="0"/>
                <w:sz w:val="24"/>
                <w:szCs w:val="24"/>
              </w:rPr>
            </w:pPr>
            <w:r>
              <w:rPr>
                <w:rFonts w:hint="eastAsia" w:ascii="宋体" w:hAnsi="宋体" w:cs="宋体"/>
                <w:kern w:val="0"/>
                <w:sz w:val="24"/>
                <w:szCs w:val="24"/>
              </w:rPr>
              <w:t>/</w:t>
            </w:r>
          </w:p>
        </w:tc>
        <w:tc>
          <w:tcPr>
            <w:tcW w:w="1380" w:type="dxa"/>
            <w:tcBorders>
              <w:top w:val="nil"/>
              <w:left w:val="nil"/>
              <w:bottom w:val="single" w:color="auto" w:sz="4" w:space="0"/>
              <w:right w:val="single" w:color="auto" w:sz="4" w:space="0"/>
            </w:tcBorders>
            <w:shd w:val="clear" w:color="auto" w:fill="auto"/>
            <w:noWrap/>
            <w:vAlign w:val="center"/>
          </w:tcPr>
          <w:p w14:paraId="4E7D0668">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36BCA5D0">
            <w:pPr>
              <w:widowControl/>
              <w:rPr>
                <w:rFonts w:ascii="宋体" w:hAnsi="宋体" w:cs="宋体"/>
                <w:kern w:val="0"/>
                <w:sz w:val="24"/>
                <w:szCs w:val="24"/>
                <w:highlight w:val="yellow"/>
              </w:rPr>
            </w:pPr>
          </w:p>
        </w:tc>
      </w:tr>
      <w:tr w14:paraId="1A4D72A8">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5DB685B1">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2982" w:type="dxa"/>
            <w:tcBorders>
              <w:top w:val="nil"/>
              <w:left w:val="nil"/>
              <w:bottom w:val="single" w:color="auto" w:sz="4" w:space="0"/>
              <w:right w:val="single" w:color="auto" w:sz="4" w:space="0"/>
            </w:tcBorders>
            <w:shd w:val="clear" w:color="auto" w:fill="auto"/>
            <w:vAlign w:val="center"/>
          </w:tcPr>
          <w:p w14:paraId="77FA13D1">
            <w:pPr>
              <w:widowControl/>
              <w:jc w:val="center"/>
              <w:rPr>
                <w:rFonts w:ascii="宋体" w:hAnsi="宋体" w:cs="宋体"/>
                <w:kern w:val="0"/>
                <w:sz w:val="24"/>
                <w:szCs w:val="24"/>
              </w:rPr>
            </w:pPr>
            <w:r>
              <w:rPr>
                <w:rFonts w:hint="eastAsia" w:ascii="宋体" w:hAnsi="宋体" w:cs="宋体"/>
                <w:kern w:val="0"/>
                <w:sz w:val="24"/>
                <w:szCs w:val="24"/>
              </w:rPr>
              <w:t>周边建筑物水平&amp;竖向位移</w:t>
            </w:r>
          </w:p>
        </w:tc>
        <w:tc>
          <w:tcPr>
            <w:tcW w:w="915" w:type="dxa"/>
            <w:tcBorders>
              <w:top w:val="nil"/>
              <w:left w:val="nil"/>
              <w:bottom w:val="single" w:color="auto" w:sz="4" w:space="0"/>
              <w:right w:val="single" w:color="auto" w:sz="4" w:space="0"/>
            </w:tcBorders>
            <w:shd w:val="clear" w:color="auto" w:fill="auto"/>
            <w:noWrap/>
            <w:vAlign w:val="center"/>
          </w:tcPr>
          <w:p w14:paraId="3363C3D9">
            <w:pPr>
              <w:widowControl/>
              <w:jc w:val="center"/>
              <w:rPr>
                <w:rFonts w:ascii="宋体" w:hAnsi="宋体" w:cs="宋体"/>
                <w:kern w:val="0"/>
                <w:sz w:val="24"/>
                <w:szCs w:val="24"/>
              </w:rPr>
            </w:pPr>
            <w:r>
              <w:rPr>
                <w:rFonts w:hint="eastAsia" w:ascii="宋体" w:hAnsi="宋体" w:cs="宋体"/>
                <w:kern w:val="0"/>
                <w:sz w:val="24"/>
                <w:szCs w:val="24"/>
              </w:rPr>
              <w:t>点</w:t>
            </w:r>
          </w:p>
        </w:tc>
        <w:tc>
          <w:tcPr>
            <w:tcW w:w="870" w:type="dxa"/>
            <w:tcBorders>
              <w:top w:val="nil"/>
              <w:left w:val="nil"/>
              <w:bottom w:val="single" w:color="auto" w:sz="4" w:space="0"/>
              <w:right w:val="single" w:color="auto" w:sz="4" w:space="0"/>
            </w:tcBorders>
            <w:shd w:val="clear" w:color="auto" w:fill="auto"/>
            <w:noWrap/>
            <w:vAlign w:val="center"/>
          </w:tcPr>
          <w:p w14:paraId="74C2CDFC">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34AF63E0">
            <w:pPr>
              <w:widowControl/>
              <w:jc w:val="center"/>
              <w:rPr>
                <w:rFonts w:ascii="宋体" w:hAnsi="宋体" w:cs="宋体"/>
                <w:kern w:val="0"/>
                <w:sz w:val="24"/>
                <w:szCs w:val="24"/>
              </w:rPr>
            </w:pPr>
            <w:r>
              <w:rPr>
                <w:rFonts w:hint="eastAsia" w:ascii="宋体" w:hAnsi="宋体" w:cs="宋体"/>
                <w:kern w:val="0"/>
                <w:sz w:val="24"/>
                <w:szCs w:val="24"/>
              </w:rPr>
              <w:t>/</w:t>
            </w:r>
          </w:p>
        </w:tc>
        <w:tc>
          <w:tcPr>
            <w:tcW w:w="1380" w:type="dxa"/>
            <w:tcBorders>
              <w:top w:val="nil"/>
              <w:left w:val="nil"/>
              <w:bottom w:val="single" w:color="auto" w:sz="4" w:space="0"/>
              <w:right w:val="single" w:color="auto" w:sz="4" w:space="0"/>
            </w:tcBorders>
            <w:shd w:val="clear" w:color="auto" w:fill="auto"/>
            <w:noWrap/>
            <w:vAlign w:val="center"/>
          </w:tcPr>
          <w:p w14:paraId="2C3D381A">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30C320B5">
            <w:pPr>
              <w:widowControl/>
              <w:rPr>
                <w:rFonts w:ascii="宋体" w:hAnsi="宋体" w:cs="宋体"/>
                <w:kern w:val="0"/>
                <w:sz w:val="24"/>
                <w:szCs w:val="24"/>
                <w:highlight w:val="yellow"/>
              </w:rPr>
            </w:pPr>
          </w:p>
        </w:tc>
      </w:tr>
      <w:tr w14:paraId="440FF70F">
        <w:tblPrEx>
          <w:tblCellMar>
            <w:top w:w="0" w:type="dxa"/>
            <w:left w:w="108" w:type="dxa"/>
            <w:bottom w:w="0" w:type="dxa"/>
            <w:right w:w="108" w:type="dxa"/>
          </w:tblCellMar>
        </w:tblPrEx>
        <w:trPr>
          <w:trHeight w:val="511"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2FD3651B">
            <w:pPr>
              <w:widowControl/>
              <w:jc w:val="center"/>
              <w:rPr>
                <w:rFonts w:ascii="宋体" w:hAnsi="宋体" w:cs="宋体"/>
                <w:kern w:val="0"/>
                <w:sz w:val="24"/>
                <w:szCs w:val="24"/>
                <w:highlight w:val="none"/>
              </w:rPr>
            </w:pPr>
            <w:r>
              <w:rPr>
                <w:rFonts w:hint="eastAsia" w:ascii="宋体" w:hAnsi="宋体" w:cs="宋体"/>
                <w:kern w:val="0"/>
                <w:sz w:val="24"/>
                <w:szCs w:val="24"/>
                <w:highlight w:val="none"/>
              </w:rPr>
              <w:t>二</w:t>
            </w:r>
          </w:p>
        </w:tc>
        <w:tc>
          <w:tcPr>
            <w:tcW w:w="2982" w:type="dxa"/>
            <w:tcBorders>
              <w:top w:val="nil"/>
              <w:left w:val="nil"/>
              <w:bottom w:val="single" w:color="auto" w:sz="4" w:space="0"/>
              <w:right w:val="single" w:color="auto" w:sz="4" w:space="0"/>
            </w:tcBorders>
            <w:shd w:val="clear" w:color="auto" w:fill="auto"/>
            <w:vAlign w:val="center"/>
          </w:tcPr>
          <w:p w14:paraId="70360032">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rPr>
              <w:t>监测</w:t>
            </w:r>
            <w:r>
              <w:rPr>
                <w:rFonts w:hint="eastAsia" w:ascii="宋体" w:hAnsi="宋体" w:cs="宋体"/>
                <w:kern w:val="0"/>
                <w:sz w:val="24"/>
                <w:szCs w:val="24"/>
                <w:lang w:eastAsia="zh-CN"/>
              </w:rPr>
              <w:t>项目</w:t>
            </w:r>
          </w:p>
        </w:tc>
        <w:tc>
          <w:tcPr>
            <w:tcW w:w="915" w:type="dxa"/>
            <w:tcBorders>
              <w:top w:val="nil"/>
              <w:left w:val="nil"/>
              <w:bottom w:val="single" w:color="auto" w:sz="4" w:space="0"/>
              <w:right w:val="single" w:color="auto" w:sz="4" w:space="0"/>
            </w:tcBorders>
            <w:shd w:val="clear" w:color="auto" w:fill="auto"/>
            <w:noWrap/>
            <w:vAlign w:val="center"/>
          </w:tcPr>
          <w:p w14:paraId="546B21A3">
            <w:pPr>
              <w:widowControl/>
              <w:jc w:val="center"/>
              <w:rPr>
                <w:rFonts w:ascii="宋体" w:hAnsi="宋体" w:cs="宋体"/>
                <w:kern w:val="0"/>
                <w:sz w:val="24"/>
                <w:szCs w:val="24"/>
              </w:rPr>
            </w:pPr>
          </w:p>
        </w:tc>
        <w:tc>
          <w:tcPr>
            <w:tcW w:w="870" w:type="dxa"/>
            <w:tcBorders>
              <w:top w:val="nil"/>
              <w:left w:val="nil"/>
              <w:bottom w:val="single" w:color="auto" w:sz="4" w:space="0"/>
              <w:right w:val="single" w:color="auto" w:sz="4" w:space="0"/>
            </w:tcBorders>
            <w:shd w:val="clear" w:color="auto" w:fill="auto"/>
            <w:noWrap/>
            <w:vAlign w:val="center"/>
          </w:tcPr>
          <w:p w14:paraId="76ED30E9">
            <w:pPr>
              <w:widowControl/>
              <w:jc w:val="center"/>
              <w:rPr>
                <w:rFonts w:ascii="宋体" w:hAnsi="宋体" w:cs="宋体"/>
                <w:kern w:val="0"/>
                <w:sz w:val="24"/>
                <w:szCs w:val="24"/>
              </w:rPr>
            </w:pPr>
          </w:p>
        </w:tc>
        <w:tc>
          <w:tcPr>
            <w:tcW w:w="1140" w:type="dxa"/>
            <w:tcBorders>
              <w:top w:val="nil"/>
              <w:left w:val="nil"/>
              <w:bottom w:val="single" w:color="auto" w:sz="4" w:space="0"/>
              <w:right w:val="single" w:color="auto" w:sz="4" w:space="0"/>
            </w:tcBorders>
            <w:shd w:val="clear" w:color="auto" w:fill="auto"/>
            <w:noWrap/>
            <w:vAlign w:val="center"/>
          </w:tcPr>
          <w:p w14:paraId="41A3503E">
            <w:pPr>
              <w:widowControl/>
              <w:jc w:val="center"/>
              <w:rPr>
                <w:rFonts w:ascii="宋体" w:hAnsi="宋体" w:cs="宋体"/>
                <w:kern w:val="0"/>
                <w:sz w:val="24"/>
                <w:szCs w:val="24"/>
              </w:rPr>
            </w:pPr>
          </w:p>
        </w:tc>
        <w:tc>
          <w:tcPr>
            <w:tcW w:w="1380" w:type="dxa"/>
            <w:tcBorders>
              <w:top w:val="nil"/>
              <w:left w:val="nil"/>
              <w:bottom w:val="single" w:color="auto" w:sz="4" w:space="0"/>
              <w:right w:val="single" w:color="auto" w:sz="4" w:space="0"/>
            </w:tcBorders>
            <w:shd w:val="clear" w:color="auto" w:fill="auto"/>
            <w:noWrap/>
            <w:vAlign w:val="center"/>
          </w:tcPr>
          <w:p w14:paraId="2113F91D">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5CDBB158">
            <w:pPr>
              <w:widowControl/>
              <w:rPr>
                <w:rFonts w:ascii="宋体" w:hAnsi="宋体" w:cs="宋体"/>
                <w:kern w:val="0"/>
                <w:sz w:val="24"/>
                <w:szCs w:val="24"/>
                <w:highlight w:val="yellow"/>
              </w:rPr>
            </w:pPr>
          </w:p>
        </w:tc>
      </w:tr>
      <w:tr w14:paraId="347271D6">
        <w:tblPrEx>
          <w:tblCellMar>
            <w:top w:w="0" w:type="dxa"/>
            <w:left w:w="108" w:type="dxa"/>
            <w:bottom w:w="0" w:type="dxa"/>
            <w:right w:w="108" w:type="dxa"/>
          </w:tblCellMar>
        </w:tblPrEx>
        <w:trPr>
          <w:trHeight w:val="697"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47D1C80C">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982" w:type="dxa"/>
            <w:tcBorders>
              <w:top w:val="nil"/>
              <w:left w:val="nil"/>
              <w:bottom w:val="single" w:color="auto" w:sz="4" w:space="0"/>
              <w:right w:val="single" w:color="auto" w:sz="4" w:space="0"/>
            </w:tcBorders>
            <w:shd w:val="clear" w:color="auto" w:fill="auto"/>
            <w:vAlign w:val="center"/>
          </w:tcPr>
          <w:p w14:paraId="4B31C869">
            <w:pPr>
              <w:widowControl/>
              <w:jc w:val="center"/>
              <w:rPr>
                <w:rFonts w:ascii="宋体" w:hAnsi="宋体" w:cs="宋体"/>
                <w:kern w:val="0"/>
                <w:sz w:val="24"/>
                <w:szCs w:val="24"/>
              </w:rPr>
            </w:pPr>
            <w:r>
              <w:rPr>
                <w:rFonts w:hint="eastAsia" w:ascii="宋体" w:hAnsi="宋体" w:cs="宋体"/>
                <w:kern w:val="0"/>
                <w:sz w:val="24"/>
                <w:szCs w:val="24"/>
              </w:rPr>
              <w:t>水平&amp;高程基准网点监测</w:t>
            </w:r>
          </w:p>
        </w:tc>
        <w:tc>
          <w:tcPr>
            <w:tcW w:w="915" w:type="dxa"/>
            <w:tcBorders>
              <w:top w:val="nil"/>
              <w:left w:val="nil"/>
              <w:bottom w:val="single" w:color="auto" w:sz="4" w:space="0"/>
              <w:right w:val="single" w:color="auto" w:sz="4" w:space="0"/>
            </w:tcBorders>
            <w:shd w:val="clear" w:color="auto" w:fill="auto"/>
            <w:noWrap/>
            <w:vAlign w:val="center"/>
          </w:tcPr>
          <w:p w14:paraId="551A824D">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7A50CADB">
            <w:pPr>
              <w:widowControl/>
              <w:jc w:val="center"/>
              <w:rPr>
                <w:rFonts w:ascii="宋体" w:hAnsi="宋体" w:cs="宋体"/>
                <w:kern w:val="0"/>
                <w:sz w:val="24"/>
                <w:szCs w:val="24"/>
              </w:rPr>
            </w:pPr>
            <w:r>
              <w:rPr>
                <w:rFonts w:hint="eastAsia" w:ascii="宋体" w:hAnsi="宋体" w:cs="宋体"/>
                <w:kern w:val="0"/>
                <w:sz w:val="24"/>
                <w:szCs w:val="24"/>
              </w:rPr>
              <w:t>3</w:t>
            </w:r>
          </w:p>
        </w:tc>
        <w:tc>
          <w:tcPr>
            <w:tcW w:w="1140" w:type="dxa"/>
            <w:tcBorders>
              <w:top w:val="nil"/>
              <w:left w:val="nil"/>
              <w:bottom w:val="single" w:color="auto" w:sz="4" w:space="0"/>
              <w:right w:val="single" w:color="auto" w:sz="4" w:space="0"/>
            </w:tcBorders>
            <w:shd w:val="clear" w:color="auto" w:fill="auto"/>
            <w:noWrap/>
            <w:vAlign w:val="center"/>
          </w:tcPr>
          <w:p w14:paraId="11EC890F">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6</w:t>
            </w:r>
          </w:p>
        </w:tc>
        <w:tc>
          <w:tcPr>
            <w:tcW w:w="1380" w:type="dxa"/>
            <w:tcBorders>
              <w:top w:val="nil"/>
              <w:left w:val="nil"/>
              <w:bottom w:val="single" w:color="auto" w:sz="4" w:space="0"/>
              <w:right w:val="single" w:color="auto" w:sz="4" w:space="0"/>
            </w:tcBorders>
            <w:shd w:val="clear" w:color="auto" w:fill="auto"/>
            <w:noWrap/>
            <w:vAlign w:val="center"/>
          </w:tcPr>
          <w:p w14:paraId="406F222C">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60CADBAB">
            <w:pPr>
              <w:widowControl/>
              <w:rPr>
                <w:rFonts w:ascii="宋体" w:hAnsi="宋体" w:cs="宋体"/>
                <w:kern w:val="0"/>
                <w:sz w:val="24"/>
                <w:szCs w:val="24"/>
                <w:highlight w:val="yellow"/>
              </w:rPr>
            </w:pPr>
          </w:p>
        </w:tc>
      </w:tr>
      <w:tr w14:paraId="6D18C4DE">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1736AE9A">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2982" w:type="dxa"/>
            <w:tcBorders>
              <w:top w:val="nil"/>
              <w:left w:val="nil"/>
              <w:bottom w:val="single" w:color="auto" w:sz="4" w:space="0"/>
              <w:right w:val="single" w:color="auto" w:sz="4" w:space="0"/>
            </w:tcBorders>
            <w:shd w:val="clear" w:color="auto" w:fill="auto"/>
            <w:vAlign w:val="center"/>
          </w:tcPr>
          <w:p w14:paraId="1EE48B27">
            <w:pPr>
              <w:widowControl/>
              <w:jc w:val="center"/>
              <w:rPr>
                <w:rFonts w:ascii="宋体" w:hAnsi="宋体" w:cs="宋体"/>
                <w:kern w:val="0"/>
                <w:sz w:val="24"/>
                <w:szCs w:val="24"/>
              </w:rPr>
            </w:pPr>
            <w:r>
              <w:rPr>
                <w:rFonts w:hint="eastAsia" w:ascii="宋体" w:hAnsi="宋体" w:cs="宋体"/>
                <w:kern w:val="0"/>
                <w:sz w:val="24"/>
                <w:szCs w:val="24"/>
              </w:rPr>
              <w:t>周边文物建筑水平位移监测</w:t>
            </w:r>
          </w:p>
        </w:tc>
        <w:tc>
          <w:tcPr>
            <w:tcW w:w="915" w:type="dxa"/>
            <w:tcBorders>
              <w:top w:val="nil"/>
              <w:left w:val="nil"/>
              <w:bottom w:val="single" w:color="auto" w:sz="4" w:space="0"/>
              <w:right w:val="single" w:color="auto" w:sz="4" w:space="0"/>
            </w:tcBorders>
            <w:shd w:val="clear" w:color="auto" w:fill="auto"/>
            <w:noWrap/>
            <w:vAlign w:val="center"/>
          </w:tcPr>
          <w:p w14:paraId="0558DD9B">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6F8FAAD1">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6E43940B">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380" w:type="dxa"/>
            <w:tcBorders>
              <w:top w:val="nil"/>
              <w:left w:val="nil"/>
              <w:bottom w:val="single" w:color="auto" w:sz="4" w:space="0"/>
              <w:right w:val="single" w:color="auto" w:sz="4" w:space="0"/>
            </w:tcBorders>
            <w:shd w:val="clear" w:color="auto" w:fill="auto"/>
            <w:noWrap/>
            <w:vAlign w:val="center"/>
          </w:tcPr>
          <w:p w14:paraId="0411D888">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556E2F34">
            <w:pPr>
              <w:widowControl/>
              <w:rPr>
                <w:rFonts w:ascii="宋体" w:hAnsi="宋体" w:cs="宋体"/>
                <w:kern w:val="0"/>
                <w:sz w:val="24"/>
                <w:szCs w:val="24"/>
                <w:highlight w:val="yellow"/>
              </w:rPr>
            </w:pPr>
          </w:p>
        </w:tc>
      </w:tr>
      <w:tr w14:paraId="412FBCEC">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30A673E9">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982" w:type="dxa"/>
            <w:tcBorders>
              <w:top w:val="nil"/>
              <w:left w:val="nil"/>
              <w:bottom w:val="single" w:color="auto" w:sz="4" w:space="0"/>
              <w:right w:val="single" w:color="auto" w:sz="4" w:space="0"/>
            </w:tcBorders>
            <w:shd w:val="clear" w:color="auto" w:fill="auto"/>
            <w:vAlign w:val="center"/>
          </w:tcPr>
          <w:p w14:paraId="66B5CCB4">
            <w:pPr>
              <w:widowControl/>
              <w:jc w:val="center"/>
              <w:rPr>
                <w:rFonts w:ascii="宋体" w:hAnsi="宋体" w:cs="宋体"/>
                <w:kern w:val="0"/>
                <w:sz w:val="24"/>
                <w:szCs w:val="24"/>
              </w:rPr>
            </w:pPr>
            <w:r>
              <w:rPr>
                <w:rFonts w:hint="eastAsia" w:ascii="宋体" w:hAnsi="宋体" w:cs="宋体"/>
                <w:kern w:val="0"/>
                <w:sz w:val="24"/>
                <w:szCs w:val="24"/>
              </w:rPr>
              <w:t>周边文物建筑沉降监测</w:t>
            </w:r>
          </w:p>
        </w:tc>
        <w:tc>
          <w:tcPr>
            <w:tcW w:w="915" w:type="dxa"/>
            <w:tcBorders>
              <w:top w:val="nil"/>
              <w:left w:val="nil"/>
              <w:bottom w:val="single" w:color="auto" w:sz="4" w:space="0"/>
              <w:right w:val="single" w:color="auto" w:sz="4" w:space="0"/>
            </w:tcBorders>
            <w:shd w:val="clear" w:color="auto" w:fill="auto"/>
            <w:noWrap/>
            <w:vAlign w:val="center"/>
          </w:tcPr>
          <w:p w14:paraId="573C7D4A">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46748AD7">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35A68E88">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380" w:type="dxa"/>
            <w:tcBorders>
              <w:top w:val="nil"/>
              <w:left w:val="nil"/>
              <w:bottom w:val="single" w:color="auto" w:sz="4" w:space="0"/>
              <w:right w:val="single" w:color="auto" w:sz="4" w:space="0"/>
            </w:tcBorders>
            <w:shd w:val="clear" w:color="auto" w:fill="auto"/>
            <w:noWrap/>
            <w:vAlign w:val="center"/>
          </w:tcPr>
          <w:p w14:paraId="20D79186">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617CC736">
            <w:pPr>
              <w:widowControl/>
              <w:rPr>
                <w:rFonts w:ascii="宋体" w:hAnsi="宋体" w:cs="宋体"/>
                <w:kern w:val="0"/>
                <w:sz w:val="24"/>
                <w:szCs w:val="24"/>
                <w:highlight w:val="yellow"/>
              </w:rPr>
            </w:pPr>
          </w:p>
        </w:tc>
      </w:tr>
      <w:tr w14:paraId="10CC8CCE">
        <w:tblPrEx>
          <w:tblCellMar>
            <w:top w:w="0" w:type="dxa"/>
            <w:left w:w="108" w:type="dxa"/>
            <w:bottom w:w="0" w:type="dxa"/>
            <w:right w:w="108" w:type="dxa"/>
          </w:tblCellMar>
        </w:tblPrEx>
        <w:trPr>
          <w:trHeight w:val="545" w:hRule="atLeast"/>
          <w:jc w:val="center"/>
        </w:trPr>
        <w:tc>
          <w:tcPr>
            <w:tcW w:w="7999" w:type="dxa"/>
            <w:gridSpan w:val="6"/>
            <w:tcBorders>
              <w:top w:val="nil"/>
              <w:left w:val="single" w:color="auto" w:sz="8" w:space="0"/>
              <w:bottom w:val="single" w:color="auto" w:sz="8" w:space="0"/>
              <w:right w:val="single" w:color="auto" w:sz="4" w:space="0"/>
            </w:tcBorders>
            <w:shd w:val="clear" w:color="auto" w:fill="auto"/>
            <w:vAlign w:val="center"/>
          </w:tcPr>
          <w:p w14:paraId="1D5AD1F5">
            <w:pPr>
              <w:widowControl/>
              <w:jc w:val="center"/>
              <w:rPr>
                <w:rFonts w:ascii="宋体" w:hAnsi="宋体" w:cs="宋体"/>
                <w:kern w:val="0"/>
                <w:sz w:val="24"/>
                <w:szCs w:val="24"/>
              </w:rPr>
            </w:pPr>
            <w:r>
              <w:rPr>
                <w:rFonts w:hint="eastAsia" w:ascii="宋体" w:hAnsi="宋体" w:cs="宋体"/>
                <w:b/>
                <w:bCs/>
                <w:kern w:val="0"/>
                <w:sz w:val="24"/>
                <w:szCs w:val="24"/>
              </w:rPr>
              <w:t>总</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计（一+二）</w:t>
            </w:r>
          </w:p>
        </w:tc>
        <w:tc>
          <w:tcPr>
            <w:tcW w:w="1262" w:type="dxa"/>
            <w:tcBorders>
              <w:top w:val="nil"/>
              <w:left w:val="nil"/>
              <w:bottom w:val="single" w:color="auto" w:sz="8" w:space="0"/>
              <w:right w:val="single" w:color="auto" w:sz="8" w:space="0"/>
            </w:tcBorders>
            <w:shd w:val="clear" w:color="auto" w:fill="auto"/>
            <w:vAlign w:val="center"/>
          </w:tcPr>
          <w:p w14:paraId="12730486">
            <w:pPr>
              <w:widowControl/>
              <w:rPr>
                <w:rFonts w:ascii="宋体" w:hAnsi="宋体" w:cs="宋体"/>
                <w:kern w:val="0"/>
                <w:sz w:val="24"/>
                <w:szCs w:val="24"/>
                <w:highlight w:val="yellow"/>
              </w:rPr>
            </w:pPr>
          </w:p>
        </w:tc>
      </w:tr>
    </w:tbl>
    <w:p w14:paraId="0BB7EBC3">
      <w:pPr>
        <w:rPr>
          <w:rFonts w:ascii="宋体" w:hAnsi="宋体" w:cs="宋体"/>
          <w:sz w:val="24"/>
          <w:highlight w:val="none"/>
        </w:rPr>
      </w:pPr>
    </w:p>
    <w:p w14:paraId="6F2ECDF1">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2"/>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2"/>
        <w:rPr>
          <w:sz w:val="24"/>
        </w:rPr>
      </w:pPr>
    </w:p>
    <w:p w14:paraId="1204B03A">
      <w:pPr>
        <w:pStyle w:val="9"/>
        <w:rPr>
          <w:rFonts w:hint="eastAsia"/>
        </w:rPr>
      </w:pPr>
    </w:p>
    <w:p w14:paraId="588EFE6E">
      <w:pPr>
        <w:pStyle w:val="9"/>
        <w:rPr>
          <w:rFonts w:hint="eastAsia"/>
        </w:rPr>
      </w:pPr>
    </w:p>
    <w:p w14:paraId="31E69853">
      <w:pPr>
        <w:pStyle w:val="9"/>
        <w:rPr>
          <w:rFonts w:hint="eastAsia"/>
        </w:rPr>
      </w:pPr>
    </w:p>
    <w:p w14:paraId="5BF897B3">
      <w:pPr>
        <w:pStyle w:val="9"/>
        <w:rPr>
          <w:rFonts w:hint="eastAsia"/>
        </w:rPr>
      </w:pPr>
    </w:p>
    <w:p w14:paraId="4E884B1E">
      <w:pPr>
        <w:pStyle w:val="9"/>
        <w:rPr>
          <w:rFonts w:hint="eastAsia"/>
        </w:rPr>
      </w:pPr>
    </w:p>
    <w:p w14:paraId="6391DAF9">
      <w:pPr>
        <w:pStyle w:val="9"/>
        <w:rPr>
          <w:rFonts w:hint="eastAsia"/>
        </w:rPr>
      </w:pPr>
    </w:p>
    <w:p w14:paraId="6D2A7E67">
      <w:pPr>
        <w:pStyle w:val="9"/>
        <w:rPr>
          <w:rFonts w:hint="eastAsia"/>
        </w:rPr>
      </w:pPr>
    </w:p>
    <w:p w14:paraId="064589A8">
      <w:pPr>
        <w:pStyle w:val="9"/>
        <w:rPr>
          <w:rFonts w:hint="eastAsia"/>
        </w:rPr>
      </w:pPr>
    </w:p>
    <w:p w14:paraId="7721CC44">
      <w:pPr>
        <w:pStyle w:val="9"/>
        <w:rPr>
          <w:rFonts w:hint="eastAsia"/>
        </w:rPr>
      </w:pPr>
    </w:p>
    <w:p w14:paraId="25097D31">
      <w:pPr>
        <w:pStyle w:val="12"/>
        <w:rPr>
          <w:sz w:val="24"/>
        </w:rPr>
      </w:pPr>
    </w:p>
    <w:p w14:paraId="4E973C00">
      <w:pPr>
        <w:pStyle w:val="12"/>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9"/>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firstLine="480" w:firstLineChars="200"/>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5"/>
        <w:rPr>
          <w:rFonts w:hint="eastAsia" w:asciiTheme="minorEastAsia" w:hAnsiTheme="minorEastAsia" w:cstheme="minorEastAsia"/>
          <w:color w:val="auto"/>
          <w:sz w:val="28"/>
          <w:szCs w:val="28"/>
          <w:lang w:val="en-US" w:eastAsia="zh-CN"/>
        </w:rPr>
      </w:pPr>
    </w:p>
    <w:p w14:paraId="00553167">
      <w:pPr>
        <w:pStyle w:val="5"/>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eastAsia="宋体" w:cs="宋体"/>
          <w:b/>
          <w:sz w:val="32"/>
          <w:szCs w:val="32"/>
          <w:lang w:val="en-US" w:eastAsia="zh-CN"/>
        </w:rPr>
        <w:t>CMA计量认证证书</w:t>
      </w:r>
    </w:p>
    <w:p w14:paraId="0DE93C64">
      <w:pPr>
        <w:numPr>
          <w:ilvl w:val="0"/>
          <w:numId w:val="0"/>
        </w:numPr>
        <w:spacing w:line="500" w:lineRule="atLeast"/>
        <w:ind w:leftChars="0" w:firstLine="480" w:firstLineChars="200"/>
        <w:rPr>
          <w:rFonts w:hint="eastAsia"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lang w:val="en-US" w:eastAsia="zh-CN"/>
        </w:rPr>
        <w:t>具有质量技术监督管理部门颁发的CMA计量认证合格证书，CMA认证范围含水平位移、垂直位移/竖向位移/沉降监测。</w:t>
      </w:r>
    </w:p>
    <w:p w14:paraId="29FDD881">
      <w:pPr>
        <w:pStyle w:val="5"/>
        <w:widowControl w:val="0"/>
        <w:numPr>
          <w:ilvl w:val="0"/>
          <w:numId w:val="0"/>
        </w:numPr>
        <w:jc w:val="both"/>
        <w:rPr>
          <w:rFonts w:hint="eastAsia"/>
          <w:lang w:val="en-US" w:eastAsia="zh-CN"/>
        </w:rPr>
      </w:pPr>
    </w:p>
    <w:p w14:paraId="57BDF59F">
      <w:pPr>
        <w:pStyle w:val="5"/>
        <w:widowControl w:val="0"/>
        <w:numPr>
          <w:ilvl w:val="0"/>
          <w:numId w:val="0"/>
        </w:numPr>
        <w:jc w:val="both"/>
        <w:rPr>
          <w:rFonts w:hint="eastAsia"/>
          <w:lang w:val="en-US" w:eastAsia="zh-CN"/>
        </w:rPr>
      </w:pPr>
    </w:p>
    <w:p w14:paraId="6095B07D">
      <w:pPr>
        <w:pStyle w:val="5"/>
        <w:widowControl w:val="0"/>
        <w:numPr>
          <w:ilvl w:val="0"/>
          <w:numId w:val="0"/>
        </w:numPr>
        <w:jc w:val="both"/>
        <w:rPr>
          <w:rFonts w:hint="eastAsia"/>
          <w:lang w:val="en-US" w:eastAsia="zh-CN"/>
        </w:rPr>
      </w:pPr>
    </w:p>
    <w:p w14:paraId="1332AB12">
      <w:pPr>
        <w:pStyle w:val="5"/>
        <w:widowControl w:val="0"/>
        <w:numPr>
          <w:ilvl w:val="0"/>
          <w:numId w:val="0"/>
        </w:numPr>
        <w:jc w:val="both"/>
        <w:rPr>
          <w:rFonts w:hint="eastAsia"/>
          <w:lang w:val="en-US" w:eastAsia="zh-CN"/>
        </w:rPr>
      </w:pPr>
    </w:p>
    <w:p w14:paraId="7EE37746">
      <w:pPr>
        <w:pStyle w:val="5"/>
        <w:widowControl w:val="0"/>
        <w:numPr>
          <w:ilvl w:val="0"/>
          <w:numId w:val="0"/>
        </w:numPr>
        <w:jc w:val="both"/>
        <w:rPr>
          <w:rFonts w:hint="eastAsia"/>
          <w:lang w:val="en-US" w:eastAsia="zh-CN"/>
        </w:rPr>
      </w:pPr>
    </w:p>
    <w:p w14:paraId="6E153ADD">
      <w:pPr>
        <w:pStyle w:val="5"/>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5"/>
        <w:widowControl w:val="0"/>
        <w:numPr>
          <w:ilvl w:val="0"/>
          <w:numId w:val="0"/>
        </w:numPr>
        <w:jc w:val="both"/>
        <w:rPr>
          <w:rFonts w:hint="eastAsia"/>
          <w:lang w:val="en-US" w:eastAsia="zh-CN"/>
        </w:rPr>
      </w:pPr>
    </w:p>
    <w:p w14:paraId="470AD0E9">
      <w:pPr>
        <w:pStyle w:val="5"/>
        <w:widowControl w:val="0"/>
        <w:numPr>
          <w:ilvl w:val="0"/>
          <w:numId w:val="0"/>
        </w:numPr>
        <w:jc w:val="both"/>
        <w:rPr>
          <w:rFonts w:hint="eastAsia"/>
          <w:lang w:val="en-US" w:eastAsia="zh-CN"/>
        </w:rPr>
      </w:pPr>
    </w:p>
    <w:p w14:paraId="4C3D8823">
      <w:pPr>
        <w:pStyle w:val="5"/>
        <w:widowControl w:val="0"/>
        <w:numPr>
          <w:ilvl w:val="0"/>
          <w:numId w:val="0"/>
        </w:numPr>
        <w:jc w:val="both"/>
        <w:rPr>
          <w:rFonts w:hint="eastAsia"/>
          <w:lang w:val="en-US" w:eastAsia="zh-CN"/>
        </w:rPr>
      </w:pPr>
    </w:p>
    <w:p w14:paraId="03CBA4C6">
      <w:pPr>
        <w:pStyle w:val="5"/>
        <w:widowControl w:val="0"/>
        <w:numPr>
          <w:ilvl w:val="0"/>
          <w:numId w:val="0"/>
        </w:numPr>
        <w:jc w:val="both"/>
        <w:rPr>
          <w:rFonts w:hint="eastAsia"/>
          <w:lang w:val="en-US" w:eastAsia="zh-CN"/>
        </w:rPr>
      </w:pPr>
    </w:p>
    <w:p w14:paraId="482EA1C0">
      <w:pPr>
        <w:pStyle w:val="5"/>
        <w:widowControl w:val="0"/>
        <w:numPr>
          <w:ilvl w:val="0"/>
          <w:numId w:val="0"/>
        </w:numPr>
        <w:jc w:val="both"/>
        <w:rPr>
          <w:rFonts w:hint="eastAsia"/>
          <w:lang w:val="en-US" w:eastAsia="zh-CN"/>
        </w:rPr>
      </w:pPr>
    </w:p>
    <w:p w14:paraId="62C1E64F">
      <w:pPr>
        <w:pStyle w:val="5"/>
        <w:widowControl w:val="0"/>
        <w:numPr>
          <w:ilvl w:val="0"/>
          <w:numId w:val="0"/>
        </w:numPr>
        <w:jc w:val="both"/>
        <w:rPr>
          <w:rFonts w:hint="eastAsia"/>
          <w:lang w:val="en-US" w:eastAsia="zh-CN"/>
        </w:rPr>
      </w:pPr>
    </w:p>
    <w:p w14:paraId="1595699E">
      <w:pPr>
        <w:pStyle w:val="7"/>
        <w:jc w:val="center"/>
        <w:rPr>
          <w:rFonts w:hint="eastAsia" w:asciiTheme="minorEastAsia" w:hAnsiTheme="minorEastAsia" w:cstheme="minorEastAsia"/>
          <w:color w:val="auto"/>
          <w:sz w:val="28"/>
          <w:szCs w:val="28"/>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（三）同</w:t>
      </w:r>
      <w:r>
        <w:rPr>
          <w:rFonts w:hint="eastAsia" w:ascii="宋体" w:hAnsi="宋体" w:cs="Times New Roman"/>
          <w:b/>
          <w:kern w:val="2"/>
          <w:sz w:val="32"/>
          <w:szCs w:val="32"/>
          <w:lang w:val="en-US" w:eastAsia="zh-CN" w:bidi="ar-SA"/>
        </w:rPr>
        <w:t>类项目业绩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w:t>
      </w:r>
      <w:r>
        <w:rPr>
          <w:rFonts w:hint="eastAsia" w:eastAsia="宋体" w:asciiTheme="minorEastAsia" w:hAnsiTheme="minorEastAsia" w:cstheme="minorEastAsia"/>
          <w:color w:val="auto"/>
          <w:sz w:val="24"/>
          <w:szCs w:val="24"/>
          <w:lang w:val="en-US" w:eastAsia="zh-CN"/>
        </w:rPr>
        <w:t>至少</w:t>
      </w:r>
      <w:r>
        <w:rPr>
          <w:rFonts w:hint="eastAsia" w:asciiTheme="minorEastAsia" w:hAnsiTheme="minorEastAsia" w:cstheme="minorEastAsia"/>
          <w:color w:val="auto"/>
          <w:sz w:val="24"/>
          <w:szCs w:val="24"/>
          <w:lang w:val="en-US" w:eastAsia="zh-CN"/>
        </w:rPr>
        <w:t>完成过</w:t>
      </w:r>
      <w:r>
        <w:rPr>
          <w:rFonts w:hint="eastAsia" w:eastAsia="宋体" w:asciiTheme="minorEastAsia" w:hAnsiTheme="minorEastAsia" w:cstheme="minorEastAsia"/>
          <w:color w:val="auto"/>
          <w:sz w:val="24"/>
          <w:szCs w:val="24"/>
          <w:lang w:val="en-US" w:eastAsia="zh-CN"/>
        </w:rPr>
        <w:t>1个</w:t>
      </w:r>
      <w:r>
        <w:rPr>
          <w:rFonts w:hint="eastAsia" w:asciiTheme="minorEastAsia" w:hAnsiTheme="minorEastAsia" w:cstheme="minorEastAsia"/>
          <w:color w:val="auto"/>
          <w:sz w:val="24"/>
          <w:szCs w:val="24"/>
          <w:lang w:val="en-US" w:eastAsia="zh-CN"/>
        </w:rPr>
        <w:t>合格的同</w:t>
      </w:r>
      <w:r>
        <w:rPr>
          <w:rFonts w:hint="eastAsia" w:eastAsia="宋体" w:asciiTheme="minorEastAsia" w:hAnsiTheme="minorEastAsia" w:cstheme="minorEastAsia"/>
          <w:color w:val="auto"/>
          <w:sz w:val="24"/>
          <w:szCs w:val="24"/>
          <w:highlight w:val="none"/>
          <w:lang w:val="en-US" w:eastAsia="zh-CN"/>
        </w:rPr>
        <w:t>类</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w:t>
      </w:r>
      <w:r>
        <w:rPr>
          <w:rFonts w:hint="eastAsia" w:eastAsia="宋体" w:asciiTheme="minorEastAsia" w:hAnsiTheme="minorEastAsia" w:cstheme="minorEastAsia"/>
          <w:color w:val="0000FF"/>
          <w:sz w:val="24"/>
          <w:szCs w:val="24"/>
          <w:highlight w:val="none"/>
          <w:lang w:val="en-US" w:eastAsia="zh-CN"/>
        </w:rPr>
        <w:t>验收资料</w:t>
      </w:r>
      <w:r>
        <w:rPr>
          <w:rFonts w:hint="eastAsia" w:asciiTheme="minorEastAsia" w:hAnsiTheme="minorEastAsia" w:cstheme="minorEastAsia"/>
          <w:color w:val="auto"/>
          <w:sz w:val="24"/>
          <w:szCs w:val="24"/>
          <w:highlight w:val="none"/>
          <w:lang w:val="en-US" w:eastAsia="zh-CN"/>
        </w:rPr>
        <w:t>及</w:t>
      </w:r>
      <w:r>
        <w:rPr>
          <w:rFonts w:hint="eastAsia" w:eastAsia="宋体" w:asciiTheme="minorEastAsia" w:hAnsiTheme="minorEastAsia" w:cstheme="minorEastAsia"/>
          <w:color w:val="0000FF"/>
          <w:sz w:val="24"/>
          <w:szCs w:val="24"/>
          <w:highlight w:val="none"/>
          <w:lang w:val="en-US" w:eastAsia="zh-CN"/>
        </w:rPr>
        <w:t>合同关键页</w:t>
      </w:r>
      <w:r>
        <w:rPr>
          <w:rFonts w:hint="eastAsia" w:eastAsia="宋体" w:asciiTheme="minorEastAsia" w:hAnsiTheme="minorEastAsia" w:cstheme="minorEastAsia"/>
          <w:color w:val="auto"/>
          <w:sz w:val="24"/>
          <w:szCs w:val="24"/>
          <w:highlight w:val="none"/>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4C5FD31A">
      <w:pPr>
        <w:pStyle w:val="5"/>
        <w:widowControl w:val="0"/>
        <w:numPr>
          <w:ilvl w:val="0"/>
          <w:numId w:val="0"/>
        </w:numPr>
        <w:jc w:val="both"/>
        <w:rPr>
          <w:rFonts w:hint="eastAsia"/>
          <w:lang w:val="en-US" w:eastAsia="zh-CN"/>
        </w:rPr>
      </w:pPr>
    </w:p>
    <w:p w14:paraId="385F692A">
      <w:pPr>
        <w:pStyle w:val="5"/>
        <w:widowControl w:val="0"/>
        <w:numPr>
          <w:ilvl w:val="0"/>
          <w:numId w:val="0"/>
        </w:numPr>
        <w:jc w:val="both"/>
        <w:rPr>
          <w:rFonts w:hint="eastAsia"/>
          <w:lang w:val="en-US" w:eastAsia="zh-CN"/>
        </w:rPr>
      </w:pPr>
    </w:p>
    <w:p w14:paraId="5209465B">
      <w:pPr>
        <w:pStyle w:val="5"/>
        <w:widowControl w:val="0"/>
        <w:numPr>
          <w:ilvl w:val="0"/>
          <w:numId w:val="0"/>
        </w:numPr>
        <w:jc w:val="both"/>
        <w:rPr>
          <w:rFonts w:hint="eastAsia"/>
          <w:lang w:val="en-US" w:eastAsia="zh-CN"/>
        </w:rPr>
      </w:pPr>
    </w:p>
    <w:p w14:paraId="34D9BC01">
      <w:pPr>
        <w:pStyle w:val="5"/>
        <w:widowControl w:val="0"/>
        <w:numPr>
          <w:ilvl w:val="0"/>
          <w:numId w:val="0"/>
        </w:numPr>
        <w:jc w:val="both"/>
        <w:rPr>
          <w:rFonts w:hint="eastAsia"/>
          <w:lang w:val="en-US" w:eastAsia="zh-CN"/>
        </w:rPr>
      </w:pPr>
    </w:p>
    <w:p w14:paraId="3282C4C6">
      <w:pPr>
        <w:pStyle w:val="5"/>
        <w:widowControl w:val="0"/>
        <w:numPr>
          <w:ilvl w:val="0"/>
          <w:numId w:val="0"/>
        </w:numPr>
        <w:jc w:val="both"/>
        <w:rPr>
          <w:rFonts w:hint="eastAsia"/>
          <w:lang w:val="en-US" w:eastAsia="zh-CN"/>
        </w:rPr>
      </w:pPr>
    </w:p>
    <w:p w14:paraId="3B572729">
      <w:pPr>
        <w:pStyle w:val="5"/>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5"/>
        <w:widowControl w:val="0"/>
        <w:numPr>
          <w:ilvl w:val="0"/>
          <w:numId w:val="0"/>
        </w:numPr>
        <w:jc w:val="both"/>
        <w:rPr>
          <w:rFonts w:hint="eastAsia"/>
          <w:lang w:val="en-US" w:eastAsia="zh-CN"/>
        </w:rPr>
      </w:pPr>
    </w:p>
    <w:p w14:paraId="23C0386E">
      <w:pPr>
        <w:pStyle w:val="5"/>
        <w:widowControl w:val="0"/>
        <w:numPr>
          <w:ilvl w:val="0"/>
          <w:numId w:val="0"/>
        </w:numPr>
        <w:jc w:val="both"/>
        <w:rPr>
          <w:rFonts w:hint="eastAsia"/>
          <w:lang w:val="en-US" w:eastAsia="zh-CN"/>
        </w:rPr>
      </w:pPr>
    </w:p>
    <w:p w14:paraId="0DC6F2E8">
      <w:pPr>
        <w:pStyle w:val="5"/>
        <w:widowControl w:val="0"/>
        <w:numPr>
          <w:ilvl w:val="0"/>
          <w:numId w:val="0"/>
        </w:numPr>
        <w:jc w:val="both"/>
        <w:rPr>
          <w:rFonts w:hint="eastAsia"/>
          <w:lang w:val="en-US" w:eastAsia="zh-CN"/>
        </w:rPr>
      </w:pPr>
    </w:p>
    <w:p w14:paraId="1DACFC33">
      <w:pPr>
        <w:pStyle w:val="5"/>
        <w:widowControl w:val="0"/>
        <w:numPr>
          <w:ilvl w:val="0"/>
          <w:numId w:val="0"/>
        </w:numPr>
        <w:jc w:val="both"/>
        <w:rPr>
          <w:rFonts w:hint="eastAsia"/>
          <w:lang w:val="en-US" w:eastAsia="zh-CN"/>
        </w:rPr>
      </w:pPr>
    </w:p>
    <w:p w14:paraId="7F9D669C">
      <w:pPr>
        <w:pStyle w:val="5"/>
        <w:widowControl w:val="0"/>
        <w:numPr>
          <w:ilvl w:val="0"/>
          <w:numId w:val="0"/>
        </w:numPr>
        <w:jc w:val="both"/>
        <w:rPr>
          <w:rFonts w:hint="eastAsia"/>
          <w:lang w:val="en-US" w:eastAsia="zh-CN"/>
        </w:rPr>
      </w:pPr>
    </w:p>
    <w:p w14:paraId="4B12E55B">
      <w:pPr>
        <w:pStyle w:val="5"/>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项目负责人资格</w:t>
      </w:r>
    </w:p>
    <w:p w14:paraId="2EF3335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eastAsia="宋体" w:asciiTheme="minorEastAsia" w:hAnsiTheme="minorEastAsia" w:cstheme="minorEastAsia"/>
          <w:color w:val="auto"/>
          <w:sz w:val="24"/>
          <w:szCs w:val="24"/>
          <w:lang w:val="en-US" w:eastAsia="zh-CN"/>
        </w:rPr>
        <w:t>拟派项目负责人</w:t>
      </w:r>
      <w:r>
        <w:rPr>
          <w:rFonts w:hint="eastAsia" w:asciiTheme="minorEastAsia" w:hAnsiTheme="minorEastAsia" w:cstheme="minorEastAsia"/>
          <w:color w:val="auto"/>
          <w:sz w:val="24"/>
          <w:szCs w:val="24"/>
          <w:lang w:val="en-US" w:eastAsia="zh-CN"/>
        </w:rPr>
        <w:t>具有</w:t>
      </w:r>
      <w:r>
        <w:rPr>
          <w:rFonts w:hint="eastAsia" w:asciiTheme="minorEastAsia" w:hAnsiTheme="minorEastAsia" w:cstheme="minorEastAsia"/>
          <w:color w:val="auto"/>
          <w:sz w:val="24"/>
          <w:szCs w:val="24"/>
          <w:highlight w:val="none"/>
          <w:lang w:val="en-US" w:eastAsia="zh-CN"/>
        </w:rPr>
        <w:t>测绘工程专业中级工程师</w:t>
      </w:r>
      <w:r>
        <w:rPr>
          <w:rFonts w:hint="eastAsia" w:asciiTheme="minorEastAsia" w:hAnsiTheme="minorEastAsia" w:cstheme="minorEastAsia"/>
          <w:color w:val="auto"/>
          <w:sz w:val="24"/>
          <w:szCs w:val="24"/>
          <w:lang w:val="en-US" w:eastAsia="zh-CN"/>
        </w:rPr>
        <w:t>及以上职称</w:t>
      </w:r>
      <w:r>
        <w:rPr>
          <w:rFonts w:hint="default"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5"/>
        <w:widowControl w:val="0"/>
        <w:numPr>
          <w:ilvl w:val="0"/>
          <w:numId w:val="0"/>
        </w:numPr>
        <w:jc w:val="both"/>
        <w:rPr>
          <w:rFonts w:hint="eastAsia"/>
          <w:sz w:val="28"/>
          <w:szCs w:val="28"/>
          <w:lang w:val="en-US" w:eastAsia="zh-CN"/>
        </w:rPr>
      </w:pPr>
    </w:p>
    <w:p w14:paraId="0F7ABC7E">
      <w:pPr>
        <w:pStyle w:val="5"/>
        <w:widowControl w:val="0"/>
        <w:numPr>
          <w:ilvl w:val="0"/>
          <w:numId w:val="0"/>
        </w:numPr>
        <w:jc w:val="both"/>
        <w:rPr>
          <w:rFonts w:hint="eastAsia"/>
          <w:sz w:val="28"/>
          <w:szCs w:val="28"/>
          <w:lang w:val="en-US" w:eastAsia="zh-CN"/>
        </w:rPr>
      </w:pPr>
    </w:p>
    <w:p w14:paraId="1346ADA3">
      <w:pPr>
        <w:pStyle w:val="5"/>
        <w:widowControl w:val="0"/>
        <w:numPr>
          <w:ilvl w:val="0"/>
          <w:numId w:val="0"/>
        </w:numPr>
        <w:jc w:val="both"/>
        <w:rPr>
          <w:rFonts w:hint="eastAsia"/>
          <w:sz w:val="28"/>
          <w:szCs w:val="28"/>
          <w:lang w:val="en-US" w:eastAsia="zh-CN"/>
        </w:rPr>
      </w:pPr>
    </w:p>
    <w:p w14:paraId="49ABA085">
      <w:pPr>
        <w:pStyle w:val="5"/>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20"/>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057A93D0">
      <w:pPr>
        <w:pStyle w:val="2"/>
      </w:pPr>
    </w:p>
    <w:p w14:paraId="59B81904">
      <w:pPr>
        <w:spacing w:line="500" w:lineRule="atLeast"/>
        <w:rPr>
          <w:rFonts w:ascii="宋体" w:hAnsi="宋体"/>
          <w:sz w:val="28"/>
          <w:szCs w:val="28"/>
        </w:rPr>
      </w:pPr>
    </w:p>
    <w:p w14:paraId="02F2E2BD">
      <w:pPr>
        <w:spacing w:line="360" w:lineRule="auto"/>
        <w:jc w:val="left"/>
        <w:rPr>
          <w:rFonts w:hint="default" w:eastAsia="宋体" w:asciiTheme="minorEastAsia" w:hAnsiTheme="minorEastAsia" w:cstheme="minorEastAsia"/>
          <w:b/>
          <w:bCs/>
          <w:color w:val="auto"/>
          <w:kern w:val="2"/>
          <w:sz w:val="32"/>
          <w:szCs w:val="32"/>
          <w:lang w:val="en-US" w:eastAsia="zh-CN" w:bidi="ar-SA"/>
        </w:rPr>
      </w:pPr>
      <w:r>
        <w:rPr>
          <w:rFonts w:hint="eastAsia" w:asciiTheme="minorEastAsia" w:hAnsiTheme="minorEastAsia" w:cstheme="minorEastAsia"/>
          <w:b/>
          <w:bCs/>
          <w:color w:val="auto"/>
          <w:kern w:val="2"/>
          <w:sz w:val="32"/>
          <w:szCs w:val="32"/>
          <w:lang w:val="en-US" w:eastAsia="zh-CN" w:bidi="ar-SA"/>
        </w:rPr>
        <w:t>附件三</w:t>
      </w:r>
    </w:p>
    <w:p w14:paraId="30F204DC">
      <w:pPr>
        <w:spacing w:line="480" w:lineRule="auto"/>
        <w:rPr>
          <w:rFonts w:ascii="宋体" w:hAnsi="宋体"/>
          <w:b/>
          <w:bCs/>
          <w:sz w:val="44"/>
          <w:szCs w:val="44"/>
        </w:rPr>
      </w:pPr>
      <w:r>
        <w:rPr>
          <w:rFonts w:hint="eastAsia" w:ascii="宋体" w:hAnsi="宋体" w:cs="宋体"/>
          <w:sz w:val="24"/>
          <w:szCs w:val="24"/>
          <w:u w:val="none"/>
          <w:lang w:val="en-US" w:eastAsia="zh-CN"/>
        </w:rPr>
        <w:t xml:space="preserve">                                     </w:t>
      </w:r>
    </w:p>
    <w:p w14:paraId="02A78828">
      <w:pPr>
        <w:pStyle w:val="17"/>
        <w:snapToGrid w:val="0"/>
        <w:spacing w:line="360" w:lineRule="auto"/>
        <w:jc w:val="center"/>
        <w:rPr>
          <w:rFonts w:hint="eastAsia" w:ascii="黑体" w:eastAsia="黑体"/>
          <w:sz w:val="48"/>
          <w:szCs w:val="48"/>
        </w:rPr>
      </w:pPr>
    </w:p>
    <w:p w14:paraId="40C16449">
      <w:pPr>
        <w:pStyle w:val="17"/>
        <w:snapToGrid w:val="0"/>
        <w:spacing w:line="360" w:lineRule="auto"/>
        <w:jc w:val="center"/>
        <w:rPr>
          <w:rFonts w:ascii="黑体" w:eastAsia="黑体"/>
          <w:sz w:val="48"/>
          <w:szCs w:val="48"/>
        </w:rPr>
      </w:pPr>
      <w:r>
        <w:rPr>
          <w:rFonts w:hint="eastAsia" w:ascii="黑体" w:eastAsia="黑体"/>
          <w:sz w:val="48"/>
          <w:szCs w:val="48"/>
        </w:rPr>
        <w:t>中山大学孙逸仙纪念医院</w:t>
      </w:r>
    </w:p>
    <w:p w14:paraId="6FEB094C">
      <w:pPr>
        <w:pStyle w:val="17"/>
        <w:snapToGrid w:val="0"/>
        <w:spacing w:line="360" w:lineRule="auto"/>
        <w:jc w:val="center"/>
        <w:rPr>
          <w:rFonts w:ascii="黑体" w:eastAsia="黑体"/>
          <w:color w:val="FF0000"/>
          <w:sz w:val="48"/>
          <w:szCs w:val="48"/>
        </w:rPr>
      </w:pPr>
      <w:r>
        <w:rPr>
          <w:rFonts w:hint="eastAsia" w:ascii="黑体" w:eastAsia="黑体"/>
          <w:sz w:val="48"/>
          <w:szCs w:val="48"/>
        </w:rPr>
        <w:t>北院区</w:t>
      </w:r>
      <w:r>
        <w:rPr>
          <w:rFonts w:hint="eastAsia" w:ascii="黑体" w:eastAsia="黑体"/>
          <w:sz w:val="48"/>
          <w:szCs w:val="48"/>
          <w:lang w:val="en-US" w:eastAsia="zh-CN"/>
        </w:rPr>
        <w:t>门楼</w:t>
      </w:r>
      <w:r>
        <w:rPr>
          <w:rFonts w:hint="eastAsia" w:ascii="黑体" w:eastAsia="黑体"/>
          <w:sz w:val="48"/>
          <w:szCs w:val="48"/>
        </w:rPr>
        <w:t>建筑监测服务合同</w:t>
      </w:r>
    </w:p>
    <w:p w14:paraId="4335F4AE">
      <w:pPr>
        <w:pStyle w:val="17"/>
        <w:spacing w:before="240" w:line="500" w:lineRule="exact"/>
        <w:jc w:val="center"/>
        <w:rPr>
          <w:b/>
          <w:sz w:val="28"/>
          <w:szCs w:val="28"/>
        </w:rPr>
      </w:pPr>
      <w:r>
        <w:rPr>
          <w:rFonts w:hint="eastAsia"/>
          <w:b/>
          <w:sz w:val="28"/>
          <w:szCs w:val="28"/>
        </w:rPr>
        <w:t>（合同编号：）</w:t>
      </w:r>
    </w:p>
    <w:p w14:paraId="380FB428">
      <w:pPr>
        <w:pStyle w:val="17"/>
        <w:spacing w:line="500" w:lineRule="exact"/>
        <w:jc w:val="center"/>
        <w:rPr>
          <w:b/>
          <w:sz w:val="28"/>
          <w:szCs w:val="28"/>
        </w:rPr>
      </w:pPr>
    </w:p>
    <w:p w14:paraId="14C99B79">
      <w:pPr>
        <w:pStyle w:val="17"/>
        <w:spacing w:line="500" w:lineRule="exact"/>
        <w:jc w:val="both"/>
        <w:rPr>
          <w:b/>
          <w:sz w:val="28"/>
          <w:szCs w:val="28"/>
        </w:rPr>
      </w:pPr>
    </w:p>
    <w:p w14:paraId="17D7BFA9">
      <w:pPr>
        <w:pStyle w:val="17"/>
        <w:snapToGrid w:val="0"/>
        <w:spacing w:line="480" w:lineRule="auto"/>
        <w:ind w:left="420" w:leftChars="200"/>
        <w:rPr>
          <w:sz w:val="28"/>
          <w:szCs w:val="28"/>
          <w:u w:val="single"/>
        </w:rPr>
      </w:pPr>
      <w:r>
        <w:rPr>
          <w:b/>
          <w:sz w:val="28"/>
          <w:szCs w:val="18"/>
        </w:rPr>
        <w:t>发包单位</w:t>
      </w:r>
      <w:r>
        <w:rPr>
          <w:rFonts w:hint="eastAsia"/>
          <w:color w:val="000000"/>
          <w:sz w:val="28"/>
          <w:szCs w:val="18"/>
          <w:u w:val="none"/>
        </w:rPr>
        <w:t>（简称甲方）</w:t>
      </w:r>
      <w:r>
        <w:rPr>
          <w:rFonts w:hint="eastAsia"/>
          <w:sz w:val="28"/>
          <w:szCs w:val="18"/>
        </w:rPr>
        <w:t>：</w:t>
      </w:r>
      <w:r>
        <w:rPr>
          <w:rFonts w:hint="eastAsia"/>
          <w:sz w:val="28"/>
          <w:szCs w:val="28"/>
          <w:u w:val="single"/>
        </w:rPr>
        <w:t>中山大学孙逸仙纪念医院</w:t>
      </w:r>
    </w:p>
    <w:p w14:paraId="0746699B">
      <w:pPr>
        <w:pStyle w:val="17"/>
        <w:snapToGrid w:val="0"/>
        <w:spacing w:line="480" w:lineRule="auto"/>
        <w:ind w:left="420" w:leftChars="200"/>
        <w:rPr>
          <w:color w:val="000000"/>
          <w:sz w:val="28"/>
          <w:szCs w:val="18"/>
          <w:u w:val="single"/>
        </w:rPr>
      </w:pPr>
      <w:r>
        <w:rPr>
          <w:rFonts w:hint="eastAsia"/>
          <w:b/>
          <w:sz w:val="28"/>
          <w:szCs w:val="18"/>
        </w:rPr>
        <w:t>承包</w:t>
      </w:r>
      <w:r>
        <w:rPr>
          <w:b/>
          <w:sz w:val="28"/>
          <w:szCs w:val="18"/>
        </w:rPr>
        <w:t>单位</w:t>
      </w:r>
      <w:r>
        <w:rPr>
          <w:rFonts w:hint="eastAsia"/>
          <w:sz w:val="28"/>
          <w:szCs w:val="18"/>
          <w:u w:val="none"/>
        </w:rPr>
        <w:t>（简称乙方）</w:t>
      </w:r>
      <w:r>
        <w:rPr>
          <w:rFonts w:hint="eastAsia"/>
          <w:sz w:val="28"/>
          <w:szCs w:val="18"/>
        </w:rPr>
        <w:t>：</w:t>
      </w:r>
      <w:r>
        <w:rPr>
          <w:rFonts w:hint="eastAsia"/>
          <w:sz w:val="28"/>
          <w:szCs w:val="18"/>
          <w:u w:val="single"/>
        </w:rPr>
        <w:t xml:space="preserve">                      </w:t>
      </w:r>
    </w:p>
    <w:p w14:paraId="3E4C485F">
      <w:pPr>
        <w:pStyle w:val="17"/>
        <w:snapToGrid w:val="0"/>
        <w:spacing w:line="480" w:lineRule="auto"/>
        <w:ind w:left="1825" w:leftChars="200" w:hanging="1405" w:hangingChars="500"/>
        <w:rPr>
          <w:sz w:val="28"/>
          <w:szCs w:val="18"/>
          <w:u w:val="single"/>
        </w:rPr>
      </w:pPr>
      <w:r>
        <w:rPr>
          <w:b/>
          <w:sz w:val="28"/>
          <w:szCs w:val="18"/>
        </w:rPr>
        <w:t>工程名称</w:t>
      </w:r>
      <w:r>
        <w:rPr>
          <w:sz w:val="28"/>
          <w:szCs w:val="18"/>
        </w:rPr>
        <w:t>：</w:t>
      </w:r>
      <w:r>
        <w:rPr>
          <w:rFonts w:hint="eastAsia"/>
          <w:sz w:val="28"/>
          <w:szCs w:val="28"/>
          <w:u w:val="single"/>
        </w:rPr>
        <w:t>中山大学孙逸仙纪念医院北院区</w:t>
      </w:r>
      <w:r>
        <w:rPr>
          <w:rFonts w:hint="eastAsia"/>
          <w:sz w:val="28"/>
          <w:szCs w:val="28"/>
          <w:u w:val="single"/>
          <w:lang w:val="en-US" w:eastAsia="zh-CN"/>
        </w:rPr>
        <w:t>门楼</w:t>
      </w:r>
      <w:r>
        <w:rPr>
          <w:rFonts w:hint="eastAsia"/>
          <w:sz w:val="28"/>
          <w:szCs w:val="18"/>
          <w:u w:val="single"/>
        </w:rPr>
        <w:t>建筑监测服务</w:t>
      </w:r>
    </w:p>
    <w:p w14:paraId="2A34649E">
      <w:pPr>
        <w:spacing w:line="360" w:lineRule="auto"/>
        <w:jc w:val="left"/>
        <w:rPr>
          <w:rFonts w:hAnsi="宋体" w:cs="SimHei-Identity-H"/>
          <w:kern w:val="0"/>
          <w:sz w:val="28"/>
          <w:szCs w:val="28"/>
        </w:rPr>
      </w:pPr>
    </w:p>
    <w:p w14:paraId="3D2367C7">
      <w:pPr>
        <w:pStyle w:val="17"/>
        <w:spacing w:line="500" w:lineRule="exact"/>
        <w:jc w:val="center"/>
        <w:rPr>
          <w:rFonts w:hint="eastAsia"/>
          <w:b/>
          <w:sz w:val="28"/>
          <w:szCs w:val="18"/>
        </w:rPr>
      </w:pPr>
      <w:r>
        <w:rPr>
          <w:rFonts w:hint="eastAsia"/>
          <w:b/>
          <w:sz w:val="28"/>
          <w:szCs w:val="18"/>
        </w:rPr>
        <w:t>二○二</w:t>
      </w:r>
      <w:r>
        <w:rPr>
          <w:rFonts w:hint="eastAsia"/>
          <w:b/>
          <w:sz w:val="28"/>
          <w:szCs w:val="18"/>
          <w:lang w:val="en-US" w:eastAsia="zh-CN"/>
        </w:rPr>
        <w:t>六</w:t>
      </w:r>
      <w:r>
        <w:rPr>
          <w:rFonts w:hint="eastAsia"/>
          <w:b/>
          <w:sz w:val="28"/>
          <w:szCs w:val="18"/>
        </w:rPr>
        <w:t>年</w:t>
      </w:r>
      <w:r>
        <w:rPr>
          <w:rFonts w:hint="eastAsia"/>
          <w:b/>
          <w:sz w:val="28"/>
          <w:szCs w:val="18"/>
          <w:lang w:val="en-US" w:eastAsia="zh-CN"/>
        </w:rPr>
        <w:t>七</w:t>
      </w:r>
      <w:r>
        <w:rPr>
          <w:rFonts w:hint="eastAsia"/>
          <w:b/>
          <w:sz w:val="28"/>
          <w:szCs w:val="18"/>
        </w:rPr>
        <w:t>月</w:t>
      </w:r>
    </w:p>
    <w:p w14:paraId="48DE208F">
      <w:pPr>
        <w:pStyle w:val="17"/>
        <w:spacing w:line="500" w:lineRule="exact"/>
        <w:jc w:val="center"/>
        <w:rPr>
          <w:rFonts w:hint="eastAsia"/>
          <w:b/>
          <w:sz w:val="28"/>
          <w:szCs w:val="18"/>
        </w:rPr>
      </w:pPr>
    </w:p>
    <w:p w14:paraId="4FAE2775">
      <w:pPr>
        <w:pStyle w:val="17"/>
        <w:spacing w:before="0" w:beforeAutospacing="0" w:after="0" w:afterAutospacing="0" w:line="360" w:lineRule="auto"/>
        <w:ind w:left="0" w:leftChars="0" w:firstLine="560" w:firstLineChars="200"/>
        <w:rPr>
          <w:rFonts w:hint="eastAsia"/>
          <w:color w:val="auto"/>
          <w:sz w:val="28"/>
          <w:szCs w:val="18"/>
          <w:u w:val="none"/>
        </w:rPr>
      </w:pPr>
    </w:p>
    <w:p w14:paraId="46A0E10A">
      <w:pPr>
        <w:pStyle w:val="17"/>
        <w:spacing w:before="0" w:beforeAutospacing="0" w:after="0" w:afterAutospacing="0" w:line="360" w:lineRule="auto"/>
        <w:ind w:left="0" w:leftChars="0" w:firstLine="560" w:firstLineChars="200"/>
        <w:rPr>
          <w:rFonts w:hint="eastAsia"/>
          <w:color w:val="auto"/>
          <w:sz w:val="28"/>
          <w:szCs w:val="18"/>
          <w:u w:val="none"/>
        </w:rPr>
      </w:pPr>
    </w:p>
    <w:p w14:paraId="3DEC126E">
      <w:pPr>
        <w:pStyle w:val="17"/>
        <w:spacing w:before="0" w:beforeAutospacing="0" w:after="0" w:afterAutospacing="0" w:line="360" w:lineRule="auto"/>
        <w:ind w:left="0" w:leftChars="0" w:firstLine="560" w:firstLineChars="200"/>
        <w:rPr>
          <w:rFonts w:hint="eastAsia"/>
          <w:color w:val="auto"/>
          <w:sz w:val="28"/>
          <w:szCs w:val="18"/>
          <w:u w:val="none"/>
        </w:rPr>
      </w:pPr>
    </w:p>
    <w:p w14:paraId="1D5FCFAE">
      <w:pPr>
        <w:pStyle w:val="17"/>
        <w:spacing w:before="0" w:beforeAutospacing="0" w:after="0" w:afterAutospacing="0" w:line="360" w:lineRule="auto"/>
        <w:ind w:left="0" w:leftChars="0" w:firstLine="560" w:firstLineChars="200"/>
        <w:rPr>
          <w:rFonts w:hint="eastAsia"/>
          <w:color w:val="auto"/>
          <w:sz w:val="28"/>
          <w:szCs w:val="18"/>
          <w:u w:val="none"/>
        </w:rPr>
      </w:pPr>
      <w:r>
        <w:rPr>
          <w:rFonts w:hint="eastAsia"/>
          <w:color w:val="auto"/>
          <w:sz w:val="28"/>
          <w:szCs w:val="18"/>
          <w:u w:val="none"/>
        </w:rPr>
        <w:t>根据《中华人民共和国民法典》及国家有关法规规定，</w:t>
      </w:r>
      <w:r>
        <w:rPr>
          <w:rFonts w:hint="eastAsia" w:ascii="宋体" w:hAnsi="宋体" w:cs="SimSun-Identity-H"/>
          <w:kern w:val="0"/>
          <w:sz w:val="28"/>
          <w:szCs w:val="28"/>
        </w:rPr>
        <w:t>遵循平等、自愿、公平和诚实信用的原则，</w:t>
      </w:r>
      <w:r>
        <w:rPr>
          <w:rFonts w:hint="eastAsia"/>
          <w:color w:val="auto"/>
          <w:sz w:val="28"/>
          <w:szCs w:val="18"/>
          <w:u w:val="none"/>
        </w:rPr>
        <w:t>经双方协商一致，签订本合同，共同遵守。</w:t>
      </w:r>
    </w:p>
    <w:p w14:paraId="5381462B">
      <w:pPr>
        <w:pStyle w:val="17"/>
        <w:spacing w:before="0" w:beforeAutospacing="0" w:after="0" w:afterAutospacing="0" w:line="360" w:lineRule="auto"/>
        <w:ind w:left="0" w:leftChars="0" w:firstLine="562" w:firstLineChars="200"/>
        <w:rPr>
          <w:rFonts w:hint="eastAsia"/>
          <w:color w:val="auto"/>
          <w:sz w:val="28"/>
          <w:szCs w:val="18"/>
          <w:u w:val="single"/>
        </w:rPr>
      </w:pPr>
      <w:r>
        <w:rPr>
          <w:rFonts w:hint="eastAsia"/>
          <w:b/>
          <w:bCs/>
          <w:color w:val="auto"/>
          <w:sz w:val="28"/>
          <w:szCs w:val="18"/>
          <w:u w:val="none"/>
        </w:rPr>
        <w:t>第一条</w:t>
      </w:r>
      <w:r>
        <w:rPr>
          <w:rFonts w:hint="eastAsia"/>
          <w:color w:val="auto"/>
          <w:sz w:val="28"/>
          <w:szCs w:val="18"/>
          <w:u w:val="none"/>
        </w:rPr>
        <w:t>工程概况</w:t>
      </w:r>
    </w:p>
    <w:p w14:paraId="713BDBF6">
      <w:pPr>
        <w:pStyle w:val="17"/>
        <w:spacing w:before="0" w:beforeAutospacing="0" w:after="0" w:afterAutospacing="0" w:line="360" w:lineRule="auto"/>
        <w:ind w:left="0" w:leftChars="0" w:firstLine="560" w:firstLineChars="200"/>
        <w:rPr>
          <w:rFonts w:hint="eastAsia"/>
          <w:color w:val="auto"/>
          <w:sz w:val="28"/>
          <w:szCs w:val="18"/>
          <w:u w:val="none"/>
        </w:rPr>
      </w:pPr>
      <w:r>
        <w:rPr>
          <w:rFonts w:hint="eastAsia"/>
          <w:color w:val="auto"/>
          <w:sz w:val="28"/>
          <w:szCs w:val="18"/>
          <w:u w:val="none"/>
        </w:rPr>
        <w:t>1.1工程名称：中山大学孙逸仙纪念医院北院区</w:t>
      </w:r>
      <w:r>
        <w:rPr>
          <w:rFonts w:hint="eastAsia"/>
          <w:color w:val="auto"/>
          <w:sz w:val="28"/>
          <w:szCs w:val="18"/>
          <w:u w:val="none"/>
          <w:lang w:val="en-US" w:eastAsia="zh-CN"/>
        </w:rPr>
        <w:t>门楼建筑</w:t>
      </w:r>
      <w:r>
        <w:rPr>
          <w:rFonts w:hint="eastAsia"/>
          <w:color w:val="auto"/>
          <w:sz w:val="28"/>
          <w:szCs w:val="18"/>
          <w:u w:val="none"/>
        </w:rPr>
        <w:t>监测服务。</w:t>
      </w:r>
    </w:p>
    <w:p w14:paraId="7B42993F">
      <w:pPr>
        <w:pStyle w:val="17"/>
        <w:spacing w:before="0" w:beforeAutospacing="0" w:after="0" w:afterAutospacing="0" w:line="360" w:lineRule="auto"/>
        <w:ind w:left="0" w:leftChars="0" w:firstLine="560" w:firstLineChars="200"/>
        <w:rPr>
          <w:sz w:val="28"/>
          <w:szCs w:val="18"/>
          <w:u w:val="single"/>
        </w:rPr>
      </w:pPr>
      <w:r>
        <w:rPr>
          <w:rFonts w:hint="eastAsia"/>
          <w:color w:val="auto"/>
          <w:sz w:val="28"/>
          <w:szCs w:val="18"/>
          <w:u w:val="none"/>
        </w:rPr>
        <w:t>1.2工程建设地点</w:t>
      </w:r>
      <w:r>
        <w:rPr>
          <w:rFonts w:hint="eastAsia"/>
          <w:sz w:val="28"/>
          <w:szCs w:val="28"/>
          <w:u w:val="none"/>
        </w:rPr>
        <w:t>：</w:t>
      </w:r>
      <w:r>
        <w:rPr>
          <w:rFonts w:hint="eastAsia"/>
          <w:sz w:val="28"/>
          <w:szCs w:val="18"/>
          <w:u w:val="none"/>
        </w:rPr>
        <w:t>广州市越秀区沿江西路107号。</w:t>
      </w:r>
    </w:p>
    <w:p w14:paraId="73B75D6F">
      <w:pPr>
        <w:pStyle w:val="17"/>
        <w:spacing w:before="0" w:beforeAutospacing="0" w:after="0" w:afterAutospacing="0" w:line="360" w:lineRule="auto"/>
        <w:ind w:left="0" w:leftChars="0" w:firstLine="560" w:firstLineChars="200"/>
        <w:rPr>
          <w:color w:val="auto"/>
          <w:sz w:val="28"/>
          <w:szCs w:val="18"/>
          <w:u w:val="single"/>
        </w:rPr>
      </w:pPr>
      <w:r>
        <w:rPr>
          <w:rFonts w:hint="eastAsia"/>
          <w:color w:val="auto"/>
          <w:sz w:val="28"/>
          <w:szCs w:val="18"/>
        </w:rPr>
        <w:t>1.3情况说明：</w:t>
      </w:r>
      <w:r>
        <w:rPr>
          <w:rFonts w:hint="eastAsia"/>
          <w:color w:val="auto"/>
          <w:sz w:val="28"/>
          <w:szCs w:val="18"/>
          <w:u w:val="single"/>
        </w:rPr>
        <w:t>北院区</w:t>
      </w:r>
      <w:r>
        <w:rPr>
          <w:rFonts w:hint="eastAsia"/>
          <w:color w:val="auto"/>
          <w:sz w:val="28"/>
          <w:szCs w:val="18"/>
          <w:u w:val="single"/>
          <w:lang w:val="en-US" w:eastAsia="zh-CN"/>
        </w:rPr>
        <w:t>门楼为广州市市级保护文物建筑，建筑长18.65米，宽5米，高9.75米</w:t>
      </w:r>
      <w:r>
        <w:rPr>
          <w:rFonts w:hint="eastAsia"/>
          <w:color w:val="auto"/>
          <w:sz w:val="28"/>
          <w:szCs w:val="18"/>
          <w:u w:val="single"/>
        </w:rPr>
        <w:t>。</w:t>
      </w:r>
    </w:p>
    <w:p w14:paraId="06146FBE">
      <w:pPr>
        <w:pStyle w:val="17"/>
        <w:spacing w:before="0" w:beforeAutospacing="0" w:after="0" w:afterAutospacing="0" w:line="360" w:lineRule="auto"/>
        <w:ind w:left="561" w:leftChars="267"/>
        <w:rPr>
          <w:color w:val="auto"/>
          <w:sz w:val="28"/>
          <w:szCs w:val="28"/>
          <w:u w:val="single"/>
        </w:rPr>
      </w:pPr>
      <w:r>
        <w:rPr>
          <w:rFonts w:hint="eastAsia"/>
          <w:color w:val="auto"/>
          <w:sz w:val="28"/>
          <w:szCs w:val="28"/>
        </w:rPr>
        <w:t>1.4甲方</w:t>
      </w:r>
      <w:r>
        <w:rPr>
          <w:color w:val="auto"/>
          <w:sz w:val="28"/>
          <w:szCs w:val="28"/>
        </w:rPr>
        <w:t>委托</w:t>
      </w:r>
      <w:r>
        <w:rPr>
          <w:rFonts w:hint="eastAsia"/>
          <w:color w:val="auto"/>
          <w:sz w:val="28"/>
          <w:szCs w:val="28"/>
        </w:rPr>
        <w:t>乙方</w:t>
      </w:r>
      <w:r>
        <w:rPr>
          <w:color w:val="auto"/>
          <w:sz w:val="28"/>
          <w:szCs w:val="28"/>
        </w:rPr>
        <w:t>承担</w:t>
      </w:r>
      <w:r>
        <w:rPr>
          <w:rFonts w:hint="eastAsia"/>
          <w:color w:val="auto"/>
          <w:sz w:val="28"/>
          <w:szCs w:val="28"/>
        </w:rPr>
        <w:t>的</w:t>
      </w:r>
      <w:r>
        <w:rPr>
          <w:color w:val="auto"/>
          <w:sz w:val="28"/>
          <w:szCs w:val="28"/>
        </w:rPr>
        <w:t>任务</w:t>
      </w:r>
      <w:r>
        <w:rPr>
          <w:rFonts w:hint="eastAsia"/>
          <w:color w:val="auto"/>
          <w:sz w:val="28"/>
          <w:szCs w:val="28"/>
        </w:rPr>
        <w:t>内容：</w:t>
      </w:r>
    </w:p>
    <w:p w14:paraId="6A74EE13">
      <w:pPr>
        <w:spacing w:line="360" w:lineRule="auto"/>
        <w:ind w:firstLine="546" w:firstLineChars="195"/>
        <w:rPr>
          <w:rFonts w:asciiTheme="minorEastAsia" w:hAnsiTheme="minorEastAsia" w:cstheme="minorEastAsia"/>
          <w:sz w:val="28"/>
          <w:szCs w:val="28"/>
          <w:u w:val="single"/>
        </w:rPr>
      </w:pPr>
      <w:r>
        <w:rPr>
          <w:rFonts w:hint="eastAsia" w:ascii="宋体" w:hAnsi="宋体"/>
          <w:color w:val="auto"/>
          <w:kern w:val="0"/>
          <w:sz w:val="28"/>
          <w:szCs w:val="28"/>
          <w:u w:val="single"/>
        </w:rPr>
        <w:t>（1）</w:t>
      </w:r>
      <w:r>
        <w:rPr>
          <w:rFonts w:hint="eastAsia" w:asciiTheme="minorEastAsia" w:hAnsiTheme="minorEastAsia" w:cstheme="minorEastAsia"/>
          <w:color w:val="auto"/>
          <w:sz w:val="28"/>
          <w:szCs w:val="28"/>
          <w:u w:val="single"/>
        </w:rPr>
        <w:t>包括但不限于</w:t>
      </w:r>
      <w:r>
        <w:rPr>
          <w:rFonts w:hint="eastAsia"/>
          <w:color w:val="auto"/>
          <w:sz w:val="28"/>
          <w:szCs w:val="18"/>
          <w:u w:val="single"/>
        </w:rPr>
        <w:t>门楼</w:t>
      </w:r>
      <w:r>
        <w:rPr>
          <w:rFonts w:hint="eastAsia" w:asciiTheme="minorEastAsia" w:hAnsiTheme="minorEastAsia" w:cstheme="minorEastAsia"/>
          <w:sz w:val="28"/>
          <w:szCs w:val="28"/>
          <w:u w:val="single"/>
        </w:rPr>
        <w:t>文物建筑进行主体沉降及水平位移监测；</w:t>
      </w:r>
    </w:p>
    <w:p w14:paraId="03E8337C">
      <w:pPr>
        <w:pStyle w:val="17"/>
        <w:widowControl w:val="0"/>
        <w:spacing w:before="0" w:beforeAutospacing="0" w:after="0" w:afterAutospacing="0" w:line="360" w:lineRule="auto"/>
        <w:ind w:firstLine="560" w:firstLineChars="200"/>
        <w:rPr>
          <w:rFonts w:hint="eastAsia"/>
          <w:kern w:val="2"/>
          <w:sz w:val="28"/>
          <w:szCs w:val="28"/>
        </w:rPr>
      </w:pPr>
      <w:r>
        <w:rPr>
          <w:rFonts w:hint="eastAsia"/>
          <w:sz w:val="28"/>
          <w:szCs w:val="28"/>
          <w:u w:val="single"/>
        </w:rPr>
        <w:t>（2）</w:t>
      </w:r>
      <w:r>
        <w:rPr>
          <w:rFonts w:hint="eastAsia" w:asciiTheme="minorEastAsia" w:hAnsiTheme="minorEastAsia" w:cstheme="minorEastAsia"/>
          <w:sz w:val="28"/>
          <w:szCs w:val="28"/>
          <w:u w:val="single"/>
        </w:rPr>
        <w:t>项目服务</w:t>
      </w:r>
      <w:r>
        <w:rPr>
          <w:rFonts w:hint="eastAsia" w:asciiTheme="minorEastAsia" w:hAnsiTheme="minorEastAsia" w:cstheme="minorEastAsia"/>
          <w:kern w:val="0"/>
          <w:sz w:val="28"/>
          <w:szCs w:val="28"/>
          <w:u w:val="single"/>
        </w:rPr>
        <w:t>期：工期预计</w:t>
      </w:r>
      <w:r>
        <w:rPr>
          <w:rFonts w:hint="eastAsia" w:asciiTheme="minorEastAsia" w:hAnsiTheme="minorEastAsia" w:cstheme="minorEastAsia"/>
          <w:kern w:val="0"/>
          <w:sz w:val="28"/>
          <w:szCs w:val="28"/>
          <w:u w:val="single"/>
          <w:lang w:val="en-US" w:eastAsia="zh-CN"/>
        </w:rPr>
        <w:t>14个月</w:t>
      </w:r>
      <w:r>
        <w:rPr>
          <w:rFonts w:hint="eastAsia" w:asciiTheme="minorEastAsia" w:hAnsiTheme="minorEastAsia" w:cstheme="minorEastAsia"/>
          <w:kern w:val="0"/>
          <w:sz w:val="28"/>
          <w:szCs w:val="28"/>
          <w:u w:val="single"/>
        </w:rPr>
        <w:t>，监测频率：</w:t>
      </w:r>
      <w:r>
        <w:rPr>
          <w:rFonts w:hint="eastAsia" w:asciiTheme="minorEastAsia" w:hAnsiTheme="minorEastAsia" w:cstheme="minorEastAsia"/>
          <w:kern w:val="0"/>
          <w:sz w:val="28"/>
          <w:szCs w:val="28"/>
          <w:u w:val="single"/>
          <w:lang w:val="en-US" w:eastAsia="zh-CN"/>
        </w:rPr>
        <w:t>前2个月按每15天监测一次</w:t>
      </w:r>
      <w:r>
        <w:rPr>
          <w:rFonts w:hint="eastAsia" w:asciiTheme="minorEastAsia" w:hAnsiTheme="minorEastAsia" w:cstheme="minorEastAsia"/>
          <w:kern w:val="0"/>
          <w:sz w:val="28"/>
          <w:szCs w:val="28"/>
          <w:u w:val="single"/>
        </w:rPr>
        <w:t>，</w:t>
      </w:r>
      <w:r>
        <w:rPr>
          <w:rFonts w:hint="eastAsia" w:asciiTheme="minorEastAsia" w:hAnsiTheme="minorEastAsia" w:cstheme="minorEastAsia"/>
          <w:kern w:val="0"/>
          <w:sz w:val="28"/>
          <w:szCs w:val="28"/>
          <w:u w:val="single"/>
          <w:lang w:val="en-US" w:eastAsia="zh-CN"/>
        </w:rPr>
        <w:t>根据监测结果分析，若监测结果稳定，后续按每3个月监测一次</w:t>
      </w:r>
      <w:r>
        <w:rPr>
          <w:rFonts w:hint="eastAsia" w:asciiTheme="minorEastAsia" w:hAnsiTheme="minorEastAsia" w:cstheme="minorEastAsia"/>
          <w:kern w:val="0"/>
          <w:sz w:val="28"/>
          <w:szCs w:val="28"/>
          <w:u w:val="single"/>
        </w:rPr>
        <w:t>，首</w:t>
      </w:r>
      <w:r>
        <w:rPr>
          <w:rFonts w:hint="eastAsia"/>
          <w:kern w:val="2"/>
          <w:sz w:val="28"/>
          <w:szCs w:val="28"/>
          <w:u w:val="single"/>
        </w:rPr>
        <w:t>次监测连续监测三次取平均值作为初始值，监测次数暂定</w:t>
      </w:r>
      <w:r>
        <w:rPr>
          <w:rFonts w:hint="eastAsia"/>
          <w:kern w:val="2"/>
          <w:sz w:val="28"/>
          <w:szCs w:val="28"/>
          <w:u w:val="single"/>
          <w:lang w:val="en-US" w:eastAsia="zh-CN"/>
        </w:rPr>
        <w:t>8</w:t>
      </w:r>
      <w:r>
        <w:rPr>
          <w:rFonts w:hint="eastAsia"/>
          <w:kern w:val="2"/>
          <w:sz w:val="28"/>
          <w:szCs w:val="28"/>
          <w:u w:val="single"/>
        </w:rPr>
        <w:t>次，最终按实际监测次数为准</w:t>
      </w:r>
      <w:r>
        <w:rPr>
          <w:rFonts w:hint="eastAsia"/>
          <w:kern w:val="2"/>
          <w:sz w:val="28"/>
          <w:szCs w:val="28"/>
        </w:rPr>
        <w:t>；</w:t>
      </w:r>
    </w:p>
    <w:p w14:paraId="29E5ACA8">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w:t>
      </w:r>
      <w:r>
        <w:rPr>
          <w:rFonts w:hint="eastAsia"/>
          <w:kern w:val="2"/>
          <w:sz w:val="28"/>
          <w:szCs w:val="28"/>
          <w:u w:val="single"/>
        </w:rPr>
        <w:t>按国家、省、市相关规范要求进行监测，包括但不限于沉降与水平位移基准点埋设、监测点埋设，精密水准测量和资料整理与提交等</w:t>
      </w:r>
      <w:r>
        <w:rPr>
          <w:rFonts w:hint="eastAsia"/>
          <w:kern w:val="2"/>
          <w:sz w:val="28"/>
          <w:szCs w:val="28"/>
        </w:rPr>
        <w:t>；</w:t>
      </w:r>
    </w:p>
    <w:p w14:paraId="6B2197E5">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（4）按照规范要求，监测精度采用二等。</w:t>
      </w:r>
    </w:p>
    <w:p w14:paraId="12A29F18">
      <w:pPr>
        <w:pStyle w:val="17"/>
        <w:widowControl w:val="0"/>
        <w:spacing w:before="0" w:beforeAutospacing="0" w:after="0" w:afterAutospacing="0" w:line="360" w:lineRule="auto"/>
        <w:ind w:firstLine="560" w:firstLineChars="200"/>
        <w:rPr>
          <w:sz w:val="28"/>
          <w:szCs w:val="28"/>
          <w:u w:val="single"/>
        </w:rPr>
      </w:pPr>
      <w:r>
        <w:rPr>
          <w:rFonts w:hint="eastAsia"/>
          <w:kern w:val="2"/>
          <w:sz w:val="28"/>
          <w:szCs w:val="28"/>
          <w:u w:val="single"/>
        </w:rPr>
        <w:t>1.</w:t>
      </w:r>
      <w:r>
        <w:rPr>
          <w:rFonts w:hint="eastAsia"/>
          <w:kern w:val="2"/>
          <w:sz w:val="28"/>
          <w:szCs w:val="28"/>
          <w:u w:val="single"/>
          <w:lang w:val="en-US" w:eastAsia="zh-CN"/>
        </w:rPr>
        <w:t>5</w:t>
      </w:r>
      <w:r>
        <w:rPr>
          <w:rFonts w:hint="eastAsia"/>
          <w:kern w:val="2"/>
          <w:sz w:val="28"/>
          <w:szCs w:val="28"/>
          <w:u w:val="single"/>
        </w:rPr>
        <w:t>技术要求：按《建筑变形测</w:t>
      </w:r>
      <w:r>
        <w:rPr>
          <w:rFonts w:hint="eastAsia" w:ascii="宋体" w:hAnsi="宋体"/>
          <w:kern w:val="0"/>
          <w:sz w:val="28"/>
          <w:szCs w:val="28"/>
          <w:u w:val="single"/>
        </w:rPr>
        <w:t>量规范》JGJ 8-2016、《建筑基坑工程监测技术规范》GB 50497-2019、《工程测量标准》GB 50026-2020及本项目设计图纸及相关资料</w:t>
      </w:r>
      <w:r>
        <w:rPr>
          <w:rFonts w:hint="eastAsia" w:ascii="宋体" w:hAnsi="宋体"/>
          <w:kern w:val="0"/>
          <w:sz w:val="28"/>
          <w:szCs w:val="28"/>
        </w:rPr>
        <w:t>执行</w:t>
      </w:r>
      <w:r>
        <w:rPr>
          <w:rFonts w:hint="eastAsia"/>
        </w:rPr>
        <w:t>。</w:t>
      </w:r>
    </w:p>
    <w:p w14:paraId="495DC86F">
      <w:pPr>
        <w:spacing w:line="360" w:lineRule="auto"/>
        <w:ind w:firstLine="546" w:firstLineChars="195"/>
        <w:rPr>
          <w:sz w:val="28"/>
          <w:szCs w:val="28"/>
        </w:rPr>
      </w:pPr>
      <w:r>
        <w:rPr>
          <w:rFonts w:hint="eastAsia" w:ascii="宋体" w:hAnsi="宋体"/>
          <w:kern w:val="0"/>
          <w:sz w:val="28"/>
          <w:szCs w:val="28"/>
        </w:rPr>
        <w:t>1.</w:t>
      </w:r>
      <w:r>
        <w:rPr>
          <w:rFonts w:hint="eastAsia" w:ascii="宋体" w:hAnsi="宋体"/>
          <w:kern w:val="0"/>
          <w:sz w:val="28"/>
          <w:szCs w:val="28"/>
          <w:lang w:val="en-US" w:eastAsia="zh-CN"/>
        </w:rPr>
        <w:t>6</w:t>
      </w:r>
      <w:r>
        <w:rPr>
          <w:sz w:val="28"/>
          <w:szCs w:val="28"/>
        </w:rPr>
        <w:t>工作量</w:t>
      </w:r>
      <w:r>
        <w:rPr>
          <w:rFonts w:hint="eastAsia"/>
          <w:sz w:val="28"/>
          <w:szCs w:val="28"/>
        </w:rPr>
        <w:t>清单：见附件1</w:t>
      </w:r>
    </w:p>
    <w:p w14:paraId="661C8181">
      <w:pPr>
        <w:pStyle w:val="17"/>
        <w:widowControl w:val="0"/>
        <w:spacing w:before="0" w:beforeAutospacing="0" w:after="0" w:afterAutospacing="0" w:line="360" w:lineRule="auto"/>
        <w:ind w:firstLine="562" w:firstLineChars="200"/>
        <w:rPr>
          <w:rFonts w:hint="eastAsia"/>
          <w:kern w:val="2"/>
          <w:sz w:val="28"/>
          <w:szCs w:val="28"/>
        </w:rPr>
      </w:pPr>
      <w:r>
        <w:rPr>
          <w:b/>
          <w:bCs/>
          <w:sz w:val="28"/>
          <w:szCs w:val="28"/>
        </w:rPr>
        <w:t>第二条</w:t>
      </w:r>
      <w:r>
        <w:rPr>
          <w:rFonts w:hint="eastAsia" w:ascii="宋体" w:hAnsi="宋体"/>
          <w:spacing w:val="14"/>
          <w:sz w:val="28"/>
          <w:szCs w:val="28"/>
        </w:rPr>
        <w:t>甲方</w:t>
      </w:r>
      <w:r>
        <w:rPr>
          <w:rFonts w:ascii="宋体" w:hAnsi="宋体"/>
          <w:spacing w:val="14"/>
          <w:sz w:val="28"/>
          <w:szCs w:val="28"/>
        </w:rPr>
        <w:t>应及时</w:t>
      </w:r>
      <w:r>
        <w:rPr>
          <w:rFonts w:hint="eastAsia"/>
          <w:kern w:val="2"/>
          <w:sz w:val="28"/>
          <w:szCs w:val="28"/>
        </w:rPr>
        <w:t>向乙方提供下列文件资料，并对其准确性、可靠性负责。</w:t>
      </w:r>
    </w:p>
    <w:p w14:paraId="37BC56D9">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2.1提供岩土勘测资料。</w:t>
      </w:r>
    </w:p>
    <w:p w14:paraId="11BEFE33">
      <w:pPr>
        <w:pStyle w:val="17"/>
        <w:widowControl w:val="0"/>
        <w:spacing w:before="0" w:beforeAutospacing="0" w:after="0" w:afterAutospacing="0" w:line="360" w:lineRule="auto"/>
        <w:ind w:firstLine="560" w:firstLineChars="200"/>
        <w:rPr>
          <w:sz w:val="28"/>
          <w:szCs w:val="28"/>
        </w:rPr>
      </w:pPr>
      <w:r>
        <w:rPr>
          <w:rFonts w:hint="eastAsia"/>
          <w:kern w:val="2"/>
          <w:sz w:val="28"/>
          <w:szCs w:val="28"/>
        </w:rPr>
        <w:t>2.2提供技术设计要求</w:t>
      </w:r>
      <w:r>
        <w:rPr>
          <w:rFonts w:hint="eastAsia"/>
          <w:sz w:val="28"/>
          <w:szCs w:val="28"/>
        </w:rPr>
        <w:t>及相关图纸。</w:t>
      </w:r>
    </w:p>
    <w:p w14:paraId="7643F65A">
      <w:pPr>
        <w:pStyle w:val="17"/>
        <w:widowControl w:val="0"/>
        <w:spacing w:before="0" w:beforeAutospacing="0" w:after="0" w:afterAutospacing="0" w:line="360" w:lineRule="auto"/>
        <w:ind w:firstLine="562" w:firstLineChars="200"/>
        <w:rPr>
          <w:rFonts w:hint="eastAsia"/>
          <w:kern w:val="2"/>
          <w:sz w:val="28"/>
          <w:szCs w:val="28"/>
        </w:rPr>
      </w:pPr>
      <w:r>
        <w:rPr>
          <w:b/>
          <w:bCs/>
          <w:sz w:val="28"/>
          <w:szCs w:val="28"/>
        </w:rPr>
        <w:t>第三条</w:t>
      </w:r>
      <w:r>
        <w:rPr>
          <w:rFonts w:hint="eastAsia"/>
          <w:sz w:val="28"/>
          <w:szCs w:val="28"/>
        </w:rPr>
        <w:t>开工及</w:t>
      </w:r>
      <w:r>
        <w:rPr>
          <w:rFonts w:hint="eastAsia"/>
          <w:kern w:val="2"/>
          <w:sz w:val="28"/>
          <w:szCs w:val="28"/>
        </w:rPr>
        <w:t>提交成果资料时间</w:t>
      </w:r>
    </w:p>
    <w:p w14:paraId="0FC3FEE4">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3.1本工程监测开始时间以接到发包人书面通知为准，结束时间以完成所有监测服务内容和工作为止。</w:t>
      </w:r>
    </w:p>
    <w:p w14:paraId="7D03B976">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3.2提交成果资料时间</w:t>
      </w:r>
    </w:p>
    <w:p w14:paraId="52478D6A">
      <w:pPr>
        <w:pStyle w:val="17"/>
        <w:widowControl w:val="0"/>
        <w:spacing w:before="0" w:beforeAutospacing="0" w:after="0" w:afterAutospacing="0" w:line="360" w:lineRule="auto"/>
        <w:ind w:firstLine="560" w:firstLineChars="200"/>
        <w:rPr>
          <w:sz w:val="28"/>
          <w:szCs w:val="28"/>
        </w:rPr>
      </w:pPr>
      <w:r>
        <w:rPr>
          <w:rFonts w:hint="eastAsia"/>
          <w:kern w:val="2"/>
          <w:sz w:val="28"/>
          <w:szCs w:val="28"/>
        </w:rPr>
        <w:t>（1）</w:t>
      </w:r>
      <w:r>
        <w:rPr>
          <w:rFonts w:hint="eastAsia"/>
          <w:kern w:val="2"/>
          <w:sz w:val="28"/>
          <w:szCs w:val="28"/>
          <w:lang w:val="en-US" w:eastAsia="zh-CN"/>
        </w:rPr>
        <w:t>监测服务完成</w:t>
      </w:r>
      <w:r>
        <w:rPr>
          <w:rFonts w:hint="eastAsia"/>
          <w:color w:val="auto"/>
          <w:kern w:val="2"/>
          <w:sz w:val="28"/>
          <w:szCs w:val="28"/>
          <w:lang w:val="en-US" w:eastAsia="zh-CN"/>
        </w:rPr>
        <w:t>后15日内</w:t>
      </w:r>
      <w:r>
        <w:rPr>
          <w:rFonts w:hint="eastAsia"/>
          <w:color w:val="auto"/>
          <w:kern w:val="2"/>
          <w:sz w:val="28"/>
          <w:szCs w:val="28"/>
        </w:rPr>
        <w:t>，提</w:t>
      </w:r>
      <w:r>
        <w:rPr>
          <w:rFonts w:hint="eastAsia"/>
          <w:kern w:val="2"/>
          <w:sz w:val="28"/>
          <w:szCs w:val="28"/>
        </w:rPr>
        <w:t>交</w:t>
      </w:r>
      <w:r>
        <w:rPr>
          <w:rFonts w:hint="eastAsia"/>
          <w:kern w:val="2"/>
          <w:sz w:val="28"/>
          <w:szCs w:val="28"/>
          <w:lang w:val="en-US" w:eastAsia="zh-CN"/>
        </w:rPr>
        <w:t>监测</w:t>
      </w:r>
      <w:r>
        <w:rPr>
          <w:rFonts w:hint="eastAsia"/>
          <w:kern w:val="2"/>
          <w:sz w:val="28"/>
          <w:szCs w:val="28"/>
        </w:rPr>
        <w:t>报告（乙方向甲方提</w:t>
      </w:r>
      <w:r>
        <w:rPr>
          <w:sz w:val="28"/>
          <w:szCs w:val="28"/>
        </w:rPr>
        <w:t>交</w:t>
      </w:r>
      <w:r>
        <w:rPr>
          <w:rFonts w:hint="eastAsia"/>
          <w:sz w:val="28"/>
          <w:szCs w:val="28"/>
          <w:u w:val="single"/>
        </w:rPr>
        <w:t>4</w:t>
      </w:r>
      <w:r>
        <w:rPr>
          <w:sz w:val="28"/>
          <w:szCs w:val="28"/>
        </w:rPr>
        <w:t>份</w:t>
      </w:r>
      <w:r>
        <w:rPr>
          <w:rFonts w:hint="eastAsia"/>
          <w:sz w:val="28"/>
          <w:szCs w:val="28"/>
        </w:rPr>
        <w:t>最终报告）。</w:t>
      </w:r>
      <w:bookmarkStart w:id="114" w:name="_GoBack"/>
      <w:bookmarkEnd w:id="114"/>
    </w:p>
    <w:p w14:paraId="5D42E947">
      <w:pPr>
        <w:pStyle w:val="17"/>
        <w:spacing w:before="0" w:beforeAutospacing="0" w:after="156" w:afterLines="50" w:afterAutospacing="0" w:line="360" w:lineRule="auto"/>
        <w:ind w:firstLine="562" w:firstLineChars="200"/>
        <w:rPr>
          <w:sz w:val="28"/>
          <w:szCs w:val="28"/>
        </w:rPr>
      </w:pPr>
      <w:r>
        <w:rPr>
          <w:b/>
          <w:bCs/>
          <w:sz w:val="28"/>
          <w:szCs w:val="28"/>
        </w:rPr>
        <w:t>第四条</w:t>
      </w:r>
      <w:r>
        <w:rPr>
          <w:sz w:val="28"/>
          <w:szCs w:val="28"/>
        </w:rPr>
        <w:t>收费及付费方式</w:t>
      </w:r>
    </w:p>
    <w:p w14:paraId="6C8EB793">
      <w:pPr>
        <w:pStyle w:val="17"/>
        <w:spacing w:before="0" w:beforeAutospacing="0" w:after="0" w:afterAutospacing="0" w:line="360" w:lineRule="auto"/>
        <w:ind w:firstLine="562" w:firstLineChars="200"/>
        <w:rPr>
          <w:b/>
          <w:sz w:val="28"/>
          <w:szCs w:val="28"/>
        </w:rPr>
      </w:pPr>
      <w:r>
        <w:rPr>
          <w:rFonts w:hint="eastAsia"/>
          <w:b/>
          <w:sz w:val="28"/>
          <w:szCs w:val="28"/>
        </w:rPr>
        <w:t>4.1价款形式</w:t>
      </w:r>
    </w:p>
    <w:p w14:paraId="00D91280">
      <w:pPr>
        <w:pStyle w:val="17"/>
        <w:spacing w:before="0" w:beforeAutospacing="0" w:after="0" w:afterAutospacing="0" w:line="360" w:lineRule="auto"/>
        <w:ind w:firstLine="560" w:firstLineChars="200"/>
        <w:rPr>
          <w:sz w:val="28"/>
          <w:szCs w:val="28"/>
        </w:rPr>
      </w:pPr>
      <w:r>
        <w:rPr>
          <w:rFonts w:hint="eastAsia" w:ascii="Times New Roman"/>
          <w:snapToGrid w:val="0"/>
          <w:sz w:val="28"/>
          <w:szCs w:val="28"/>
        </w:rPr>
        <w:t>本项目费用采用综合单价包干形式，暂定总价为</w:t>
      </w:r>
      <w:r>
        <w:rPr>
          <w:rFonts w:hint="eastAsia" w:ascii="宋体" w:hAnsi="宋体"/>
          <w:sz w:val="28"/>
          <w:szCs w:val="28"/>
          <w:u w:val="single"/>
        </w:rPr>
        <w:t xml:space="preserve">大写：人民币       </w:t>
      </w:r>
      <w:r>
        <w:rPr>
          <w:rFonts w:hint="eastAsia"/>
          <w:sz w:val="28"/>
          <w:szCs w:val="28"/>
          <w:u w:val="single"/>
          <w:lang w:eastAsia="zh-CN"/>
        </w:rPr>
        <w:t>元</w:t>
      </w:r>
      <w:r>
        <w:rPr>
          <w:rFonts w:hint="eastAsia" w:ascii="宋体" w:hAnsi="宋体"/>
          <w:sz w:val="28"/>
          <w:szCs w:val="28"/>
          <w:u w:val="single"/>
        </w:rPr>
        <w:t>；小写：¥     元</w:t>
      </w:r>
      <w:r>
        <w:rPr>
          <w:rFonts w:hint="eastAsia"/>
          <w:sz w:val="28"/>
          <w:szCs w:val="28"/>
        </w:rPr>
        <w:t>，以上计费包括人工费、税费、管理费、材料费、成果报告等费用,最终以实际完成工作量结算。</w:t>
      </w:r>
    </w:p>
    <w:p w14:paraId="04B3E3AD">
      <w:pPr>
        <w:pStyle w:val="17"/>
        <w:spacing w:before="0" w:beforeAutospacing="0" w:after="0" w:afterAutospacing="0" w:line="360" w:lineRule="auto"/>
        <w:ind w:firstLine="562" w:firstLineChars="200"/>
        <w:rPr>
          <w:b/>
          <w:spacing w:val="14"/>
          <w:sz w:val="28"/>
          <w:szCs w:val="28"/>
        </w:rPr>
      </w:pPr>
      <w:r>
        <w:rPr>
          <w:rFonts w:hint="eastAsia"/>
          <w:b/>
          <w:sz w:val="28"/>
          <w:szCs w:val="28"/>
        </w:rPr>
        <w:t>4.2</w:t>
      </w:r>
      <w:r>
        <w:rPr>
          <w:b/>
          <w:sz w:val="28"/>
          <w:szCs w:val="28"/>
        </w:rPr>
        <w:t>付费方式</w:t>
      </w:r>
    </w:p>
    <w:p w14:paraId="0C7828FB">
      <w:pPr>
        <w:pStyle w:val="17"/>
        <w:widowControl w:val="0"/>
        <w:spacing w:before="0" w:beforeAutospacing="0" w:after="0" w:afterAutospacing="0" w:line="360" w:lineRule="auto"/>
        <w:ind w:firstLine="560" w:firstLineChars="200"/>
        <w:rPr>
          <w:rFonts w:hint="eastAsia"/>
          <w:kern w:val="2"/>
          <w:sz w:val="28"/>
          <w:szCs w:val="28"/>
        </w:rPr>
      </w:pPr>
      <w:r>
        <w:rPr>
          <w:rFonts w:hint="eastAsia"/>
          <w:sz w:val="28"/>
          <w:szCs w:val="18"/>
        </w:rPr>
        <w:t>（1）</w:t>
      </w:r>
      <w:r>
        <w:rPr>
          <w:rFonts w:hint="eastAsia"/>
          <w:kern w:val="2"/>
          <w:sz w:val="28"/>
          <w:szCs w:val="28"/>
        </w:rPr>
        <w:t>乙方</w:t>
      </w:r>
      <w:r>
        <w:rPr>
          <w:rFonts w:hint="eastAsia"/>
          <w:kern w:val="2"/>
          <w:sz w:val="28"/>
          <w:szCs w:val="28"/>
          <w:lang w:eastAsia="zh-CN"/>
        </w:rPr>
        <w:t>在完成本项目</w:t>
      </w:r>
      <w:r>
        <w:rPr>
          <w:rFonts w:hint="eastAsia"/>
          <w:kern w:val="2"/>
          <w:sz w:val="28"/>
          <w:szCs w:val="28"/>
        </w:rPr>
        <w:t>监测工作</w:t>
      </w:r>
      <w:r>
        <w:rPr>
          <w:rFonts w:hint="eastAsia"/>
          <w:kern w:val="2"/>
          <w:sz w:val="28"/>
          <w:szCs w:val="28"/>
          <w:lang w:eastAsia="zh-CN"/>
        </w:rPr>
        <w:t>并向</w:t>
      </w:r>
      <w:r>
        <w:rPr>
          <w:rFonts w:hint="eastAsia"/>
          <w:kern w:val="2"/>
          <w:sz w:val="28"/>
          <w:szCs w:val="28"/>
        </w:rPr>
        <w:t>甲方</w:t>
      </w:r>
      <w:r>
        <w:rPr>
          <w:rFonts w:hint="eastAsia"/>
          <w:kern w:val="2"/>
          <w:sz w:val="28"/>
          <w:szCs w:val="28"/>
          <w:lang w:eastAsia="zh-CN"/>
        </w:rPr>
        <w:t>提交</w:t>
      </w:r>
      <w:r>
        <w:rPr>
          <w:rFonts w:hint="eastAsia"/>
          <w:kern w:val="2"/>
          <w:sz w:val="28"/>
          <w:szCs w:val="28"/>
        </w:rPr>
        <w:t>符合要求的监测报告</w:t>
      </w:r>
      <w:r>
        <w:rPr>
          <w:rFonts w:hint="eastAsia"/>
          <w:kern w:val="2"/>
          <w:sz w:val="28"/>
          <w:szCs w:val="28"/>
          <w:lang w:eastAsia="zh-CN"/>
        </w:rPr>
        <w:t>后，向</w:t>
      </w:r>
      <w:r>
        <w:rPr>
          <w:rFonts w:hint="eastAsia"/>
          <w:kern w:val="2"/>
          <w:sz w:val="28"/>
          <w:szCs w:val="28"/>
        </w:rPr>
        <w:t>甲方</w:t>
      </w:r>
      <w:r>
        <w:rPr>
          <w:rFonts w:hint="eastAsia"/>
          <w:kern w:val="2"/>
          <w:sz w:val="28"/>
          <w:szCs w:val="28"/>
          <w:lang w:eastAsia="zh-CN"/>
        </w:rPr>
        <w:t>提交完整合格的结算资料</w:t>
      </w:r>
      <w:r>
        <w:rPr>
          <w:rFonts w:hint="eastAsia"/>
          <w:kern w:val="2"/>
          <w:sz w:val="28"/>
          <w:szCs w:val="28"/>
        </w:rPr>
        <w:t>，经甲方确认后</w:t>
      </w:r>
      <w:r>
        <w:rPr>
          <w:rFonts w:hint="eastAsia"/>
          <w:kern w:val="2"/>
          <w:sz w:val="28"/>
          <w:szCs w:val="28"/>
          <w:lang w:val="en-US" w:eastAsia="zh-CN"/>
        </w:rPr>
        <w:t>30</w:t>
      </w:r>
      <w:r>
        <w:rPr>
          <w:rFonts w:hint="eastAsia"/>
          <w:kern w:val="2"/>
          <w:sz w:val="28"/>
          <w:szCs w:val="28"/>
        </w:rPr>
        <w:t>天内，甲方一次性支付全部</w:t>
      </w:r>
      <w:r>
        <w:rPr>
          <w:rFonts w:hint="eastAsia"/>
          <w:kern w:val="2"/>
          <w:sz w:val="28"/>
          <w:szCs w:val="28"/>
          <w:lang w:val="en-US" w:eastAsia="zh-CN"/>
        </w:rPr>
        <w:t>监测服务费</w:t>
      </w:r>
      <w:r>
        <w:rPr>
          <w:rFonts w:hint="eastAsia"/>
          <w:kern w:val="2"/>
          <w:sz w:val="28"/>
          <w:szCs w:val="28"/>
        </w:rPr>
        <w:t>给乙方。</w:t>
      </w:r>
    </w:p>
    <w:p w14:paraId="1B059955">
      <w:pPr>
        <w:pStyle w:val="17"/>
        <w:widowControl w:val="0"/>
        <w:spacing w:before="0" w:beforeAutospacing="0" w:after="0" w:afterAutospacing="0" w:line="360" w:lineRule="auto"/>
        <w:ind w:firstLine="560" w:firstLineChars="200"/>
        <w:rPr>
          <w:rFonts w:ascii="Times New Roman"/>
          <w:snapToGrid w:val="0"/>
          <w:sz w:val="28"/>
          <w:szCs w:val="28"/>
        </w:rPr>
      </w:pPr>
      <w:r>
        <w:rPr>
          <w:rFonts w:hint="eastAsia"/>
          <w:kern w:val="2"/>
          <w:sz w:val="28"/>
          <w:szCs w:val="28"/>
          <w:lang w:eastAsia="zh-CN"/>
        </w:rPr>
        <w:t>（</w:t>
      </w:r>
      <w:r>
        <w:rPr>
          <w:rFonts w:hint="eastAsia"/>
          <w:kern w:val="2"/>
          <w:sz w:val="28"/>
          <w:szCs w:val="28"/>
          <w:lang w:val="en-US" w:eastAsia="zh-CN"/>
        </w:rPr>
        <w:t>2）</w:t>
      </w:r>
      <w:r>
        <w:rPr>
          <w:rFonts w:hint="eastAsia"/>
          <w:kern w:val="2"/>
          <w:sz w:val="28"/>
          <w:szCs w:val="28"/>
        </w:rPr>
        <w:t>甲方支付工程款前，乙方应向甲方开具与支付金</w:t>
      </w:r>
      <w:r>
        <w:rPr>
          <w:rFonts w:hint="eastAsia" w:cs="Calibri"/>
          <w:sz w:val="28"/>
          <w:szCs w:val="28"/>
        </w:rPr>
        <w:t>额等额的有效合法发票。</w:t>
      </w:r>
    </w:p>
    <w:p w14:paraId="26DEF102">
      <w:pPr>
        <w:pStyle w:val="17"/>
        <w:spacing w:before="0" w:beforeAutospacing="0" w:after="156" w:afterLines="50" w:afterAutospacing="0" w:line="440" w:lineRule="exact"/>
        <w:ind w:firstLine="562" w:firstLineChars="200"/>
        <w:rPr>
          <w:sz w:val="28"/>
          <w:szCs w:val="28"/>
        </w:rPr>
      </w:pPr>
      <w:r>
        <w:rPr>
          <w:b/>
          <w:bCs/>
          <w:sz w:val="28"/>
          <w:szCs w:val="28"/>
        </w:rPr>
        <w:t>第五条</w:t>
      </w:r>
      <w:r>
        <w:rPr>
          <w:rFonts w:hint="eastAsia"/>
          <w:sz w:val="28"/>
          <w:szCs w:val="28"/>
        </w:rPr>
        <w:t>甲乙双方</w:t>
      </w:r>
      <w:r>
        <w:rPr>
          <w:sz w:val="28"/>
          <w:szCs w:val="28"/>
        </w:rPr>
        <w:t>责任</w:t>
      </w:r>
    </w:p>
    <w:p w14:paraId="79BF8E78">
      <w:pPr>
        <w:pStyle w:val="17"/>
        <w:spacing w:before="0" w:beforeAutospacing="0" w:after="156" w:afterLines="50" w:afterAutospacing="0" w:line="440" w:lineRule="exact"/>
        <w:ind w:firstLine="560" w:firstLineChars="200"/>
        <w:rPr>
          <w:sz w:val="28"/>
          <w:szCs w:val="28"/>
        </w:rPr>
      </w:pPr>
      <w:r>
        <w:rPr>
          <w:rFonts w:hint="eastAsia"/>
          <w:sz w:val="28"/>
          <w:szCs w:val="28"/>
        </w:rPr>
        <w:t>5.1甲方</w:t>
      </w:r>
      <w:r>
        <w:rPr>
          <w:sz w:val="28"/>
          <w:szCs w:val="28"/>
        </w:rPr>
        <w:t>责任</w:t>
      </w:r>
    </w:p>
    <w:p w14:paraId="3E9F971C">
      <w:pPr>
        <w:pStyle w:val="17"/>
        <w:spacing w:before="0" w:beforeAutospacing="0" w:after="156" w:afterLines="50" w:afterAutospacing="0" w:line="440" w:lineRule="exact"/>
        <w:ind w:firstLine="560" w:firstLineChars="200"/>
        <w:rPr>
          <w:sz w:val="28"/>
          <w:szCs w:val="28"/>
        </w:rPr>
      </w:pPr>
      <w:r>
        <w:rPr>
          <w:rFonts w:hint="eastAsia"/>
          <w:sz w:val="28"/>
          <w:szCs w:val="28"/>
        </w:rPr>
        <w:t>5.1.1协助乙方埋设监测点。</w:t>
      </w:r>
    </w:p>
    <w:p w14:paraId="027C8D7C">
      <w:pPr>
        <w:pStyle w:val="17"/>
        <w:spacing w:before="0" w:beforeAutospacing="0" w:after="156" w:afterLines="50" w:afterAutospacing="0" w:line="440" w:lineRule="exact"/>
        <w:ind w:firstLine="560" w:firstLineChars="200"/>
        <w:rPr>
          <w:sz w:val="28"/>
          <w:szCs w:val="28"/>
        </w:rPr>
      </w:pPr>
      <w:r>
        <w:rPr>
          <w:rFonts w:hint="eastAsia"/>
          <w:sz w:val="28"/>
          <w:szCs w:val="28"/>
        </w:rPr>
        <w:t>5.1.2协助乙方保护基准点和监测点。</w:t>
      </w:r>
    </w:p>
    <w:p w14:paraId="4346D22F">
      <w:pPr>
        <w:pStyle w:val="17"/>
        <w:spacing w:before="0" w:beforeAutospacing="0" w:after="156" w:afterLines="50" w:afterAutospacing="0" w:line="440" w:lineRule="exact"/>
        <w:ind w:firstLine="560" w:firstLineChars="200"/>
        <w:rPr>
          <w:sz w:val="28"/>
          <w:szCs w:val="28"/>
        </w:rPr>
      </w:pPr>
      <w:r>
        <w:rPr>
          <w:rFonts w:hint="eastAsia"/>
          <w:sz w:val="28"/>
          <w:szCs w:val="28"/>
        </w:rPr>
        <w:t>5.1.3 按时支付相应的工程款。</w:t>
      </w:r>
    </w:p>
    <w:p w14:paraId="5637FDF1">
      <w:pPr>
        <w:pStyle w:val="17"/>
        <w:widowControl w:val="0"/>
        <w:spacing w:before="0" w:beforeAutospacing="0" w:after="156" w:afterLines="50" w:afterAutospacing="0" w:line="440" w:lineRule="exact"/>
        <w:ind w:firstLine="560" w:firstLineChars="200"/>
        <w:rPr>
          <w:sz w:val="28"/>
          <w:szCs w:val="28"/>
        </w:rPr>
      </w:pPr>
      <w:r>
        <w:rPr>
          <w:rFonts w:hint="eastAsia"/>
          <w:sz w:val="28"/>
          <w:szCs w:val="28"/>
        </w:rPr>
        <w:t>5.2乙方</w:t>
      </w:r>
      <w:r>
        <w:rPr>
          <w:sz w:val="28"/>
          <w:szCs w:val="28"/>
        </w:rPr>
        <w:t>责任</w:t>
      </w:r>
    </w:p>
    <w:p w14:paraId="75E84858">
      <w:pPr>
        <w:pStyle w:val="17"/>
        <w:widowControl w:val="0"/>
        <w:spacing w:before="0" w:beforeAutospacing="0" w:after="0" w:afterAutospacing="0" w:line="360" w:lineRule="auto"/>
        <w:ind w:firstLine="560" w:firstLineChars="200"/>
        <w:rPr>
          <w:sz w:val="28"/>
          <w:szCs w:val="28"/>
        </w:rPr>
      </w:pPr>
      <w:r>
        <w:rPr>
          <w:rFonts w:hint="eastAsia"/>
          <w:sz w:val="28"/>
          <w:szCs w:val="28"/>
        </w:rPr>
        <w:t>5.2.1</w:t>
      </w:r>
      <w:r>
        <w:rPr>
          <w:rFonts w:hint="eastAsia"/>
          <w:kern w:val="2"/>
          <w:sz w:val="28"/>
          <w:szCs w:val="28"/>
        </w:rPr>
        <w:t>依照国家有关基坑监测技术规范和甲方提出的合理监测要求进行监测，提交成果报告及数据资料监测精度达到相关规范要求，满足建设主管部门要求，对成果资</w:t>
      </w:r>
      <w:r>
        <w:rPr>
          <w:rFonts w:hint="eastAsia"/>
          <w:sz w:val="28"/>
          <w:szCs w:val="28"/>
        </w:rPr>
        <w:t>料</w:t>
      </w:r>
      <w:r>
        <w:rPr>
          <w:sz w:val="28"/>
          <w:szCs w:val="28"/>
        </w:rPr>
        <w:t>负责</w:t>
      </w:r>
      <w:r>
        <w:rPr>
          <w:rFonts w:hint="eastAsia"/>
          <w:sz w:val="28"/>
          <w:szCs w:val="28"/>
        </w:rPr>
        <w:t>。</w:t>
      </w:r>
    </w:p>
    <w:p w14:paraId="6556E960">
      <w:pPr>
        <w:pStyle w:val="17"/>
        <w:widowControl w:val="0"/>
        <w:spacing w:before="0" w:beforeAutospacing="0" w:after="0" w:afterAutospacing="0" w:line="360" w:lineRule="auto"/>
        <w:ind w:firstLine="560" w:firstLineChars="200"/>
        <w:rPr>
          <w:sz w:val="28"/>
          <w:szCs w:val="28"/>
        </w:rPr>
      </w:pPr>
      <w:r>
        <w:rPr>
          <w:rFonts w:hint="eastAsia"/>
          <w:sz w:val="28"/>
          <w:szCs w:val="28"/>
        </w:rPr>
        <w:t>5.2.2开工前五个工作日内必须编制完整的监测技术方案及保证措施，报甲方审批。</w:t>
      </w:r>
    </w:p>
    <w:p w14:paraId="5277479A">
      <w:pPr>
        <w:pStyle w:val="17"/>
        <w:widowControl w:val="0"/>
        <w:spacing w:before="0" w:beforeAutospacing="0" w:after="0" w:afterAutospacing="0" w:line="360" w:lineRule="auto"/>
        <w:ind w:firstLine="560" w:firstLineChars="200"/>
        <w:rPr>
          <w:sz w:val="28"/>
          <w:szCs w:val="28"/>
        </w:rPr>
      </w:pPr>
      <w:r>
        <w:rPr>
          <w:rFonts w:hint="eastAsia"/>
          <w:sz w:val="28"/>
          <w:szCs w:val="28"/>
        </w:rPr>
        <w:t>5.2.3按相关安全法规进行安全工作，遵守甲方施工现场管理的有关规定，承担在施工过程中的防火、防盗、防止意外事故发生等安全责任。若出现安全问题，责任由乙方承担。</w:t>
      </w:r>
    </w:p>
    <w:p w14:paraId="6A38DA5E">
      <w:pPr>
        <w:pStyle w:val="17"/>
        <w:widowControl w:val="0"/>
        <w:spacing w:before="0" w:beforeAutospacing="0" w:after="0" w:afterAutospacing="0" w:line="360" w:lineRule="auto"/>
        <w:ind w:firstLine="560" w:firstLineChars="200"/>
        <w:rPr>
          <w:sz w:val="28"/>
          <w:szCs w:val="28"/>
        </w:rPr>
      </w:pPr>
      <w:r>
        <w:rPr>
          <w:rFonts w:hint="eastAsia"/>
          <w:sz w:val="28"/>
          <w:szCs w:val="28"/>
        </w:rPr>
        <w:t>5.2.4乙方要做到文明施工，处理好与其他在建专业施工队伍的关系，同时遵守甲方现场施工的管理规定。</w:t>
      </w:r>
    </w:p>
    <w:p w14:paraId="6BCDC4EE">
      <w:pPr>
        <w:pStyle w:val="17"/>
        <w:widowControl w:val="0"/>
        <w:spacing w:before="0" w:beforeAutospacing="0" w:after="0" w:afterAutospacing="0" w:line="360" w:lineRule="auto"/>
        <w:ind w:firstLine="560" w:firstLineChars="200"/>
        <w:rPr>
          <w:sz w:val="28"/>
          <w:szCs w:val="28"/>
        </w:rPr>
      </w:pPr>
      <w:r>
        <w:rPr>
          <w:rFonts w:hint="eastAsia"/>
          <w:sz w:val="28"/>
          <w:szCs w:val="28"/>
        </w:rPr>
        <w:t>5.2.5乙方在达到本合同的付款条件并经甲方确认后发出付款通知及提供相关资料，若乙方未及时提供前述资料，甲方可相应顺延付款时间。</w:t>
      </w:r>
    </w:p>
    <w:p w14:paraId="54EA7DB2">
      <w:pPr>
        <w:pStyle w:val="17"/>
        <w:adjustRightInd w:val="0"/>
        <w:snapToGrid w:val="0"/>
        <w:spacing w:before="156" w:beforeLines="50" w:beforeAutospacing="0" w:after="0" w:afterAutospacing="0" w:line="360" w:lineRule="auto"/>
        <w:ind w:firstLine="562" w:firstLineChars="200"/>
        <w:rPr>
          <w:sz w:val="28"/>
          <w:szCs w:val="28"/>
        </w:rPr>
      </w:pPr>
      <w:r>
        <w:rPr>
          <w:b/>
          <w:bCs/>
          <w:sz w:val="28"/>
          <w:szCs w:val="28"/>
        </w:rPr>
        <w:t>第六条</w:t>
      </w:r>
      <w:r>
        <w:rPr>
          <w:sz w:val="28"/>
          <w:szCs w:val="28"/>
        </w:rPr>
        <w:t>违约责任</w:t>
      </w:r>
    </w:p>
    <w:p w14:paraId="7C41B4C2">
      <w:pPr>
        <w:pStyle w:val="17"/>
        <w:adjustRightInd w:val="0"/>
        <w:snapToGrid w:val="0"/>
        <w:spacing w:before="0" w:beforeAutospacing="0" w:after="0" w:afterAutospacing="0" w:line="360" w:lineRule="auto"/>
        <w:ind w:firstLine="560" w:firstLineChars="200"/>
        <w:rPr>
          <w:sz w:val="28"/>
          <w:szCs w:val="28"/>
        </w:rPr>
      </w:pPr>
      <w:r>
        <w:rPr>
          <w:rFonts w:hint="eastAsia"/>
          <w:sz w:val="28"/>
          <w:szCs w:val="28"/>
        </w:rPr>
        <w:t>6.1</w:t>
      </w:r>
      <w:r>
        <w:rPr>
          <w:sz w:val="28"/>
          <w:szCs w:val="28"/>
        </w:rPr>
        <w:t>由于</w:t>
      </w:r>
      <w:r>
        <w:rPr>
          <w:rFonts w:hint="eastAsia"/>
          <w:sz w:val="28"/>
          <w:szCs w:val="28"/>
        </w:rPr>
        <w:t>乙方</w:t>
      </w:r>
      <w:r>
        <w:rPr>
          <w:sz w:val="28"/>
          <w:szCs w:val="28"/>
        </w:rPr>
        <w:t>原因未按合同规定时间（日期）提交</w:t>
      </w:r>
      <w:r>
        <w:rPr>
          <w:rFonts w:hint="eastAsia"/>
          <w:sz w:val="28"/>
          <w:szCs w:val="28"/>
        </w:rPr>
        <w:t>监测</w:t>
      </w:r>
      <w:r>
        <w:rPr>
          <w:sz w:val="28"/>
          <w:szCs w:val="28"/>
        </w:rPr>
        <w:t>成果资料，每超过一日，应减收</w:t>
      </w:r>
      <w:r>
        <w:rPr>
          <w:rFonts w:hint="eastAsia"/>
          <w:sz w:val="28"/>
          <w:szCs w:val="28"/>
        </w:rPr>
        <w:t>总监测</w:t>
      </w:r>
      <w:r>
        <w:rPr>
          <w:sz w:val="28"/>
          <w:szCs w:val="28"/>
        </w:rPr>
        <w:t>费千分之一。</w:t>
      </w:r>
    </w:p>
    <w:p w14:paraId="72EB46EA">
      <w:pPr>
        <w:pStyle w:val="17"/>
        <w:adjustRightInd w:val="0"/>
        <w:snapToGrid w:val="0"/>
        <w:spacing w:before="0" w:beforeAutospacing="0" w:after="0" w:afterAutospacing="0" w:line="360" w:lineRule="auto"/>
        <w:ind w:firstLine="560" w:firstLineChars="200"/>
        <w:rPr>
          <w:sz w:val="28"/>
          <w:szCs w:val="28"/>
        </w:rPr>
      </w:pPr>
      <w:r>
        <w:rPr>
          <w:rFonts w:hint="eastAsia"/>
          <w:sz w:val="28"/>
          <w:szCs w:val="28"/>
        </w:rPr>
        <w:t>6.2甲方</w:t>
      </w:r>
      <w:r>
        <w:rPr>
          <w:sz w:val="28"/>
          <w:szCs w:val="28"/>
        </w:rPr>
        <w:t>未按合同规定时间（日期）拨付</w:t>
      </w:r>
      <w:r>
        <w:rPr>
          <w:rFonts w:hint="eastAsia"/>
          <w:sz w:val="28"/>
          <w:szCs w:val="28"/>
        </w:rPr>
        <w:t>监测</w:t>
      </w:r>
      <w:r>
        <w:rPr>
          <w:sz w:val="28"/>
          <w:szCs w:val="28"/>
        </w:rPr>
        <w:t>费，每超过一日，应偿付未支付</w:t>
      </w:r>
      <w:r>
        <w:rPr>
          <w:rFonts w:hint="eastAsia"/>
          <w:sz w:val="28"/>
          <w:szCs w:val="28"/>
        </w:rPr>
        <w:t>监测</w:t>
      </w:r>
      <w:r>
        <w:rPr>
          <w:sz w:val="28"/>
          <w:szCs w:val="28"/>
        </w:rPr>
        <w:t>费的千分之一逾期违约金。</w:t>
      </w:r>
      <w:r>
        <w:rPr>
          <w:rFonts w:hint="eastAsia"/>
          <w:sz w:val="28"/>
          <w:szCs w:val="28"/>
        </w:rPr>
        <w:t>政府行政审批期限不纳入约定的甲方付款期限内，如果因为政府财政审批导致期限延长的，甲方无需承担违约责任。</w:t>
      </w:r>
    </w:p>
    <w:p w14:paraId="1AD7BF29">
      <w:pPr>
        <w:pStyle w:val="17"/>
        <w:spacing w:before="0" w:beforeAutospacing="0" w:after="0" w:afterAutospacing="0" w:line="360" w:lineRule="auto"/>
        <w:ind w:firstLine="560" w:firstLineChars="200"/>
        <w:rPr>
          <w:color w:val="000000"/>
          <w:sz w:val="28"/>
          <w:szCs w:val="28"/>
        </w:rPr>
      </w:pPr>
      <w:r>
        <w:rPr>
          <w:rFonts w:hint="eastAsia"/>
          <w:color w:val="000000"/>
          <w:sz w:val="28"/>
          <w:szCs w:val="28"/>
        </w:rPr>
        <w:t>6.3由于乙方违约造成本合同不能履行或不能完全履行，乙方在收到甲方要求其纠正违约的通知后仍不纠正其违约行为，则甲方有权向乙方发出解除合同的书面通知，该通知自送达乙方时生效，乙方应支付合同金额的5%给甲方作为违约金。</w:t>
      </w:r>
    </w:p>
    <w:p w14:paraId="34138BA0">
      <w:pPr>
        <w:pStyle w:val="17"/>
        <w:spacing w:before="0" w:beforeAutospacing="0" w:after="0" w:afterAutospacing="0" w:line="360" w:lineRule="auto"/>
        <w:ind w:firstLine="560" w:firstLineChars="200"/>
        <w:rPr>
          <w:sz w:val="28"/>
          <w:szCs w:val="28"/>
        </w:rPr>
      </w:pPr>
      <w:r>
        <w:rPr>
          <w:rFonts w:hint="eastAsia"/>
          <w:sz w:val="28"/>
          <w:szCs w:val="28"/>
        </w:rPr>
        <w:t>6.4由于甲方违约造成本合同不能履行或不能完全履行，如果甲方在收到乙方要求其纠正违约的通知后仍不纠正其违约行为，则乙方有权向甲方发出解除合同的书面通知，该通知自送达甲方时生效，甲方应向乙方支付双方确认已完成的工作量的款项，并支付合同额的5%给乙方作为违约金。</w:t>
      </w:r>
    </w:p>
    <w:p w14:paraId="05E8D157">
      <w:pPr>
        <w:pStyle w:val="17"/>
        <w:spacing w:before="0" w:beforeAutospacing="0" w:after="0" w:afterAutospacing="0" w:line="360" w:lineRule="auto"/>
        <w:ind w:firstLine="562" w:firstLineChars="200"/>
        <w:rPr>
          <w:sz w:val="28"/>
          <w:szCs w:val="28"/>
        </w:rPr>
      </w:pPr>
      <w:r>
        <w:rPr>
          <w:b/>
          <w:bCs/>
          <w:sz w:val="28"/>
          <w:szCs w:val="28"/>
        </w:rPr>
        <w:t>第七条</w:t>
      </w:r>
      <w:r>
        <w:rPr>
          <w:sz w:val="28"/>
          <w:szCs w:val="28"/>
        </w:rPr>
        <w:t>本合同未尽事宜，</w:t>
      </w:r>
      <w:r>
        <w:rPr>
          <w:rFonts w:hint="eastAsia"/>
          <w:sz w:val="28"/>
          <w:szCs w:val="28"/>
        </w:rPr>
        <w:t>经甲乙双方</w:t>
      </w:r>
      <w:r>
        <w:rPr>
          <w:sz w:val="28"/>
          <w:szCs w:val="28"/>
        </w:rPr>
        <w:t>协商一致，签订补充协议，补充协议与本合同具有同等效力。</w:t>
      </w:r>
    </w:p>
    <w:p w14:paraId="3869C8BD">
      <w:pPr>
        <w:pStyle w:val="17"/>
        <w:spacing w:before="0" w:beforeAutospacing="0" w:after="0" w:afterAutospacing="0" w:line="360" w:lineRule="auto"/>
        <w:ind w:firstLine="562" w:firstLineChars="200"/>
        <w:rPr>
          <w:sz w:val="28"/>
          <w:szCs w:val="28"/>
        </w:rPr>
      </w:pPr>
      <w:r>
        <w:rPr>
          <w:b/>
          <w:bCs/>
          <w:sz w:val="28"/>
          <w:szCs w:val="28"/>
        </w:rPr>
        <w:t>第八条</w:t>
      </w:r>
      <w:r>
        <w:rPr>
          <w:sz w:val="28"/>
          <w:szCs w:val="28"/>
        </w:rPr>
        <w:t>其它约定事项：本合同一式</w:t>
      </w:r>
      <w:r>
        <w:rPr>
          <w:rFonts w:hint="eastAsia"/>
          <w:sz w:val="28"/>
          <w:szCs w:val="28"/>
          <w:u w:val="single"/>
        </w:rPr>
        <w:t xml:space="preserve"> </w:t>
      </w:r>
      <w:r>
        <w:rPr>
          <w:rFonts w:hint="eastAsia"/>
          <w:sz w:val="28"/>
          <w:szCs w:val="28"/>
          <w:u w:val="single"/>
          <w:lang w:val="en-US" w:eastAsia="zh-CN"/>
        </w:rPr>
        <w:t>5</w:t>
      </w:r>
      <w:r>
        <w:rPr>
          <w:rFonts w:hint="eastAsia"/>
          <w:sz w:val="28"/>
          <w:szCs w:val="28"/>
          <w:u w:val="single"/>
        </w:rPr>
        <w:t xml:space="preserve"> </w:t>
      </w:r>
      <w:r>
        <w:rPr>
          <w:sz w:val="28"/>
          <w:szCs w:val="28"/>
        </w:rPr>
        <w:t>份，</w:t>
      </w:r>
      <w:r>
        <w:rPr>
          <w:rFonts w:hint="eastAsia"/>
          <w:sz w:val="28"/>
          <w:szCs w:val="28"/>
        </w:rPr>
        <w:t>甲方</w:t>
      </w:r>
      <w:r>
        <w:rPr>
          <w:rFonts w:hint="eastAsia"/>
          <w:sz w:val="28"/>
          <w:szCs w:val="28"/>
          <w:u w:val="single"/>
        </w:rPr>
        <w:t xml:space="preserve"> </w:t>
      </w:r>
      <w:r>
        <w:rPr>
          <w:rFonts w:hint="eastAsia"/>
          <w:sz w:val="28"/>
          <w:szCs w:val="28"/>
          <w:u w:val="single"/>
          <w:lang w:val="en-US" w:eastAsia="zh-CN"/>
        </w:rPr>
        <w:t>3</w:t>
      </w:r>
      <w:r>
        <w:rPr>
          <w:rFonts w:hint="eastAsia"/>
          <w:sz w:val="28"/>
          <w:szCs w:val="28"/>
          <w:u w:val="single"/>
        </w:rPr>
        <w:t xml:space="preserve"> </w:t>
      </w:r>
      <w:r>
        <w:rPr>
          <w:sz w:val="28"/>
          <w:szCs w:val="28"/>
        </w:rPr>
        <w:t>份</w:t>
      </w:r>
      <w:r>
        <w:rPr>
          <w:rFonts w:hint="eastAsia"/>
          <w:sz w:val="28"/>
          <w:szCs w:val="28"/>
        </w:rPr>
        <w:t>，乙方</w:t>
      </w:r>
      <w:r>
        <w:rPr>
          <w:rFonts w:hint="eastAsia"/>
          <w:sz w:val="28"/>
          <w:szCs w:val="28"/>
          <w:u w:val="single"/>
        </w:rPr>
        <w:t xml:space="preserve"> </w:t>
      </w:r>
      <w:r>
        <w:rPr>
          <w:rFonts w:hint="eastAsia"/>
          <w:sz w:val="28"/>
          <w:szCs w:val="28"/>
          <w:u w:val="single"/>
          <w:lang w:val="en-US" w:eastAsia="zh-CN"/>
        </w:rPr>
        <w:t>2</w:t>
      </w:r>
      <w:r>
        <w:rPr>
          <w:rFonts w:hint="eastAsia"/>
          <w:sz w:val="28"/>
          <w:szCs w:val="28"/>
          <w:u w:val="single"/>
        </w:rPr>
        <w:t xml:space="preserve"> </w:t>
      </w:r>
      <w:r>
        <w:rPr>
          <w:sz w:val="28"/>
          <w:szCs w:val="28"/>
        </w:rPr>
        <w:t>份。</w:t>
      </w:r>
    </w:p>
    <w:p w14:paraId="0A3646EC">
      <w:pPr>
        <w:pStyle w:val="17"/>
        <w:spacing w:before="0" w:beforeAutospacing="0" w:after="0" w:afterAutospacing="0" w:line="360" w:lineRule="auto"/>
        <w:ind w:firstLine="562" w:firstLineChars="200"/>
        <w:rPr>
          <w:sz w:val="28"/>
          <w:szCs w:val="28"/>
        </w:rPr>
      </w:pPr>
      <w:r>
        <w:rPr>
          <w:b/>
          <w:bCs/>
          <w:sz w:val="28"/>
          <w:szCs w:val="28"/>
        </w:rPr>
        <w:t>第九条</w:t>
      </w:r>
      <w:r>
        <w:rPr>
          <w:sz w:val="28"/>
          <w:szCs w:val="28"/>
        </w:rPr>
        <w:t>本合同发生争议，</w:t>
      </w:r>
      <w:r>
        <w:rPr>
          <w:rFonts w:hint="eastAsia"/>
          <w:sz w:val="28"/>
          <w:szCs w:val="28"/>
        </w:rPr>
        <w:t>甲乙双方</w:t>
      </w:r>
      <w:r>
        <w:rPr>
          <w:sz w:val="28"/>
          <w:szCs w:val="28"/>
        </w:rPr>
        <w:t>应及时协商解决，协商也可由</w:t>
      </w:r>
      <w:r>
        <w:rPr>
          <w:rFonts w:hint="eastAsia"/>
          <w:sz w:val="28"/>
          <w:szCs w:val="28"/>
        </w:rPr>
        <w:t>甲方所在地</w:t>
      </w:r>
      <w:r>
        <w:rPr>
          <w:sz w:val="28"/>
          <w:szCs w:val="28"/>
        </w:rPr>
        <w:t>建设行政主管部门调解，协商或调解不成时，</w:t>
      </w:r>
      <w:r>
        <w:rPr>
          <w:rFonts w:hint="eastAsia"/>
          <w:sz w:val="28"/>
          <w:szCs w:val="28"/>
        </w:rPr>
        <w:t>可向甲方所在地人民法院起诉</w:t>
      </w:r>
      <w:r>
        <w:rPr>
          <w:sz w:val="28"/>
          <w:szCs w:val="28"/>
        </w:rPr>
        <w:t>。</w:t>
      </w:r>
    </w:p>
    <w:p w14:paraId="5E478514">
      <w:pPr>
        <w:pStyle w:val="17"/>
        <w:spacing w:before="0" w:beforeAutospacing="0" w:after="0" w:afterAutospacing="0" w:line="360" w:lineRule="auto"/>
        <w:ind w:firstLine="562" w:firstLineChars="200"/>
        <w:rPr>
          <w:sz w:val="28"/>
          <w:szCs w:val="28"/>
        </w:rPr>
      </w:pPr>
      <w:r>
        <w:rPr>
          <w:b/>
          <w:bCs/>
          <w:sz w:val="28"/>
          <w:szCs w:val="28"/>
        </w:rPr>
        <w:t>第十条</w:t>
      </w:r>
      <w:r>
        <w:rPr>
          <w:sz w:val="28"/>
          <w:szCs w:val="28"/>
        </w:rPr>
        <w:t>本合同自</w:t>
      </w:r>
      <w:r>
        <w:rPr>
          <w:rFonts w:hint="eastAsia"/>
          <w:sz w:val="28"/>
          <w:szCs w:val="28"/>
        </w:rPr>
        <w:t>甲乙双方</w:t>
      </w:r>
      <w:r>
        <w:rPr>
          <w:sz w:val="28"/>
          <w:szCs w:val="28"/>
        </w:rPr>
        <w:t>签字盖章后生效</w:t>
      </w:r>
      <w:r>
        <w:rPr>
          <w:rFonts w:hint="eastAsia"/>
          <w:sz w:val="28"/>
          <w:szCs w:val="28"/>
        </w:rPr>
        <w:t>，</w:t>
      </w:r>
      <w:r>
        <w:rPr>
          <w:sz w:val="28"/>
          <w:szCs w:val="28"/>
        </w:rPr>
        <w:t>履行完合同规定的义务后，本合同终止。</w:t>
      </w:r>
    </w:p>
    <w:p w14:paraId="6E04DBB5">
      <w:pPr>
        <w:pStyle w:val="17"/>
        <w:snapToGrid w:val="0"/>
        <w:spacing w:before="0" w:beforeAutospacing="0" w:after="0" w:afterAutospacing="0"/>
        <w:rPr>
          <w:rFonts w:hint="eastAsia"/>
          <w:sz w:val="28"/>
          <w:szCs w:val="28"/>
        </w:rPr>
      </w:pPr>
      <w:r>
        <w:rPr>
          <w:rFonts w:hint="eastAsia"/>
          <w:sz w:val="28"/>
          <w:szCs w:val="28"/>
        </w:rPr>
        <w:t>附件1：工程量清单</w:t>
      </w:r>
    </w:p>
    <w:p w14:paraId="2B9FBCBC">
      <w:pPr>
        <w:pStyle w:val="17"/>
        <w:snapToGrid w:val="0"/>
        <w:spacing w:before="0" w:beforeAutospacing="0" w:after="0" w:afterAutospacing="0"/>
        <w:rPr>
          <w:rFonts w:hint="eastAsia"/>
          <w:sz w:val="28"/>
          <w:szCs w:val="28"/>
        </w:rPr>
      </w:pPr>
      <w:r>
        <w:rPr>
          <w:rFonts w:hint="eastAsia"/>
          <w:sz w:val="28"/>
          <w:szCs w:val="28"/>
        </w:rPr>
        <w:t>附件2：沉降监测点布置平面图</w:t>
      </w:r>
    </w:p>
    <w:p w14:paraId="4C3FA37F">
      <w:pPr>
        <w:pStyle w:val="17"/>
        <w:spacing w:line="480" w:lineRule="exact"/>
        <w:ind w:left="0" w:leftChars="0" w:firstLine="560" w:firstLineChars="200"/>
      </w:pPr>
      <w:r>
        <w:rPr>
          <w:rFonts w:hint="eastAsia"/>
          <w:sz w:val="28"/>
          <w:szCs w:val="28"/>
        </w:rPr>
        <w:t>以下无正文。</w:t>
      </w:r>
    </w:p>
    <w:p w14:paraId="347977D7">
      <w:pPr>
        <w:pStyle w:val="17"/>
        <w:spacing w:line="360" w:lineRule="auto"/>
      </w:pPr>
      <w:r>
        <w:rPr>
          <w:rFonts w:hint="eastAsia"/>
        </w:rPr>
        <w:t>甲方</w:t>
      </w:r>
      <w:r>
        <w:t>：</w:t>
      </w:r>
      <w:r>
        <w:rPr>
          <w:rFonts w:hint="eastAsia"/>
        </w:rPr>
        <w:t>中山大学孙逸仙纪念医院        乙方</w:t>
      </w:r>
      <w:r>
        <w:t>：</w:t>
      </w:r>
      <w:r>
        <w:rPr>
          <w:rFonts w:hint="eastAsia"/>
        </w:rPr>
        <w:t xml:space="preserve">          </w:t>
      </w:r>
    </w:p>
    <w:p w14:paraId="180D0A54">
      <w:pPr>
        <w:pStyle w:val="17"/>
        <w:ind w:firstLine="960" w:firstLineChars="400"/>
      </w:pPr>
      <w:r>
        <w:t>（盖章）</w:t>
      </w:r>
      <w:r>
        <w:rPr>
          <w:rFonts w:hint="eastAsia"/>
        </w:rPr>
        <w:t xml:space="preserve">                         </w:t>
      </w:r>
      <w:r>
        <w:t>（盖章）</w:t>
      </w:r>
    </w:p>
    <w:p w14:paraId="24E14C5B">
      <w:pPr>
        <w:spacing w:line="360" w:lineRule="auto"/>
        <w:rPr>
          <w:rFonts w:ascii="宋体" w:hAnsi="宋体"/>
          <w:kern w:val="0"/>
          <w:sz w:val="24"/>
          <w:szCs w:val="24"/>
        </w:rPr>
      </w:pPr>
      <w:r>
        <w:rPr>
          <w:rFonts w:hint="eastAsia" w:ascii="宋体" w:hAnsi="宋体"/>
          <w:kern w:val="0"/>
          <w:sz w:val="24"/>
          <w:szCs w:val="24"/>
        </w:rPr>
        <w:t>法定代表人                          法定代表人</w:t>
      </w:r>
    </w:p>
    <w:p w14:paraId="6844D2E6">
      <w:pPr>
        <w:spacing w:line="360" w:lineRule="auto"/>
        <w:rPr>
          <w:rFonts w:ascii="宋体" w:hAnsi="宋体"/>
          <w:kern w:val="0"/>
          <w:sz w:val="24"/>
          <w:szCs w:val="24"/>
        </w:rPr>
      </w:pPr>
      <w:r>
        <w:rPr>
          <w:rFonts w:hint="eastAsia" w:ascii="宋体" w:hAnsi="宋体"/>
          <w:kern w:val="0"/>
          <w:sz w:val="24"/>
          <w:szCs w:val="24"/>
        </w:rPr>
        <w:t>（或授权代表人）签字：             （或授权代表人）签字：</w:t>
      </w:r>
    </w:p>
    <w:p w14:paraId="3E0FE7FD">
      <w:pPr>
        <w:spacing w:line="360" w:lineRule="auto"/>
        <w:rPr>
          <w:rFonts w:ascii="宋体" w:hAnsi="宋体"/>
          <w:kern w:val="0"/>
          <w:sz w:val="24"/>
          <w:szCs w:val="24"/>
        </w:rPr>
      </w:pPr>
      <w:r>
        <w:rPr>
          <w:rFonts w:hint="eastAsia" w:ascii="宋体" w:hAnsi="宋体"/>
          <w:kern w:val="0"/>
          <w:sz w:val="24"/>
          <w:szCs w:val="24"/>
        </w:rPr>
        <w:t>联系人：                            联系人：</w:t>
      </w:r>
    </w:p>
    <w:p w14:paraId="096B492D">
      <w:pPr>
        <w:spacing w:line="360" w:lineRule="auto"/>
        <w:rPr>
          <w:rFonts w:ascii="宋体" w:hAnsi="宋体"/>
          <w:kern w:val="0"/>
          <w:sz w:val="24"/>
          <w:szCs w:val="24"/>
        </w:rPr>
      </w:pPr>
      <w:r>
        <w:rPr>
          <w:rFonts w:hint="eastAsia" w:ascii="宋体" w:hAnsi="宋体"/>
          <w:kern w:val="0"/>
          <w:sz w:val="24"/>
          <w:szCs w:val="24"/>
        </w:rPr>
        <w:t xml:space="preserve">地址：广州市越秀区沿江西路107号    地址： </w:t>
      </w:r>
    </w:p>
    <w:p w14:paraId="012DDFEC">
      <w:pPr>
        <w:spacing w:line="360" w:lineRule="auto"/>
        <w:rPr>
          <w:rFonts w:ascii="宋体" w:hAnsi="宋体"/>
          <w:kern w:val="0"/>
          <w:sz w:val="24"/>
          <w:szCs w:val="24"/>
        </w:rPr>
      </w:pPr>
      <w:r>
        <w:rPr>
          <w:rFonts w:hint="eastAsia" w:ascii="宋体" w:hAnsi="宋体"/>
          <w:kern w:val="0"/>
          <w:sz w:val="24"/>
          <w:szCs w:val="24"/>
        </w:rPr>
        <w:t xml:space="preserve">邮政编码：510120                    邮政编码： </w:t>
      </w:r>
    </w:p>
    <w:p w14:paraId="5836CE22">
      <w:pPr>
        <w:spacing w:line="360" w:lineRule="auto"/>
        <w:rPr>
          <w:rFonts w:ascii="宋体" w:hAnsi="宋体"/>
          <w:kern w:val="0"/>
          <w:sz w:val="24"/>
          <w:szCs w:val="24"/>
        </w:rPr>
      </w:pPr>
      <w:r>
        <w:rPr>
          <w:rFonts w:hint="eastAsia" w:ascii="宋体" w:hAnsi="宋体"/>
          <w:kern w:val="0"/>
          <w:sz w:val="24"/>
          <w:szCs w:val="24"/>
        </w:rPr>
        <w:t>电话：</w:t>
      </w:r>
      <w:r>
        <w:rPr>
          <w:rFonts w:hint="eastAsia" w:ascii="宋体" w:hAnsi="宋体" w:cs="SimSun-Identity-H"/>
          <w:kern w:val="0"/>
          <w:sz w:val="24"/>
        </w:rPr>
        <w:t>020-81332029</w:t>
      </w:r>
      <w:r>
        <w:rPr>
          <w:rFonts w:hint="eastAsia" w:ascii="宋体" w:hAnsi="宋体"/>
          <w:kern w:val="0"/>
          <w:sz w:val="24"/>
          <w:szCs w:val="24"/>
        </w:rPr>
        <w:t xml:space="preserve">                  电话： </w:t>
      </w:r>
    </w:p>
    <w:p w14:paraId="54A828E0">
      <w:pPr>
        <w:spacing w:line="360" w:lineRule="auto"/>
        <w:ind w:left="6240" w:hanging="6240" w:hangingChars="2600"/>
        <w:jc w:val="left"/>
        <w:rPr>
          <w:rFonts w:ascii="宋体" w:hAnsi="宋体"/>
          <w:kern w:val="0"/>
          <w:sz w:val="24"/>
          <w:szCs w:val="24"/>
        </w:rPr>
      </w:pPr>
      <w:r>
        <w:rPr>
          <w:rFonts w:hint="eastAsia" w:ascii="宋体" w:hAnsi="宋体"/>
          <w:kern w:val="0"/>
          <w:sz w:val="24"/>
          <w:szCs w:val="24"/>
        </w:rPr>
        <w:t>开户银行：</w:t>
      </w:r>
      <w:r>
        <w:rPr>
          <w:rFonts w:hint="eastAsia" w:ascii="宋体" w:hAnsi="宋体" w:cs="SimSun-Identity-H"/>
          <w:kern w:val="0"/>
          <w:sz w:val="24"/>
        </w:rPr>
        <w:t>工行二支行</w:t>
      </w:r>
      <w:r>
        <w:rPr>
          <w:rFonts w:hint="eastAsia" w:ascii="宋体" w:hAnsi="宋体"/>
          <w:kern w:val="0"/>
          <w:sz w:val="24"/>
          <w:szCs w:val="24"/>
        </w:rPr>
        <w:t xml:space="preserve">                开户银行： </w:t>
      </w:r>
    </w:p>
    <w:p w14:paraId="6260363B">
      <w:pPr>
        <w:spacing w:line="360" w:lineRule="auto"/>
        <w:rPr>
          <w:rFonts w:ascii="宋体" w:hAnsi="宋体"/>
          <w:kern w:val="0"/>
          <w:sz w:val="24"/>
          <w:szCs w:val="24"/>
        </w:rPr>
      </w:pPr>
      <w:r>
        <w:rPr>
          <w:rFonts w:hint="eastAsia" w:ascii="宋体" w:hAnsi="宋体"/>
          <w:kern w:val="0"/>
          <w:sz w:val="24"/>
          <w:szCs w:val="24"/>
        </w:rPr>
        <w:t>银行账号：</w:t>
      </w:r>
      <w:r>
        <w:rPr>
          <w:rFonts w:hint="eastAsia" w:ascii="宋体" w:hAnsi="宋体" w:cs="SimSun-Identity-H"/>
          <w:kern w:val="0"/>
          <w:sz w:val="24"/>
        </w:rPr>
        <w:t xml:space="preserve">3602000509000704422       </w:t>
      </w:r>
      <w:r>
        <w:rPr>
          <w:rFonts w:hint="eastAsia" w:ascii="宋体" w:hAnsi="宋体"/>
          <w:kern w:val="0"/>
          <w:sz w:val="24"/>
          <w:szCs w:val="24"/>
        </w:rPr>
        <w:t xml:space="preserve">银行账号： </w:t>
      </w:r>
    </w:p>
    <w:p w14:paraId="2EBD3323">
      <w:pPr>
        <w:spacing w:line="360" w:lineRule="auto"/>
        <w:rPr>
          <w:rFonts w:ascii="宋体" w:hAnsi="宋体"/>
          <w:kern w:val="0"/>
          <w:sz w:val="24"/>
          <w:szCs w:val="24"/>
        </w:rPr>
        <w:sectPr>
          <w:headerReference r:id="rId7" w:type="default"/>
          <w:footerReference r:id="rId8" w:type="default"/>
          <w:pgSz w:w="11906" w:h="16838"/>
          <w:pgMar w:top="1134" w:right="1134" w:bottom="1134" w:left="1134" w:header="851" w:footer="992" w:gutter="0"/>
          <w:pgNumType w:fmt="decimal"/>
          <w:cols w:space="425" w:num="1"/>
          <w:docGrid w:type="lines" w:linePitch="312" w:charSpace="0"/>
        </w:sectPr>
      </w:pPr>
      <w:r>
        <w:rPr>
          <w:rFonts w:hint="eastAsia" w:ascii="宋体" w:hAnsi="宋体"/>
          <w:kern w:val="0"/>
          <w:sz w:val="24"/>
          <w:szCs w:val="24"/>
        </w:rPr>
        <w:t>签订日期：202</w:t>
      </w:r>
      <w:r>
        <w:rPr>
          <w:rFonts w:hint="eastAsia" w:ascii="宋体" w:hAnsi="宋体"/>
          <w:kern w:val="0"/>
          <w:sz w:val="24"/>
          <w:szCs w:val="24"/>
          <w:lang w:val="en-US" w:eastAsia="zh-CN"/>
        </w:rPr>
        <w:t>6</w:t>
      </w:r>
      <w:r>
        <w:rPr>
          <w:rFonts w:hint="eastAsia" w:ascii="宋体" w:hAnsi="宋体"/>
          <w:kern w:val="0"/>
          <w:sz w:val="24"/>
          <w:szCs w:val="24"/>
        </w:rPr>
        <w:t>年   月  日          签订日期：202</w:t>
      </w:r>
      <w:r>
        <w:rPr>
          <w:rFonts w:hint="eastAsia" w:ascii="宋体" w:hAnsi="宋体"/>
          <w:kern w:val="0"/>
          <w:sz w:val="24"/>
          <w:szCs w:val="24"/>
          <w:lang w:val="en-US" w:eastAsia="zh-CN"/>
        </w:rPr>
        <w:t>6</w:t>
      </w:r>
      <w:r>
        <w:rPr>
          <w:rFonts w:hint="eastAsia" w:ascii="宋体" w:hAnsi="宋体"/>
          <w:kern w:val="0"/>
          <w:sz w:val="24"/>
          <w:szCs w:val="24"/>
        </w:rPr>
        <w:t xml:space="preserve">年    月    日  </w:t>
      </w:r>
    </w:p>
    <w:p w14:paraId="06FE0DD9">
      <w:pPr>
        <w:spacing w:line="360" w:lineRule="auto"/>
        <w:rPr>
          <w:rFonts w:ascii="宋体" w:hAnsi="宋体"/>
          <w:kern w:val="0"/>
          <w:sz w:val="24"/>
          <w:szCs w:val="24"/>
        </w:rPr>
      </w:pPr>
      <w:r>
        <w:rPr>
          <w:rFonts w:hint="eastAsia"/>
          <w:b/>
          <w:bCs/>
          <w:sz w:val="28"/>
          <w:szCs w:val="28"/>
        </w:rPr>
        <w:t>附件1：工程量清单</w:t>
      </w:r>
    </w:p>
    <w:tbl>
      <w:tblPr>
        <w:tblStyle w:val="21"/>
        <w:tblW w:w="14035" w:type="dxa"/>
        <w:tblInd w:w="91" w:type="dxa"/>
        <w:tblLayout w:type="fixed"/>
        <w:tblCellMar>
          <w:top w:w="0" w:type="dxa"/>
          <w:left w:w="108" w:type="dxa"/>
          <w:bottom w:w="0" w:type="dxa"/>
          <w:right w:w="108" w:type="dxa"/>
        </w:tblCellMar>
      </w:tblPr>
      <w:tblGrid>
        <w:gridCol w:w="850"/>
        <w:gridCol w:w="3360"/>
        <w:gridCol w:w="870"/>
        <w:gridCol w:w="765"/>
        <w:gridCol w:w="1215"/>
        <w:gridCol w:w="1320"/>
        <w:gridCol w:w="1170"/>
        <w:gridCol w:w="4485"/>
      </w:tblGrid>
      <w:tr w14:paraId="1031C1A7">
        <w:tblPrEx>
          <w:tblCellMar>
            <w:top w:w="0" w:type="dxa"/>
            <w:left w:w="108" w:type="dxa"/>
            <w:bottom w:w="0" w:type="dxa"/>
            <w:right w:w="108" w:type="dxa"/>
          </w:tblCellMar>
        </w:tblPrEx>
        <w:trPr>
          <w:trHeight w:val="998" w:hRule="atLeast"/>
        </w:trPr>
        <w:tc>
          <w:tcPr>
            <w:tcW w:w="14035" w:type="dxa"/>
            <w:gridSpan w:val="8"/>
            <w:tcBorders>
              <w:top w:val="nil"/>
              <w:left w:val="nil"/>
              <w:bottom w:val="nil"/>
              <w:right w:val="nil"/>
            </w:tcBorders>
            <w:shd w:val="clear" w:color="auto" w:fill="auto"/>
            <w:vAlign w:val="center"/>
          </w:tcPr>
          <w:p w14:paraId="2A3F3B98">
            <w:pPr>
              <w:widowControl/>
              <w:jc w:val="center"/>
              <w:rPr>
                <w:rFonts w:ascii="宋体" w:hAnsi="宋体" w:cs="宋体"/>
                <w:b/>
                <w:bCs/>
                <w:color w:val="000000"/>
                <w:kern w:val="0"/>
                <w:sz w:val="32"/>
                <w:szCs w:val="32"/>
              </w:rPr>
            </w:pPr>
            <w:r>
              <w:rPr>
                <w:rFonts w:hint="eastAsia" w:ascii="宋体" w:hAnsi="宋体" w:cs="宋体"/>
                <w:b/>
                <w:bCs/>
                <w:color w:val="000000"/>
                <w:kern w:val="0"/>
                <w:sz w:val="28"/>
                <w:szCs w:val="28"/>
              </w:rPr>
              <w:t>中山大学孙逸仙纪念医院北院区</w:t>
            </w:r>
            <w:r>
              <w:rPr>
                <w:rFonts w:hint="eastAsia" w:ascii="宋体" w:hAnsi="宋体" w:cs="宋体"/>
                <w:b/>
                <w:bCs/>
                <w:color w:val="000000"/>
                <w:kern w:val="0"/>
                <w:sz w:val="28"/>
                <w:szCs w:val="28"/>
                <w:lang w:val="en-US" w:eastAsia="zh-CN"/>
              </w:rPr>
              <w:t>门楼</w:t>
            </w:r>
            <w:r>
              <w:rPr>
                <w:rFonts w:hint="eastAsia" w:ascii="宋体" w:hAnsi="宋体" w:cs="宋体"/>
                <w:b/>
                <w:bCs/>
                <w:color w:val="000000"/>
                <w:kern w:val="0"/>
                <w:sz w:val="28"/>
                <w:szCs w:val="28"/>
              </w:rPr>
              <w:t>建筑监测工程量清单</w:t>
            </w:r>
          </w:p>
        </w:tc>
      </w:tr>
      <w:tr w14:paraId="471E79B9">
        <w:tblPrEx>
          <w:tblCellMar>
            <w:top w:w="0" w:type="dxa"/>
            <w:left w:w="108" w:type="dxa"/>
            <w:bottom w:w="0" w:type="dxa"/>
            <w:right w:w="108" w:type="dxa"/>
          </w:tblCellMar>
        </w:tblPrEx>
        <w:trPr>
          <w:trHeight w:val="600" w:hRule="atLeast"/>
        </w:trPr>
        <w:tc>
          <w:tcPr>
            <w:tcW w:w="850" w:type="dxa"/>
            <w:tcBorders>
              <w:top w:val="single" w:color="auto" w:sz="8" w:space="0"/>
              <w:left w:val="single" w:color="auto" w:sz="8" w:space="0"/>
              <w:bottom w:val="single" w:color="auto" w:sz="4" w:space="0"/>
              <w:right w:val="single" w:color="auto" w:sz="4" w:space="0"/>
            </w:tcBorders>
            <w:shd w:val="clear" w:color="auto" w:fill="auto"/>
            <w:vAlign w:val="center"/>
          </w:tcPr>
          <w:p w14:paraId="41E8080A">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序号</w:t>
            </w:r>
          </w:p>
        </w:tc>
        <w:tc>
          <w:tcPr>
            <w:tcW w:w="3360" w:type="dxa"/>
            <w:tcBorders>
              <w:top w:val="single" w:color="auto" w:sz="8" w:space="0"/>
              <w:left w:val="nil"/>
              <w:bottom w:val="single" w:color="auto" w:sz="4" w:space="0"/>
              <w:right w:val="single" w:color="auto" w:sz="4" w:space="0"/>
            </w:tcBorders>
            <w:shd w:val="clear" w:color="auto" w:fill="auto"/>
            <w:vAlign w:val="center"/>
          </w:tcPr>
          <w:p w14:paraId="77606912">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项目名称</w:t>
            </w:r>
          </w:p>
        </w:tc>
        <w:tc>
          <w:tcPr>
            <w:tcW w:w="870" w:type="dxa"/>
            <w:tcBorders>
              <w:top w:val="single" w:color="auto" w:sz="8" w:space="0"/>
              <w:left w:val="nil"/>
              <w:bottom w:val="single" w:color="auto" w:sz="4" w:space="0"/>
              <w:right w:val="single" w:color="auto" w:sz="4" w:space="0"/>
            </w:tcBorders>
            <w:shd w:val="clear" w:color="auto" w:fill="auto"/>
            <w:noWrap/>
            <w:vAlign w:val="center"/>
          </w:tcPr>
          <w:p w14:paraId="479C4D10">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单位</w:t>
            </w:r>
          </w:p>
        </w:tc>
        <w:tc>
          <w:tcPr>
            <w:tcW w:w="765" w:type="dxa"/>
            <w:tcBorders>
              <w:top w:val="single" w:color="auto" w:sz="8" w:space="0"/>
              <w:left w:val="nil"/>
              <w:bottom w:val="single" w:color="auto" w:sz="4" w:space="0"/>
              <w:right w:val="single" w:color="auto" w:sz="4" w:space="0"/>
            </w:tcBorders>
            <w:shd w:val="clear" w:color="auto" w:fill="auto"/>
            <w:vAlign w:val="center"/>
          </w:tcPr>
          <w:p w14:paraId="69116AAE">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点数</w:t>
            </w:r>
          </w:p>
        </w:tc>
        <w:tc>
          <w:tcPr>
            <w:tcW w:w="1215" w:type="dxa"/>
            <w:tcBorders>
              <w:top w:val="single" w:color="auto" w:sz="8" w:space="0"/>
              <w:left w:val="nil"/>
              <w:bottom w:val="single" w:color="auto" w:sz="4" w:space="0"/>
              <w:right w:val="single" w:color="auto" w:sz="4" w:space="0"/>
            </w:tcBorders>
            <w:shd w:val="clear" w:color="auto" w:fill="auto"/>
            <w:vAlign w:val="center"/>
          </w:tcPr>
          <w:p w14:paraId="38248359">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监测次数(次）</w:t>
            </w:r>
          </w:p>
        </w:tc>
        <w:tc>
          <w:tcPr>
            <w:tcW w:w="1320" w:type="dxa"/>
            <w:tcBorders>
              <w:top w:val="single" w:color="auto" w:sz="8" w:space="0"/>
              <w:left w:val="nil"/>
              <w:bottom w:val="single" w:color="auto" w:sz="4" w:space="0"/>
              <w:right w:val="single" w:color="auto" w:sz="4" w:space="0"/>
            </w:tcBorders>
            <w:shd w:val="clear" w:color="auto" w:fill="auto"/>
            <w:vAlign w:val="center"/>
          </w:tcPr>
          <w:p w14:paraId="3192D385">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 xml:space="preserve"> 综合单价(元) </w:t>
            </w:r>
          </w:p>
        </w:tc>
        <w:tc>
          <w:tcPr>
            <w:tcW w:w="1170" w:type="dxa"/>
            <w:tcBorders>
              <w:top w:val="single" w:color="auto" w:sz="8" w:space="0"/>
              <w:left w:val="nil"/>
              <w:bottom w:val="single" w:color="auto" w:sz="4" w:space="0"/>
              <w:right w:val="single" w:color="auto" w:sz="4" w:space="0"/>
            </w:tcBorders>
            <w:shd w:val="clear" w:color="auto" w:fill="auto"/>
            <w:vAlign w:val="center"/>
          </w:tcPr>
          <w:p w14:paraId="7931279D">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合</w:t>
            </w:r>
            <w:r>
              <w:rPr>
                <w:rFonts w:hint="eastAsia" w:ascii="宋体" w:hAnsi="宋体" w:cs="宋体"/>
                <w:b/>
                <w:bCs/>
                <w:kern w:val="0"/>
                <w:sz w:val="24"/>
                <w:szCs w:val="24"/>
                <w:highlight w:val="none"/>
                <w:lang w:val="en-US" w:eastAsia="zh-CN"/>
              </w:rPr>
              <w:t xml:space="preserve"> </w:t>
            </w:r>
            <w:r>
              <w:rPr>
                <w:rFonts w:hint="eastAsia" w:ascii="宋体" w:hAnsi="宋体" w:cs="宋体"/>
                <w:b/>
                <w:bCs/>
                <w:kern w:val="0"/>
                <w:sz w:val="24"/>
                <w:szCs w:val="24"/>
                <w:highlight w:val="none"/>
              </w:rPr>
              <w:t>价（元）</w:t>
            </w:r>
          </w:p>
        </w:tc>
        <w:tc>
          <w:tcPr>
            <w:tcW w:w="4485" w:type="dxa"/>
            <w:tcBorders>
              <w:top w:val="single" w:color="auto" w:sz="8" w:space="0"/>
              <w:left w:val="nil"/>
              <w:bottom w:val="single" w:color="auto" w:sz="4" w:space="0"/>
              <w:right w:val="single" w:color="auto" w:sz="8" w:space="0"/>
            </w:tcBorders>
            <w:shd w:val="clear" w:color="auto" w:fill="auto"/>
            <w:vAlign w:val="center"/>
          </w:tcPr>
          <w:p w14:paraId="5FFA0E74">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取费依据</w:t>
            </w:r>
          </w:p>
        </w:tc>
      </w:tr>
      <w:tr w14:paraId="46731C27">
        <w:tblPrEx>
          <w:tblCellMar>
            <w:top w:w="0" w:type="dxa"/>
            <w:left w:w="108" w:type="dxa"/>
            <w:bottom w:w="0" w:type="dxa"/>
            <w:right w:w="108" w:type="dxa"/>
          </w:tblCellMar>
        </w:tblPrEx>
        <w:trPr>
          <w:trHeight w:val="559"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24D9756D">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一</w:t>
            </w:r>
          </w:p>
        </w:tc>
        <w:tc>
          <w:tcPr>
            <w:tcW w:w="3360" w:type="dxa"/>
            <w:tcBorders>
              <w:top w:val="nil"/>
              <w:left w:val="nil"/>
              <w:bottom w:val="single" w:color="auto" w:sz="4" w:space="0"/>
              <w:right w:val="single" w:color="auto" w:sz="4" w:space="0"/>
            </w:tcBorders>
            <w:shd w:val="clear" w:color="auto" w:fill="auto"/>
            <w:vAlign w:val="center"/>
          </w:tcPr>
          <w:p w14:paraId="7B09DD71">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监测点埋设</w:t>
            </w:r>
          </w:p>
        </w:tc>
        <w:tc>
          <w:tcPr>
            <w:tcW w:w="870" w:type="dxa"/>
            <w:tcBorders>
              <w:top w:val="nil"/>
              <w:left w:val="nil"/>
              <w:bottom w:val="single" w:color="auto" w:sz="4" w:space="0"/>
              <w:right w:val="single" w:color="auto" w:sz="4" w:space="0"/>
            </w:tcBorders>
            <w:shd w:val="clear" w:color="auto" w:fill="auto"/>
            <w:noWrap/>
            <w:vAlign w:val="center"/>
          </w:tcPr>
          <w:p w14:paraId="33F66DDE">
            <w:pPr>
              <w:widowControl/>
              <w:jc w:val="center"/>
              <w:rPr>
                <w:rFonts w:ascii="宋体" w:hAnsi="宋体" w:cs="宋体"/>
                <w:color w:val="000000"/>
                <w:kern w:val="0"/>
                <w:sz w:val="22"/>
                <w:szCs w:val="22"/>
                <w:highlight w:val="none"/>
              </w:rPr>
            </w:pPr>
          </w:p>
        </w:tc>
        <w:tc>
          <w:tcPr>
            <w:tcW w:w="765" w:type="dxa"/>
            <w:tcBorders>
              <w:top w:val="nil"/>
              <w:left w:val="nil"/>
              <w:bottom w:val="single" w:color="auto" w:sz="4" w:space="0"/>
              <w:right w:val="single" w:color="auto" w:sz="4" w:space="0"/>
            </w:tcBorders>
            <w:shd w:val="clear" w:color="auto" w:fill="auto"/>
            <w:noWrap/>
            <w:vAlign w:val="center"/>
          </w:tcPr>
          <w:p w14:paraId="278CC0BB">
            <w:pPr>
              <w:widowControl/>
              <w:jc w:val="center"/>
              <w:rPr>
                <w:rFonts w:ascii="宋体" w:hAnsi="宋体" w:cs="宋体"/>
                <w:color w:val="000000"/>
                <w:kern w:val="0"/>
                <w:sz w:val="22"/>
                <w:szCs w:val="22"/>
                <w:highlight w:val="none"/>
              </w:rPr>
            </w:pPr>
          </w:p>
        </w:tc>
        <w:tc>
          <w:tcPr>
            <w:tcW w:w="1215" w:type="dxa"/>
            <w:tcBorders>
              <w:top w:val="nil"/>
              <w:left w:val="nil"/>
              <w:bottom w:val="single" w:color="auto" w:sz="4" w:space="0"/>
              <w:right w:val="single" w:color="auto" w:sz="4" w:space="0"/>
            </w:tcBorders>
            <w:shd w:val="clear" w:color="auto" w:fill="auto"/>
            <w:noWrap/>
            <w:vAlign w:val="center"/>
          </w:tcPr>
          <w:p w14:paraId="7A670D93">
            <w:pPr>
              <w:widowControl/>
              <w:jc w:val="center"/>
              <w:rPr>
                <w:rFonts w:ascii="宋体" w:hAnsi="宋体" w:cs="宋体"/>
                <w:color w:val="000000"/>
                <w:kern w:val="0"/>
                <w:sz w:val="22"/>
                <w:szCs w:val="22"/>
                <w:highlight w:val="none"/>
              </w:rPr>
            </w:pPr>
          </w:p>
        </w:tc>
        <w:tc>
          <w:tcPr>
            <w:tcW w:w="1320" w:type="dxa"/>
            <w:tcBorders>
              <w:top w:val="nil"/>
              <w:left w:val="nil"/>
              <w:bottom w:val="single" w:color="auto" w:sz="4" w:space="0"/>
              <w:right w:val="single" w:color="auto" w:sz="4" w:space="0"/>
            </w:tcBorders>
            <w:shd w:val="clear" w:color="auto" w:fill="auto"/>
            <w:noWrap/>
            <w:vAlign w:val="center"/>
          </w:tcPr>
          <w:p w14:paraId="4ED25F8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1EF8C7D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485" w:type="dxa"/>
            <w:tcBorders>
              <w:top w:val="nil"/>
              <w:left w:val="nil"/>
              <w:bottom w:val="single" w:color="auto" w:sz="4" w:space="0"/>
              <w:right w:val="single" w:color="auto" w:sz="8" w:space="0"/>
            </w:tcBorders>
            <w:shd w:val="clear" w:color="auto" w:fill="auto"/>
            <w:noWrap/>
            <w:vAlign w:val="center"/>
          </w:tcPr>
          <w:p w14:paraId="6CCDAA9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54972619">
        <w:tblPrEx>
          <w:tblCellMar>
            <w:top w:w="0" w:type="dxa"/>
            <w:left w:w="108" w:type="dxa"/>
            <w:bottom w:w="0" w:type="dxa"/>
            <w:right w:w="108" w:type="dxa"/>
          </w:tblCellMar>
        </w:tblPrEx>
        <w:trPr>
          <w:trHeight w:val="694"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07C47C40">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3360" w:type="dxa"/>
            <w:tcBorders>
              <w:top w:val="nil"/>
              <w:left w:val="nil"/>
              <w:bottom w:val="single" w:color="auto" w:sz="4" w:space="0"/>
              <w:right w:val="single" w:color="auto" w:sz="4" w:space="0"/>
            </w:tcBorders>
            <w:shd w:val="clear" w:color="auto" w:fill="auto"/>
            <w:vAlign w:val="center"/>
          </w:tcPr>
          <w:p w14:paraId="28C26EC2">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水平&amp;沉降基准点</w:t>
            </w:r>
          </w:p>
        </w:tc>
        <w:tc>
          <w:tcPr>
            <w:tcW w:w="870" w:type="dxa"/>
            <w:tcBorders>
              <w:top w:val="nil"/>
              <w:left w:val="nil"/>
              <w:bottom w:val="single" w:color="auto" w:sz="4" w:space="0"/>
              <w:right w:val="single" w:color="auto" w:sz="4" w:space="0"/>
            </w:tcBorders>
            <w:shd w:val="clear" w:color="auto" w:fill="auto"/>
            <w:noWrap/>
            <w:vAlign w:val="center"/>
          </w:tcPr>
          <w:p w14:paraId="171E7A8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w:t>
            </w:r>
          </w:p>
        </w:tc>
        <w:tc>
          <w:tcPr>
            <w:tcW w:w="765" w:type="dxa"/>
            <w:tcBorders>
              <w:top w:val="nil"/>
              <w:left w:val="nil"/>
              <w:bottom w:val="single" w:color="auto" w:sz="4" w:space="0"/>
              <w:right w:val="single" w:color="auto" w:sz="4" w:space="0"/>
            </w:tcBorders>
            <w:shd w:val="clear" w:color="auto" w:fill="auto"/>
            <w:noWrap/>
            <w:vAlign w:val="center"/>
          </w:tcPr>
          <w:p w14:paraId="5D13456D">
            <w:pPr>
              <w:widowControl/>
              <w:jc w:val="center"/>
              <w:rPr>
                <w:rFonts w:ascii="宋体" w:hAnsi="宋体" w:cs="宋体"/>
                <w:kern w:val="0"/>
                <w:sz w:val="22"/>
                <w:szCs w:val="22"/>
                <w:highlight w:val="none"/>
              </w:rPr>
            </w:pPr>
            <w:r>
              <w:rPr>
                <w:rFonts w:hint="eastAsia" w:ascii="宋体" w:hAnsi="宋体" w:cs="宋体"/>
                <w:kern w:val="0"/>
                <w:sz w:val="22"/>
                <w:szCs w:val="22"/>
                <w:highlight w:val="none"/>
              </w:rPr>
              <w:t>3</w:t>
            </w:r>
          </w:p>
        </w:tc>
        <w:tc>
          <w:tcPr>
            <w:tcW w:w="1215" w:type="dxa"/>
            <w:tcBorders>
              <w:top w:val="nil"/>
              <w:left w:val="nil"/>
              <w:bottom w:val="single" w:color="auto" w:sz="4" w:space="0"/>
              <w:right w:val="single" w:color="auto" w:sz="4" w:space="0"/>
            </w:tcBorders>
            <w:shd w:val="clear" w:color="auto" w:fill="auto"/>
            <w:noWrap/>
            <w:vAlign w:val="center"/>
          </w:tcPr>
          <w:p w14:paraId="633A89FB">
            <w:pPr>
              <w:widowControl/>
              <w:jc w:val="center"/>
              <w:rPr>
                <w:rFonts w:ascii="宋体" w:hAnsi="宋体" w:cs="宋体"/>
                <w:kern w:val="0"/>
                <w:sz w:val="22"/>
                <w:szCs w:val="22"/>
                <w:highlight w:val="none"/>
              </w:rPr>
            </w:pPr>
            <w:r>
              <w:rPr>
                <w:rFonts w:hint="eastAsia" w:ascii="宋体" w:hAnsi="宋体" w:cs="宋体"/>
                <w:kern w:val="0"/>
                <w:sz w:val="22"/>
                <w:szCs w:val="22"/>
                <w:highlight w:val="none"/>
              </w:rPr>
              <w:t>/</w:t>
            </w:r>
          </w:p>
        </w:tc>
        <w:tc>
          <w:tcPr>
            <w:tcW w:w="1320" w:type="dxa"/>
            <w:tcBorders>
              <w:top w:val="nil"/>
              <w:left w:val="nil"/>
              <w:bottom w:val="single" w:color="auto" w:sz="4" w:space="0"/>
              <w:right w:val="single" w:color="auto" w:sz="4" w:space="0"/>
            </w:tcBorders>
            <w:shd w:val="clear" w:color="auto" w:fill="auto"/>
            <w:noWrap/>
            <w:vAlign w:val="center"/>
          </w:tcPr>
          <w:p w14:paraId="4C81A030">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4EAFBC3B">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65CDA4DC">
            <w:pPr>
              <w:widowControl/>
              <w:rPr>
                <w:rFonts w:ascii="宋体" w:hAnsi="宋体" w:cs="宋体"/>
                <w:kern w:val="0"/>
                <w:sz w:val="22"/>
                <w:szCs w:val="22"/>
                <w:highlight w:val="none"/>
              </w:rPr>
            </w:pPr>
          </w:p>
        </w:tc>
      </w:tr>
      <w:tr w14:paraId="7EABD00D">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4BF5BB8D">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3360" w:type="dxa"/>
            <w:tcBorders>
              <w:top w:val="nil"/>
              <w:left w:val="nil"/>
              <w:bottom w:val="single" w:color="auto" w:sz="4" w:space="0"/>
              <w:right w:val="single" w:color="auto" w:sz="4" w:space="0"/>
            </w:tcBorders>
            <w:shd w:val="clear" w:color="auto" w:fill="auto"/>
            <w:vAlign w:val="center"/>
          </w:tcPr>
          <w:p w14:paraId="4B15F7A8">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建筑物水平&amp;竖向位移</w:t>
            </w:r>
          </w:p>
        </w:tc>
        <w:tc>
          <w:tcPr>
            <w:tcW w:w="870" w:type="dxa"/>
            <w:tcBorders>
              <w:top w:val="nil"/>
              <w:left w:val="nil"/>
              <w:bottom w:val="single" w:color="auto" w:sz="4" w:space="0"/>
              <w:right w:val="single" w:color="auto" w:sz="4" w:space="0"/>
            </w:tcBorders>
            <w:shd w:val="clear" w:color="auto" w:fill="auto"/>
            <w:noWrap/>
            <w:vAlign w:val="center"/>
          </w:tcPr>
          <w:p w14:paraId="0528E83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w:t>
            </w:r>
          </w:p>
        </w:tc>
        <w:tc>
          <w:tcPr>
            <w:tcW w:w="765" w:type="dxa"/>
            <w:tcBorders>
              <w:top w:val="nil"/>
              <w:left w:val="nil"/>
              <w:bottom w:val="single" w:color="auto" w:sz="4" w:space="0"/>
              <w:right w:val="single" w:color="auto" w:sz="4" w:space="0"/>
            </w:tcBorders>
            <w:shd w:val="clear" w:color="auto" w:fill="auto"/>
            <w:noWrap/>
            <w:vAlign w:val="center"/>
          </w:tcPr>
          <w:p w14:paraId="5BE4C68A">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773DF5F1">
            <w:pPr>
              <w:widowControl/>
              <w:jc w:val="center"/>
              <w:rPr>
                <w:rFonts w:ascii="宋体" w:hAnsi="宋体" w:cs="宋体"/>
                <w:kern w:val="0"/>
                <w:sz w:val="22"/>
                <w:szCs w:val="22"/>
                <w:highlight w:val="none"/>
              </w:rPr>
            </w:pPr>
            <w:r>
              <w:rPr>
                <w:rFonts w:hint="eastAsia" w:ascii="宋体" w:hAnsi="宋体" w:cs="宋体"/>
                <w:kern w:val="0"/>
                <w:sz w:val="22"/>
                <w:szCs w:val="22"/>
                <w:highlight w:val="none"/>
              </w:rPr>
              <w:t>/</w:t>
            </w:r>
          </w:p>
        </w:tc>
        <w:tc>
          <w:tcPr>
            <w:tcW w:w="1320" w:type="dxa"/>
            <w:tcBorders>
              <w:top w:val="nil"/>
              <w:left w:val="nil"/>
              <w:bottom w:val="single" w:color="auto" w:sz="4" w:space="0"/>
              <w:right w:val="single" w:color="auto" w:sz="4" w:space="0"/>
            </w:tcBorders>
            <w:shd w:val="clear" w:color="auto" w:fill="auto"/>
            <w:noWrap/>
            <w:vAlign w:val="center"/>
          </w:tcPr>
          <w:p w14:paraId="1B08AFD4">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31E81A8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16BED8DE">
            <w:pPr>
              <w:widowControl/>
              <w:rPr>
                <w:rFonts w:ascii="宋体" w:hAnsi="宋体" w:cs="宋体"/>
                <w:kern w:val="0"/>
                <w:sz w:val="22"/>
                <w:szCs w:val="22"/>
                <w:highlight w:val="none"/>
              </w:rPr>
            </w:pPr>
          </w:p>
        </w:tc>
      </w:tr>
      <w:tr w14:paraId="41CF135B">
        <w:tblPrEx>
          <w:tblCellMar>
            <w:top w:w="0" w:type="dxa"/>
            <w:left w:w="108" w:type="dxa"/>
            <w:bottom w:w="0" w:type="dxa"/>
            <w:right w:w="108" w:type="dxa"/>
          </w:tblCellMar>
        </w:tblPrEx>
        <w:trPr>
          <w:trHeight w:val="515"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17534654">
            <w:pPr>
              <w:widowControl/>
              <w:jc w:val="center"/>
              <w:rPr>
                <w:rFonts w:ascii="宋体" w:hAnsi="宋体" w:cs="宋体"/>
                <w:kern w:val="0"/>
                <w:sz w:val="24"/>
                <w:szCs w:val="24"/>
                <w:highlight w:val="none"/>
              </w:rPr>
            </w:pPr>
            <w:r>
              <w:rPr>
                <w:rFonts w:hint="eastAsia" w:ascii="宋体" w:hAnsi="宋体" w:cs="宋体"/>
                <w:kern w:val="0"/>
                <w:sz w:val="24"/>
                <w:szCs w:val="24"/>
                <w:highlight w:val="none"/>
              </w:rPr>
              <w:t>二</w:t>
            </w:r>
          </w:p>
        </w:tc>
        <w:tc>
          <w:tcPr>
            <w:tcW w:w="3360" w:type="dxa"/>
            <w:tcBorders>
              <w:top w:val="nil"/>
              <w:left w:val="nil"/>
              <w:bottom w:val="single" w:color="auto" w:sz="4" w:space="0"/>
              <w:right w:val="single" w:color="auto" w:sz="4" w:space="0"/>
            </w:tcBorders>
            <w:shd w:val="clear" w:color="auto" w:fill="auto"/>
            <w:vAlign w:val="center"/>
          </w:tcPr>
          <w:p w14:paraId="1215A7D4">
            <w:pPr>
              <w:widowControl/>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监测</w:t>
            </w:r>
            <w:r>
              <w:rPr>
                <w:rFonts w:hint="eastAsia" w:ascii="宋体" w:hAnsi="宋体" w:cs="宋体"/>
                <w:kern w:val="0"/>
                <w:sz w:val="24"/>
                <w:szCs w:val="24"/>
                <w:highlight w:val="none"/>
                <w:lang w:eastAsia="zh-CN"/>
              </w:rPr>
              <w:t>项目</w:t>
            </w:r>
          </w:p>
        </w:tc>
        <w:tc>
          <w:tcPr>
            <w:tcW w:w="870" w:type="dxa"/>
            <w:tcBorders>
              <w:top w:val="nil"/>
              <w:left w:val="nil"/>
              <w:bottom w:val="single" w:color="auto" w:sz="4" w:space="0"/>
              <w:right w:val="single" w:color="auto" w:sz="4" w:space="0"/>
            </w:tcBorders>
            <w:shd w:val="clear" w:color="auto" w:fill="auto"/>
            <w:noWrap/>
            <w:vAlign w:val="center"/>
          </w:tcPr>
          <w:p w14:paraId="7BB6F8C1">
            <w:pPr>
              <w:widowControl/>
              <w:jc w:val="center"/>
              <w:rPr>
                <w:rFonts w:ascii="宋体" w:hAnsi="宋体" w:cs="宋体"/>
                <w:kern w:val="0"/>
                <w:sz w:val="22"/>
                <w:szCs w:val="22"/>
                <w:highlight w:val="none"/>
              </w:rPr>
            </w:pPr>
          </w:p>
        </w:tc>
        <w:tc>
          <w:tcPr>
            <w:tcW w:w="765" w:type="dxa"/>
            <w:tcBorders>
              <w:top w:val="nil"/>
              <w:left w:val="nil"/>
              <w:bottom w:val="single" w:color="auto" w:sz="4" w:space="0"/>
              <w:right w:val="single" w:color="auto" w:sz="4" w:space="0"/>
            </w:tcBorders>
            <w:shd w:val="clear" w:color="auto" w:fill="auto"/>
            <w:noWrap/>
            <w:vAlign w:val="center"/>
          </w:tcPr>
          <w:p w14:paraId="24208A7C">
            <w:pPr>
              <w:widowControl/>
              <w:jc w:val="center"/>
              <w:rPr>
                <w:rFonts w:ascii="宋体" w:hAnsi="宋体" w:cs="宋体"/>
                <w:kern w:val="0"/>
                <w:sz w:val="22"/>
                <w:szCs w:val="22"/>
                <w:highlight w:val="none"/>
              </w:rPr>
            </w:pPr>
          </w:p>
        </w:tc>
        <w:tc>
          <w:tcPr>
            <w:tcW w:w="1215" w:type="dxa"/>
            <w:tcBorders>
              <w:top w:val="nil"/>
              <w:left w:val="nil"/>
              <w:bottom w:val="single" w:color="auto" w:sz="4" w:space="0"/>
              <w:right w:val="single" w:color="auto" w:sz="4" w:space="0"/>
            </w:tcBorders>
            <w:shd w:val="clear" w:color="auto" w:fill="auto"/>
            <w:noWrap/>
            <w:vAlign w:val="center"/>
          </w:tcPr>
          <w:p w14:paraId="20AEAC4A">
            <w:pPr>
              <w:widowControl/>
              <w:jc w:val="center"/>
              <w:rPr>
                <w:rFonts w:ascii="宋体" w:hAnsi="宋体" w:cs="宋体"/>
                <w:kern w:val="0"/>
                <w:sz w:val="22"/>
                <w:szCs w:val="22"/>
                <w:highlight w:val="none"/>
              </w:rPr>
            </w:pPr>
          </w:p>
        </w:tc>
        <w:tc>
          <w:tcPr>
            <w:tcW w:w="1320" w:type="dxa"/>
            <w:tcBorders>
              <w:top w:val="nil"/>
              <w:left w:val="nil"/>
              <w:bottom w:val="single" w:color="auto" w:sz="4" w:space="0"/>
              <w:right w:val="single" w:color="auto" w:sz="4" w:space="0"/>
            </w:tcBorders>
            <w:shd w:val="clear" w:color="auto" w:fill="auto"/>
            <w:noWrap/>
            <w:vAlign w:val="center"/>
          </w:tcPr>
          <w:p w14:paraId="16EAE9C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4CD1FE35">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noWrap/>
            <w:vAlign w:val="center"/>
          </w:tcPr>
          <w:p w14:paraId="4252532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r>
      <w:tr w14:paraId="33C7D99C">
        <w:tblPrEx>
          <w:tblCellMar>
            <w:top w:w="0" w:type="dxa"/>
            <w:left w:w="108" w:type="dxa"/>
            <w:bottom w:w="0" w:type="dxa"/>
            <w:right w:w="108" w:type="dxa"/>
          </w:tblCellMar>
        </w:tblPrEx>
        <w:trPr>
          <w:trHeight w:val="707"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7C79BE34">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3360" w:type="dxa"/>
            <w:tcBorders>
              <w:top w:val="nil"/>
              <w:left w:val="nil"/>
              <w:bottom w:val="single" w:color="auto" w:sz="4" w:space="0"/>
              <w:right w:val="single" w:color="auto" w:sz="4" w:space="0"/>
            </w:tcBorders>
            <w:shd w:val="clear" w:color="auto" w:fill="auto"/>
            <w:vAlign w:val="center"/>
          </w:tcPr>
          <w:p w14:paraId="3EEBB43D">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水平&amp;高程基准网点监测</w:t>
            </w:r>
          </w:p>
        </w:tc>
        <w:tc>
          <w:tcPr>
            <w:tcW w:w="870" w:type="dxa"/>
            <w:tcBorders>
              <w:top w:val="nil"/>
              <w:left w:val="nil"/>
              <w:bottom w:val="single" w:color="auto" w:sz="4" w:space="0"/>
              <w:right w:val="single" w:color="auto" w:sz="4" w:space="0"/>
            </w:tcBorders>
            <w:shd w:val="clear" w:color="auto" w:fill="auto"/>
            <w:noWrap/>
            <w:vAlign w:val="center"/>
          </w:tcPr>
          <w:p w14:paraId="74537A45">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3599C64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3</w:t>
            </w:r>
          </w:p>
        </w:tc>
        <w:tc>
          <w:tcPr>
            <w:tcW w:w="1215" w:type="dxa"/>
            <w:tcBorders>
              <w:top w:val="nil"/>
              <w:left w:val="nil"/>
              <w:bottom w:val="single" w:color="auto" w:sz="4" w:space="0"/>
              <w:right w:val="single" w:color="auto" w:sz="4" w:space="0"/>
            </w:tcBorders>
            <w:shd w:val="clear" w:color="auto" w:fill="auto"/>
            <w:noWrap/>
            <w:vAlign w:val="center"/>
          </w:tcPr>
          <w:p w14:paraId="0B3037D0">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6</w:t>
            </w:r>
          </w:p>
        </w:tc>
        <w:tc>
          <w:tcPr>
            <w:tcW w:w="1320" w:type="dxa"/>
            <w:tcBorders>
              <w:top w:val="nil"/>
              <w:left w:val="nil"/>
              <w:bottom w:val="single" w:color="auto" w:sz="4" w:space="0"/>
              <w:right w:val="single" w:color="auto" w:sz="4" w:space="0"/>
            </w:tcBorders>
            <w:shd w:val="clear" w:color="auto" w:fill="auto"/>
            <w:noWrap/>
            <w:vAlign w:val="center"/>
          </w:tcPr>
          <w:p w14:paraId="2A748186">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D1DFA9E">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7A2D7EC2">
            <w:pPr>
              <w:widowControl/>
              <w:rPr>
                <w:rFonts w:ascii="宋体" w:hAnsi="宋体" w:cs="宋体"/>
                <w:kern w:val="0"/>
                <w:sz w:val="22"/>
                <w:szCs w:val="22"/>
                <w:highlight w:val="none"/>
              </w:rPr>
            </w:pPr>
          </w:p>
        </w:tc>
      </w:tr>
      <w:tr w14:paraId="19329CB0">
        <w:tblPrEx>
          <w:tblCellMar>
            <w:top w:w="0" w:type="dxa"/>
            <w:left w:w="108" w:type="dxa"/>
            <w:bottom w:w="0" w:type="dxa"/>
            <w:right w:w="108" w:type="dxa"/>
          </w:tblCellMar>
        </w:tblPrEx>
        <w:trPr>
          <w:trHeight w:val="559"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6B301AFA">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3360" w:type="dxa"/>
            <w:tcBorders>
              <w:top w:val="nil"/>
              <w:left w:val="nil"/>
              <w:bottom w:val="single" w:color="auto" w:sz="4" w:space="0"/>
              <w:right w:val="single" w:color="auto" w:sz="4" w:space="0"/>
            </w:tcBorders>
            <w:shd w:val="clear" w:color="auto" w:fill="auto"/>
            <w:vAlign w:val="center"/>
          </w:tcPr>
          <w:p w14:paraId="6BDB6755">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建筑水平位移监测</w:t>
            </w:r>
          </w:p>
        </w:tc>
        <w:tc>
          <w:tcPr>
            <w:tcW w:w="870" w:type="dxa"/>
            <w:tcBorders>
              <w:top w:val="nil"/>
              <w:left w:val="nil"/>
              <w:bottom w:val="single" w:color="auto" w:sz="4" w:space="0"/>
              <w:right w:val="single" w:color="auto" w:sz="4" w:space="0"/>
            </w:tcBorders>
            <w:shd w:val="clear" w:color="auto" w:fill="auto"/>
            <w:noWrap/>
            <w:vAlign w:val="center"/>
          </w:tcPr>
          <w:p w14:paraId="21842C0E">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0C151DEE">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71C04119">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320" w:type="dxa"/>
            <w:tcBorders>
              <w:top w:val="nil"/>
              <w:left w:val="nil"/>
              <w:bottom w:val="single" w:color="auto" w:sz="4" w:space="0"/>
              <w:right w:val="single" w:color="auto" w:sz="4" w:space="0"/>
            </w:tcBorders>
            <w:shd w:val="clear" w:color="auto" w:fill="auto"/>
            <w:noWrap/>
            <w:vAlign w:val="center"/>
          </w:tcPr>
          <w:p w14:paraId="5573EE33">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195D062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41441066">
            <w:pPr>
              <w:widowControl/>
              <w:rPr>
                <w:rFonts w:ascii="宋体" w:hAnsi="宋体" w:cs="宋体"/>
                <w:kern w:val="0"/>
                <w:sz w:val="22"/>
                <w:szCs w:val="22"/>
                <w:highlight w:val="none"/>
              </w:rPr>
            </w:pPr>
          </w:p>
        </w:tc>
      </w:tr>
      <w:tr w14:paraId="61E1C24F">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3EA5D927">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3360" w:type="dxa"/>
            <w:tcBorders>
              <w:top w:val="nil"/>
              <w:left w:val="nil"/>
              <w:bottom w:val="single" w:color="auto" w:sz="4" w:space="0"/>
              <w:right w:val="single" w:color="auto" w:sz="4" w:space="0"/>
            </w:tcBorders>
            <w:shd w:val="clear" w:color="auto" w:fill="auto"/>
            <w:vAlign w:val="center"/>
          </w:tcPr>
          <w:p w14:paraId="26646423">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建筑沉降监测</w:t>
            </w:r>
          </w:p>
        </w:tc>
        <w:tc>
          <w:tcPr>
            <w:tcW w:w="870" w:type="dxa"/>
            <w:tcBorders>
              <w:top w:val="nil"/>
              <w:left w:val="nil"/>
              <w:bottom w:val="single" w:color="auto" w:sz="4" w:space="0"/>
              <w:right w:val="single" w:color="auto" w:sz="4" w:space="0"/>
            </w:tcBorders>
            <w:shd w:val="clear" w:color="auto" w:fill="auto"/>
            <w:noWrap/>
            <w:vAlign w:val="center"/>
          </w:tcPr>
          <w:p w14:paraId="535B07BA">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40C04412">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01C59FCB">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320" w:type="dxa"/>
            <w:tcBorders>
              <w:top w:val="nil"/>
              <w:left w:val="nil"/>
              <w:bottom w:val="single" w:color="auto" w:sz="4" w:space="0"/>
              <w:right w:val="single" w:color="auto" w:sz="4" w:space="0"/>
            </w:tcBorders>
            <w:shd w:val="clear" w:color="auto" w:fill="auto"/>
            <w:noWrap/>
            <w:vAlign w:val="center"/>
          </w:tcPr>
          <w:p w14:paraId="59262CAA">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BDF26D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7C6D4C5A">
            <w:pPr>
              <w:widowControl/>
              <w:rPr>
                <w:rFonts w:ascii="宋体" w:hAnsi="宋体" w:cs="宋体"/>
                <w:kern w:val="0"/>
                <w:sz w:val="22"/>
                <w:szCs w:val="22"/>
                <w:highlight w:val="none"/>
              </w:rPr>
            </w:pPr>
          </w:p>
        </w:tc>
      </w:tr>
      <w:tr w14:paraId="4103C405">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8" w:space="0"/>
              <w:right w:val="single" w:color="auto" w:sz="4" w:space="0"/>
            </w:tcBorders>
            <w:shd w:val="clear" w:color="auto" w:fill="auto"/>
            <w:vAlign w:val="center"/>
          </w:tcPr>
          <w:p w14:paraId="403B44E3">
            <w:pPr>
              <w:widowControl/>
              <w:jc w:val="center"/>
              <w:rPr>
                <w:rFonts w:ascii="宋体" w:hAnsi="宋体" w:cs="宋体"/>
                <w:kern w:val="0"/>
                <w:sz w:val="24"/>
                <w:szCs w:val="24"/>
                <w:highlight w:val="none"/>
              </w:rPr>
            </w:pPr>
            <w:r>
              <w:rPr>
                <w:rFonts w:hint="eastAsia" w:ascii="宋体" w:hAnsi="宋体" w:cs="宋体"/>
                <w:kern w:val="0"/>
                <w:sz w:val="24"/>
                <w:szCs w:val="24"/>
                <w:highlight w:val="none"/>
              </w:rPr>
              <w:t>　</w:t>
            </w:r>
          </w:p>
        </w:tc>
        <w:tc>
          <w:tcPr>
            <w:tcW w:w="3360" w:type="dxa"/>
            <w:tcBorders>
              <w:top w:val="nil"/>
              <w:left w:val="nil"/>
              <w:bottom w:val="single" w:color="auto" w:sz="8" w:space="0"/>
              <w:right w:val="single" w:color="auto" w:sz="4" w:space="0"/>
            </w:tcBorders>
            <w:shd w:val="clear" w:color="auto" w:fill="auto"/>
            <w:vAlign w:val="center"/>
          </w:tcPr>
          <w:p w14:paraId="62086981">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总计（一+二）</w:t>
            </w:r>
          </w:p>
        </w:tc>
        <w:tc>
          <w:tcPr>
            <w:tcW w:w="870" w:type="dxa"/>
            <w:tcBorders>
              <w:top w:val="nil"/>
              <w:left w:val="nil"/>
              <w:bottom w:val="single" w:color="auto" w:sz="8" w:space="0"/>
              <w:right w:val="single" w:color="auto" w:sz="4" w:space="0"/>
            </w:tcBorders>
            <w:shd w:val="clear" w:color="auto" w:fill="auto"/>
            <w:noWrap/>
            <w:vAlign w:val="center"/>
          </w:tcPr>
          <w:p w14:paraId="2C768510">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765" w:type="dxa"/>
            <w:tcBorders>
              <w:top w:val="nil"/>
              <w:left w:val="nil"/>
              <w:bottom w:val="single" w:color="auto" w:sz="8" w:space="0"/>
              <w:right w:val="single" w:color="auto" w:sz="4" w:space="0"/>
            </w:tcBorders>
            <w:shd w:val="clear" w:color="auto" w:fill="auto"/>
            <w:noWrap/>
            <w:vAlign w:val="center"/>
          </w:tcPr>
          <w:p w14:paraId="07B5992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215" w:type="dxa"/>
            <w:tcBorders>
              <w:top w:val="nil"/>
              <w:left w:val="nil"/>
              <w:bottom w:val="single" w:color="auto" w:sz="8" w:space="0"/>
              <w:right w:val="single" w:color="auto" w:sz="4" w:space="0"/>
            </w:tcBorders>
            <w:shd w:val="clear" w:color="auto" w:fill="auto"/>
            <w:noWrap/>
            <w:vAlign w:val="center"/>
          </w:tcPr>
          <w:p w14:paraId="611CE339">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320" w:type="dxa"/>
            <w:tcBorders>
              <w:top w:val="nil"/>
              <w:left w:val="nil"/>
              <w:bottom w:val="single" w:color="auto" w:sz="8" w:space="0"/>
              <w:right w:val="single" w:color="auto" w:sz="4" w:space="0"/>
            </w:tcBorders>
            <w:shd w:val="clear" w:color="auto" w:fill="auto"/>
            <w:noWrap/>
            <w:vAlign w:val="center"/>
          </w:tcPr>
          <w:p w14:paraId="54C530FE">
            <w:pPr>
              <w:widowControl/>
              <w:rPr>
                <w:rFonts w:ascii="宋体" w:hAnsi="宋体" w:cs="宋体"/>
                <w:kern w:val="0"/>
                <w:sz w:val="22"/>
                <w:szCs w:val="22"/>
                <w:highlight w:val="none"/>
              </w:rPr>
            </w:pPr>
          </w:p>
        </w:tc>
        <w:tc>
          <w:tcPr>
            <w:tcW w:w="1170" w:type="dxa"/>
            <w:tcBorders>
              <w:top w:val="nil"/>
              <w:left w:val="nil"/>
              <w:bottom w:val="single" w:color="auto" w:sz="8" w:space="0"/>
              <w:right w:val="single" w:color="auto" w:sz="4" w:space="0"/>
            </w:tcBorders>
            <w:shd w:val="clear" w:color="auto" w:fill="auto"/>
            <w:vAlign w:val="center"/>
          </w:tcPr>
          <w:p w14:paraId="28DB45F8">
            <w:pPr>
              <w:widowControl/>
              <w:jc w:val="center"/>
              <w:rPr>
                <w:rFonts w:ascii="宋体" w:hAnsi="宋体" w:cs="宋体"/>
                <w:b/>
                <w:bCs/>
                <w:kern w:val="0"/>
                <w:sz w:val="24"/>
                <w:szCs w:val="24"/>
                <w:highlight w:val="none"/>
              </w:rPr>
            </w:pPr>
          </w:p>
        </w:tc>
        <w:tc>
          <w:tcPr>
            <w:tcW w:w="4485" w:type="dxa"/>
            <w:tcBorders>
              <w:top w:val="nil"/>
              <w:left w:val="nil"/>
              <w:bottom w:val="single" w:color="auto" w:sz="8" w:space="0"/>
              <w:right w:val="single" w:color="auto" w:sz="8" w:space="0"/>
            </w:tcBorders>
            <w:shd w:val="clear" w:color="auto" w:fill="auto"/>
            <w:noWrap/>
            <w:vAlign w:val="center"/>
          </w:tcPr>
          <w:p w14:paraId="15428D4D">
            <w:pPr>
              <w:widowControl/>
              <w:rPr>
                <w:rFonts w:ascii="宋体" w:hAnsi="宋体" w:cs="宋体"/>
                <w:kern w:val="0"/>
                <w:sz w:val="22"/>
                <w:szCs w:val="22"/>
                <w:highlight w:val="none"/>
              </w:rPr>
            </w:pPr>
          </w:p>
        </w:tc>
      </w:tr>
      <w:tr w14:paraId="3B6D2754">
        <w:tblPrEx>
          <w:tblCellMar>
            <w:top w:w="0" w:type="dxa"/>
            <w:left w:w="108" w:type="dxa"/>
            <w:bottom w:w="0" w:type="dxa"/>
            <w:right w:w="108" w:type="dxa"/>
          </w:tblCellMar>
        </w:tblPrEx>
        <w:trPr>
          <w:trHeight w:val="1860" w:hRule="atLeast"/>
        </w:trPr>
        <w:tc>
          <w:tcPr>
            <w:tcW w:w="14035" w:type="dxa"/>
            <w:gridSpan w:val="8"/>
            <w:tcBorders>
              <w:top w:val="nil"/>
              <w:left w:val="nil"/>
              <w:bottom w:val="nil"/>
              <w:right w:val="nil"/>
            </w:tcBorders>
            <w:shd w:val="clear" w:color="auto" w:fill="auto"/>
            <w:vAlign w:val="center"/>
          </w:tcPr>
          <w:p w14:paraId="723E48F4">
            <w:pPr>
              <w:widowControl/>
              <w:rPr>
                <w:rFonts w:ascii="宋体" w:hAnsi="宋体" w:cs="宋体"/>
                <w:kern w:val="0"/>
                <w:sz w:val="24"/>
                <w:szCs w:val="24"/>
              </w:rPr>
            </w:pPr>
            <w:r>
              <w:rPr>
                <w:rFonts w:hint="eastAsia" w:ascii="宋体" w:hAnsi="宋体" w:cs="宋体"/>
                <w:kern w:val="0"/>
                <w:sz w:val="24"/>
                <w:szCs w:val="24"/>
              </w:rPr>
              <w:t>备注：</w:t>
            </w:r>
            <w:r>
              <w:rPr>
                <w:rFonts w:hint="eastAsia" w:ascii="宋体" w:hAnsi="宋体" w:cs="宋体"/>
                <w:kern w:val="0"/>
                <w:sz w:val="24"/>
                <w:szCs w:val="24"/>
              </w:rPr>
              <w:br w:type="textWrapping"/>
            </w:r>
            <w:r>
              <w:rPr>
                <w:rFonts w:hint="eastAsia" w:ascii="宋体" w:hAnsi="宋体" w:cs="宋体"/>
                <w:kern w:val="0"/>
                <w:sz w:val="24"/>
                <w:szCs w:val="24"/>
              </w:rPr>
              <w:t>1、采用穗建检协【2013】12号收费标准，缺项部分参照粤建检协【2015】8号收费标准。</w:t>
            </w:r>
            <w:r>
              <w:rPr>
                <w:rFonts w:hint="eastAsia" w:ascii="宋体" w:hAnsi="宋体" w:cs="宋体"/>
                <w:kern w:val="0"/>
                <w:sz w:val="24"/>
                <w:szCs w:val="24"/>
              </w:rPr>
              <w:br w:type="textWrapping"/>
            </w:r>
            <w:r>
              <w:rPr>
                <w:rFonts w:hint="eastAsia" w:ascii="宋体" w:hAnsi="宋体" w:cs="宋体"/>
                <w:kern w:val="0"/>
                <w:sz w:val="24"/>
                <w:szCs w:val="24"/>
              </w:rPr>
              <w:t>2、文物建筑属于重要建筑，按照规范要求，需要进行水平和沉降监测。</w:t>
            </w:r>
            <w:r>
              <w:rPr>
                <w:rFonts w:hint="eastAsia" w:ascii="宋体" w:hAnsi="宋体" w:cs="宋体"/>
                <w:kern w:val="0"/>
                <w:sz w:val="24"/>
                <w:szCs w:val="24"/>
              </w:rPr>
              <w:br w:type="textWrapping"/>
            </w:r>
            <w:r>
              <w:rPr>
                <w:rFonts w:hint="eastAsia" w:ascii="宋体" w:hAnsi="宋体" w:cs="宋体"/>
                <w:kern w:val="0"/>
                <w:sz w:val="24"/>
                <w:szCs w:val="24"/>
              </w:rPr>
              <w:t>3、按照规范要求，水平与沉降位移基准点、</w:t>
            </w:r>
            <w:r>
              <w:rPr>
                <w:rFonts w:hint="eastAsia" w:ascii="宋体" w:hAnsi="宋体" w:cs="宋体"/>
                <w:kern w:val="0"/>
                <w:sz w:val="24"/>
                <w:szCs w:val="24"/>
                <w:lang w:eastAsia="zh-CN"/>
              </w:rPr>
              <w:t>监</w:t>
            </w:r>
            <w:r>
              <w:rPr>
                <w:rFonts w:hint="eastAsia" w:ascii="宋体" w:hAnsi="宋体" w:cs="宋体"/>
                <w:kern w:val="0"/>
                <w:sz w:val="24"/>
                <w:szCs w:val="24"/>
              </w:rPr>
              <w:t>测点宜共点布设。</w:t>
            </w:r>
            <w:r>
              <w:rPr>
                <w:rFonts w:hint="eastAsia" w:ascii="宋体" w:hAnsi="宋体" w:cs="宋体"/>
                <w:kern w:val="0"/>
                <w:sz w:val="24"/>
                <w:szCs w:val="24"/>
              </w:rPr>
              <w:br w:type="textWrapping"/>
            </w:r>
            <w:r>
              <w:rPr>
                <w:rFonts w:hint="eastAsia" w:ascii="宋体" w:hAnsi="宋体" w:cs="宋体"/>
                <w:kern w:val="0"/>
                <w:sz w:val="24"/>
                <w:szCs w:val="24"/>
              </w:rPr>
              <w:t>4、按照规范要求，监测精度采用二等。</w:t>
            </w:r>
            <w:r>
              <w:rPr>
                <w:rFonts w:hint="eastAsia" w:ascii="宋体" w:hAnsi="宋体" w:cs="宋体"/>
                <w:kern w:val="0"/>
                <w:sz w:val="24"/>
                <w:szCs w:val="24"/>
              </w:rPr>
              <w:br w:type="textWrapping"/>
            </w:r>
          </w:p>
        </w:tc>
      </w:tr>
    </w:tbl>
    <w:p w14:paraId="3F942748">
      <w:pPr>
        <w:spacing w:line="360" w:lineRule="auto"/>
        <w:rPr>
          <w:rFonts w:ascii="宋体" w:hAnsi="宋体"/>
          <w:kern w:val="0"/>
          <w:sz w:val="24"/>
          <w:szCs w:val="24"/>
        </w:rPr>
      </w:pPr>
    </w:p>
    <w:p w14:paraId="0221C13B">
      <w:pPr>
        <w:pStyle w:val="2"/>
        <w:ind w:left="0" w:leftChars="0" w:firstLine="0" w:firstLineChars="0"/>
        <w:rPr>
          <w:rFonts w:ascii="宋体" w:hAnsi="宋体"/>
          <w:kern w:val="0"/>
          <w:sz w:val="24"/>
          <w:szCs w:val="24"/>
        </w:rPr>
      </w:pPr>
    </w:p>
    <w:p w14:paraId="75C54D36">
      <w:pPr>
        <w:pStyle w:val="2"/>
        <w:ind w:left="0" w:leftChars="0" w:firstLine="0" w:firstLineChars="0"/>
        <w:rPr>
          <w:rFonts w:hint="eastAsia" w:ascii="宋体" w:hAnsi="宋体"/>
          <w:b/>
          <w:bCs/>
          <w:kern w:val="0"/>
          <w:sz w:val="28"/>
          <w:szCs w:val="28"/>
        </w:rPr>
      </w:pPr>
      <w:r>
        <w:rPr>
          <w:rFonts w:hint="eastAsia" w:ascii="宋体" w:hAnsi="宋体"/>
          <w:b/>
          <w:bCs/>
          <w:kern w:val="0"/>
          <w:sz w:val="28"/>
          <w:szCs w:val="28"/>
        </w:rPr>
        <w:t>附件2：</w:t>
      </w:r>
      <w:r>
        <w:rPr>
          <w:rFonts w:hint="eastAsia" w:ascii="宋体" w:hAnsi="宋体"/>
          <w:b/>
          <w:bCs/>
          <w:kern w:val="0"/>
          <w:sz w:val="28"/>
          <w:szCs w:val="28"/>
          <w:lang w:val="en-US" w:eastAsia="zh-CN"/>
        </w:rPr>
        <w:t>门楼</w:t>
      </w:r>
      <w:r>
        <w:rPr>
          <w:rFonts w:hint="eastAsia" w:ascii="宋体" w:hAnsi="宋体"/>
          <w:b/>
          <w:bCs/>
          <w:kern w:val="0"/>
          <w:sz w:val="28"/>
          <w:szCs w:val="28"/>
        </w:rPr>
        <w:t>监测点布置平面图</w:t>
      </w:r>
    </w:p>
    <w:p w14:paraId="69BAEB9D">
      <w:pPr>
        <w:pStyle w:val="2"/>
        <w:ind w:left="0" w:leftChars="0" w:firstLine="0" w:firstLineChars="0"/>
        <w:rPr>
          <w:rFonts w:hint="eastAsia" w:ascii="宋体" w:hAnsi="宋体"/>
          <w:b/>
          <w:bCs/>
          <w:kern w:val="0"/>
          <w:sz w:val="28"/>
          <w:szCs w:val="28"/>
        </w:rPr>
        <w:sectPr>
          <w:pgSz w:w="16838" w:h="11906" w:orient="landscape"/>
          <w:pgMar w:top="1134" w:right="1134" w:bottom="1134" w:left="1134" w:header="851" w:footer="992" w:gutter="0"/>
          <w:pgNumType w:fmt="decimal"/>
          <w:cols w:space="425" w:num="1"/>
          <w:docGrid w:type="lines" w:linePitch="312" w:charSpace="0"/>
        </w:sectPr>
      </w:pPr>
      <w:r>
        <w:drawing>
          <wp:inline distT="0" distB="0" distL="114300" distR="114300">
            <wp:extent cx="7753350" cy="43815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7753350" cy="4381500"/>
                    </a:xfrm>
                    <a:prstGeom prst="rect">
                      <a:avLst/>
                    </a:prstGeom>
                    <a:noFill/>
                    <a:ln>
                      <a:noFill/>
                    </a:ln>
                  </pic:spPr>
                </pic:pic>
              </a:graphicData>
            </a:graphic>
          </wp:inline>
        </w:drawing>
      </w:r>
    </w:p>
    <w:p w14:paraId="740811E7">
      <w:pPr>
        <w:wordWrap/>
        <w:spacing w:line="360" w:lineRule="auto"/>
        <w:jc w:val="left"/>
        <w:rPr>
          <w:rFonts w:hint="eastAsia" w:ascii="仿宋" w:hAnsi="仿宋" w:eastAsia="仿宋" w:cs="仿宋"/>
          <w:sz w:val="24"/>
          <w:szCs w:val="24"/>
          <w:lang w:val="en-US" w:eastAsia="zh-CN"/>
        </w:rPr>
      </w:pPr>
    </w:p>
    <w:p w14:paraId="5828C3C2">
      <w:pPr>
        <w:wordWrap/>
        <w:spacing w:line="360" w:lineRule="auto"/>
        <w:jc w:val="left"/>
        <w:rPr>
          <w:rFonts w:hint="eastAsia" w:ascii="仿宋" w:hAnsi="仿宋" w:eastAsia="仿宋" w:cs="仿宋"/>
          <w:sz w:val="24"/>
          <w:szCs w:val="24"/>
          <w:lang w:val="en-US" w:eastAsia="zh-CN"/>
        </w:rPr>
      </w:pPr>
    </w:p>
    <w:p w14:paraId="31820E27">
      <w:pPr>
        <w:wordWrap/>
        <w:spacing w:line="360" w:lineRule="auto"/>
        <w:jc w:val="left"/>
        <w:rPr>
          <w:rFonts w:hint="eastAsia" w:ascii="仿宋" w:hAnsi="仿宋" w:eastAsia="仿宋" w:cs="仿宋"/>
          <w:sz w:val="24"/>
          <w:szCs w:val="24"/>
          <w:lang w:val="en-US" w:eastAsia="zh-CN"/>
        </w:rPr>
      </w:pPr>
    </w:p>
    <w:p w14:paraId="3EFB2B2A">
      <w:pPr>
        <w:wordWrap/>
        <w:spacing w:line="360" w:lineRule="auto"/>
        <w:jc w:val="left"/>
        <w:rPr>
          <w:rFonts w:hint="eastAsia" w:ascii="仿宋" w:hAnsi="仿宋" w:eastAsia="仿宋" w:cs="仿宋"/>
          <w:sz w:val="24"/>
          <w:szCs w:val="24"/>
          <w:lang w:val="en-US" w:eastAsia="zh-CN"/>
        </w:rPr>
      </w:pPr>
    </w:p>
    <w:p w14:paraId="6EF40747">
      <w:pPr>
        <w:wordWrap/>
        <w:spacing w:line="360" w:lineRule="auto"/>
        <w:jc w:val="left"/>
        <w:rPr>
          <w:rFonts w:hint="eastAsia" w:ascii="仿宋" w:hAnsi="仿宋" w:eastAsia="仿宋" w:cs="仿宋"/>
          <w:sz w:val="24"/>
          <w:szCs w:val="24"/>
          <w:lang w:val="en-US" w:eastAsia="zh-CN"/>
        </w:rPr>
      </w:pPr>
    </w:p>
    <w:p w14:paraId="27E6DCEB">
      <w:pPr>
        <w:wordWrap/>
        <w:spacing w:line="360" w:lineRule="auto"/>
        <w:jc w:val="left"/>
        <w:rPr>
          <w:rFonts w:hint="eastAsia" w:ascii="仿宋" w:hAnsi="仿宋" w:eastAsia="仿宋" w:cs="仿宋"/>
          <w:sz w:val="24"/>
          <w:szCs w:val="24"/>
          <w:lang w:val="en-US" w:eastAsia="zh-CN"/>
        </w:rPr>
      </w:pPr>
    </w:p>
    <w:p w14:paraId="0AE90CAC">
      <w:pPr>
        <w:wordWrap/>
        <w:spacing w:line="360" w:lineRule="auto"/>
        <w:jc w:val="left"/>
        <w:rPr>
          <w:rFonts w:hint="eastAsia" w:ascii="仿宋" w:hAnsi="仿宋" w:eastAsia="仿宋" w:cs="仿宋"/>
          <w:sz w:val="24"/>
          <w:szCs w:val="24"/>
          <w:lang w:val="en-US" w:eastAsia="zh-CN"/>
        </w:rPr>
      </w:pPr>
    </w:p>
    <w:p w14:paraId="32EECBEC">
      <w:pPr>
        <w:wordWrap/>
        <w:spacing w:line="360" w:lineRule="auto"/>
        <w:jc w:val="left"/>
        <w:rPr>
          <w:rFonts w:hint="eastAsia" w:ascii="仿宋" w:hAnsi="仿宋" w:eastAsia="仿宋" w:cs="仿宋"/>
          <w:sz w:val="24"/>
          <w:szCs w:val="24"/>
          <w:lang w:val="en-US" w:eastAsia="zh-CN"/>
        </w:rPr>
      </w:pPr>
    </w:p>
    <w:p w14:paraId="7DE8767D">
      <w:pPr>
        <w:wordWrap/>
        <w:spacing w:line="360" w:lineRule="auto"/>
        <w:jc w:val="left"/>
        <w:rPr>
          <w:rFonts w:hint="eastAsia" w:ascii="仿宋" w:hAnsi="仿宋" w:eastAsia="仿宋" w:cs="仿宋"/>
          <w:sz w:val="24"/>
          <w:szCs w:val="24"/>
          <w:lang w:val="en-US" w:eastAsia="zh-CN"/>
        </w:rPr>
      </w:pPr>
    </w:p>
    <w:p w14:paraId="46B1C19B">
      <w:pPr>
        <w:wordWrap/>
        <w:spacing w:line="360" w:lineRule="auto"/>
        <w:jc w:val="left"/>
        <w:rPr>
          <w:rFonts w:hint="eastAsia" w:ascii="仿宋" w:hAnsi="仿宋" w:eastAsia="仿宋" w:cs="仿宋"/>
          <w:sz w:val="24"/>
          <w:szCs w:val="24"/>
          <w:lang w:val="en-US" w:eastAsia="zh-CN"/>
        </w:rPr>
      </w:pPr>
    </w:p>
    <w:p w14:paraId="6B3DCF95">
      <w:pPr>
        <w:spacing w:line="360" w:lineRule="auto"/>
        <w:rPr>
          <w:rFonts w:hint="eastAsia" w:ascii="宋体" w:hAnsi="宋体" w:eastAsia="宋体" w:cs="宋体"/>
          <w:b/>
          <w:bCs/>
          <w:sz w:val="24"/>
          <w:szCs w:val="24"/>
        </w:rPr>
      </w:pPr>
    </w:p>
    <w:sectPr>
      <w:headerReference r:id="rId10" w:type="first"/>
      <w:footerReference r:id="rId12" w:type="first"/>
      <w:headerReference r:id="rId9" w:type="default"/>
      <w:footerReference r:id="rId11"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Hei-Identity-H">
    <w:altName w:val="黑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BAB84">
    <w:pPr>
      <w:pStyle w:val="12"/>
      <w:rPr>
        <w:b/>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D57A9">
                          <w:pPr>
                            <w:pStyle w:val="12"/>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FlBM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ZxZQTLAQAAnAMAAA4AAAAAAAAAAQAgAAAAHgEAAGRycy9lMm9E&#10;b2MueG1sUEsFBgAAAAAGAAYAWQEAAFsFAAAAAA==&#10;">
              <v:fill on="f" focussize="0,0"/>
              <v:stroke on="f"/>
              <v:imagedata o:title=""/>
              <o:lock v:ext="edit" aspectratio="f"/>
              <v:textbox inset="0mm,0mm,0mm,0mm" style="mso-fit-shape-to-text:t;">
                <w:txbxContent>
                  <w:p w14:paraId="6C9D57A9">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3"/>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3"/>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7255">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3"/>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3"/>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9350D"/>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17AC"/>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413D41"/>
    <w:rsid w:val="021D1B47"/>
    <w:rsid w:val="02203B3A"/>
    <w:rsid w:val="022B2BE0"/>
    <w:rsid w:val="02365741"/>
    <w:rsid w:val="02381EFC"/>
    <w:rsid w:val="025D5E45"/>
    <w:rsid w:val="0281282A"/>
    <w:rsid w:val="02B62D45"/>
    <w:rsid w:val="02B7449E"/>
    <w:rsid w:val="02D877C3"/>
    <w:rsid w:val="02ED7EC0"/>
    <w:rsid w:val="02F30126"/>
    <w:rsid w:val="031374C5"/>
    <w:rsid w:val="03202CAB"/>
    <w:rsid w:val="034076C4"/>
    <w:rsid w:val="034D6575"/>
    <w:rsid w:val="035000AB"/>
    <w:rsid w:val="03783724"/>
    <w:rsid w:val="038507CB"/>
    <w:rsid w:val="03B14CF2"/>
    <w:rsid w:val="03B85FA3"/>
    <w:rsid w:val="03F20AEB"/>
    <w:rsid w:val="041B2525"/>
    <w:rsid w:val="04493917"/>
    <w:rsid w:val="04702B56"/>
    <w:rsid w:val="047210F8"/>
    <w:rsid w:val="04936FA6"/>
    <w:rsid w:val="04970029"/>
    <w:rsid w:val="049C2AB3"/>
    <w:rsid w:val="04FC6AE0"/>
    <w:rsid w:val="05464D81"/>
    <w:rsid w:val="0561184A"/>
    <w:rsid w:val="05616943"/>
    <w:rsid w:val="05807D72"/>
    <w:rsid w:val="059B12C3"/>
    <w:rsid w:val="059B6C35"/>
    <w:rsid w:val="05E530D0"/>
    <w:rsid w:val="06097792"/>
    <w:rsid w:val="0617479A"/>
    <w:rsid w:val="063E5882"/>
    <w:rsid w:val="06446A75"/>
    <w:rsid w:val="065D35AE"/>
    <w:rsid w:val="066C4A21"/>
    <w:rsid w:val="068E5516"/>
    <w:rsid w:val="06933C84"/>
    <w:rsid w:val="06BF3F2A"/>
    <w:rsid w:val="06C24A28"/>
    <w:rsid w:val="06F270BC"/>
    <w:rsid w:val="07470B0F"/>
    <w:rsid w:val="074F30F9"/>
    <w:rsid w:val="07783917"/>
    <w:rsid w:val="079808BF"/>
    <w:rsid w:val="079B18F7"/>
    <w:rsid w:val="07B84598"/>
    <w:rsid w:val="083B4F6F"/>
    <w:rsid w:val="0880401A"/>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8643A8"/>
    <w:rsid w:val="0DAE1CD4"/>
    <w:rsid w:val="0DB37F58"/>
    <w:rsid w:val="0DCD6884"/>
    <w:rsid w:val="0E0E4AD3"/>
    <w:rsid w:val="0E114DF1"/>
    <w:rsid w:val="0E216CB2"/>
    <w:rsid w:val="0E3D7C28"/>
    <w:rsid w:val="0E47674E"/>
    <w:rsid w:val="0E6C09F1"/>
    <w:rsid w:val="0E9D4F53"/>
    <w:rsid w:val="0EAE1C6E"/>
    <w:rsid w:val="0EB10191"/>
    <w:rsid w:val="0ECE2D17"/>
    <w:rsid w:val="0EDC6D10"/>
    <w:rsid w:val="0F06712A"/>
    <w:rsid w:val="0F276DBA"/>
    <w:rsid w:val="0F490B74"/>
    <w:rsid w:val="0F4A3109"/>
    <w:rsid w:val="0F7B5503"/>
    <w:rsid w:val="0F8D4C1B"/>
    <w:rsid w:val="0FD37F53"/>
    <w:rsid w:val="0FEE7136"/>
    <w:rsid w:val="10007D45"/>
    <w:rsid w:val="1004205B"/>
    <w:rsid w:val="10145744"/>
    <w:rsid w:val="1014753E"/>
    <w:rsid w:val="10250CCD"/>
    <w:rsid w:val="103939E6"/>
    <w:rsid w:val="105D681E"/>
    <w:rsid w:val="106F1535"/>
    <w:rsid w:val="109575E1"/>
    <w:rsid w:val="10B05DB1"/>
    <w:rsid w:val="10CB6B56"/>
    <w:rsid w:val="10DD1337"/>
    <w:rsid w:val="10F36D78"/>
    <w:rsid w:val="11163ADF"/>
    <w:rsid w:val="11175575"/>
    <w:rsid w:val="1128487D"/>
    <w:rsid w:val="115405C6"/>
    <w:rsid w:val="11590DA4"/>
    <w:rsid w:val="11597426"/>
    <w:rsid w:val="116A3294"/>
    <w:rsid w:val="117B6FDE"/>
    <w:rsid w:val="119B4F8B"/>
    <w:rsid w:val="12062B4E"/>
    <w:rsid w:val="124205ED"/>
    <w:rsid w:val="12671431"/>
    <w:rsid w:val="127C4DBC"/>
    <w:rsid w:val="1288550F"/>
    <w:rsid w:val="129867C5"/>
    <w:rsid w:val="12C10A21"/>
    <w:rsid w:val="12C36875"/>
    <w:rsid w:val="131566FB"/>
    <w:rsid w:val="133F1F60"/>
    <w:rsid w:val="134639A2"/>
    <w:rsid w:val="136235F4"/>
    <w:rsid w:val="13837C04"/>
    <w:rsid w:val="13857CA0"/>
    <w:rsid w:val="139B227B"/>
    <w:rsid w:val="13C17C01"/>
    <w:rsid w:val="13D84582"/>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1B6E8D"/>
    <w:rsid w:val="16287735"/>
    <w:rsid w:val="162A0342"/>
    <w:rsid w:val="16320961"/>
    <w:rsid w:val="16916448"/>
    <w:rsid w:val="16A6065A"/>
    <w:rsid w:val="16D76A65"/>
    <w:rsid w:val="17306E6C"/>
    <w:rsid w:val="17594C02"/>
    <w:rsid w:val="17654071"/>
    <w:rsid w:val="17712A16"/>
    <w:rsid w:val="17832749"/>
    <w:rsid w:val="17AB10BD"/>
    <w:rsid w:val="17B172B6"/>
    <w:rsid w:val="17B54F74"/>
    <w:rsid w:val="17B63710"/>
    <w:rsid w:val="17C50FB3"/>
    <w:rsid w:val="17ED1616"/>
    <w:rsid w:val="17F05D1B"/>
    <w:rsid w:val="18193641"/>
    <w:rsid w:val="182B3D01"/>
    <w:rsid w:val="18A60DE5"/>
    <w:rsid w:val="18BA4D45"/>
    <w:rsid w:val="18E408BA"/>
    <w:rsid w:val="19011D1D"/>
    <w:rsid w:val="191A17B3"/>
    <w:rsid w:val="1941466A"/>
    <w:rsid w:val="19757552"/>
    <w:rsid w:val="19DE36A1"/>
    <w:rsid w:val="1A3A2D21"/>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6F5C49"/>
    <w:rsid w:val="1D7A45EE"/>
    <w:rsid w:val="1D8B05A9"/>
    <w:rsid w:val="1DAE0558"/>
    <w:rsid w:val="1DC55869"/>
    <w:rsid w:val="1DF21940"/>
    <w:rsid w:val="1DFD1EFD"/>
    <w:rsid w:val="1E6257AE"/>
    <w:rsid w:val="1E6C3E2E"/>
    <w:rsid w:val="1E6E5F01"/>
    <w:rsid w:val="1E815B99"/>
    <w:rsid w:val="1ED43161"/>
    <w:rsid w:val="1F05338C"/>
    <w:rsid w:val="1F112126"/>
    <w:rsid w:val="1F3C059C"/>
    <w:rsid w:val="1F5570C1"/>
    <w:rsid w:val="1F7E4DCC"/>
    <w:rsid w:val="1FBC274D"/>
    <w:rsid w:val="1FD051E8"/>
    <w:rsid w:val="20087C8F"/>
    <w:rsid w:val="206E3B70"/>
    <w:rsid w:val="209150AE"/>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9A328C"/>
    <w:rsid w:val="24BB5A33"/>
    <w:rsid w:val="24D52A7D"/>
    <w:rsid w:val="24FA2699"/>
    <w:rsid w:val="24FE1558"/>
    <w:rsid w:val="25010A26"/>
    <w:rsid w:val="25087398"/>
    <w:rsid w:val="251D41DD"/>
    <w:rsid w:val="251E1CAD"/>
    <w:rsid w:val="255147C0"/>
    <w:rsid w:val="25D575A4"/>
    <w:rsid w:val="25DA0320"/>
    <w:rsid w:val="25ED1E01"/>
    <w:rsid w:val="26530B7F"/>
    <w:rsid w:val="266C262D"/>
    <w:rsid w:val="2675525E"/>
    <w:rsid w:val="2685203A"/>
    <w:rsid w:val="268E38A0"/>
    <w:rsid w:val="26CA74E0"/>
    <w:rsid w:val="26E3376C"/>
    <w:rsid w:val="2716334E"/>
    <w:rsid w:val="27522C5C"/>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CC6106"/>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A30FD0"/>
    <w:rsid w:val="2BC1720F"/>
    <w:rsid w:val="2C114842"/>
    <w:rsid w:val="2C163734"/>
    <w:rsid w:val="2C37319A"/>
    <w:rsid w:val="2C374E11"/>
    <w:rsid w:val="2C7E421C"/>
    <w:rsid w:val="2CB90C8F"/>
    <w:rsid w:val="2CC35BA7"/>
    <w:rsid w:val="2CE00396"/>
    <w:rsid w:val="2CE00904"/>
    <w:rsid w:val="2CE101E6"/>
    <w:rsid w:val="2D3037AE"/>
    <w:rsid w:val="2D435803"/>
    <w:rsid w:val="2D4A3018"/>
    <w:rsid w:val="2D510EC7"/>
    <w:rsid w:val="2D83274D"/>
    <w:rsid w:val="2DA14432"/>
    <w:rsid w:val="2E0A5087"/>
    <w:rsid w:val="2E2257CA"/>
    <w:rsid w:val="2E492358"/>
    <w:rsid w:val="2E7110F5"/>
    <w:rsid w:val="2E870919"/>
    <w:rsid w:val="2ED718A0"/>
    <w:rsid w:val="2ED743AA"/>
    <w:rsid w:val="2EE003B6"/>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882D2A"/>
    <w:rsid w:val="32A361A8"/>
    <w:rsid w:val="32BA3997"/>
    <w:rsid w:val="32CA5876"/>
    <w:rsid w:val="32F026BC"/>
    <w:rsid w:val="330702CB"/>
    <w:rsid w:val="330A787A"/>
    <w:rsid w:val="3329706C"/>
    <w:rsid w:val="33792F26"/>
    <w:rsid w:val="338C391E"/>
    <w:rsid w:val="338D077F"/>
    <w:rsid w:val="338D472C"/>
    <w:rsid w:val="338E1A3C"/>
    <w:rsid w:val="33D834CC"/>
    <w:rsid w:val="33DC1707"/>
    <w:rsid w:val="33E97A6D"/>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921239"/>
    <w:rsid w:val="38CD3410"/>
    <w:rsid w:val="38E43605"/>
    <w:rsid w:val="38F01AA4"/>
    <w:rsid w:val="39040108"/>
    <w:rsid w:val="390F3856"/>
    <w:rsid w:val="392A081F"/>
    <w:rsid w:val="397275DF"/>
    <w:rsid w:val="39822E1E"/>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94542C"/>
    <w:rsid w:val="3CB61A62"/>
    <w:rsid w:val="3CC46897"/>
    <w:rsid w:val="3D0426E1"/>
    <w:rsid w:val="3D0658D8"/>
    <w:rsid w:val="3D123AC2"/>
    <w:rsid w:val="3D385C00"/>
    <w:rsid w:val="3D3B3666"/>
    <w:rsid w:val="3D9C2FA3"/>
    <w:rsid w:val="3E083824"/>
    <w:rsid w:val="3E1C72D0"/>
    <w:rsid w:val="3E3F2FCC"/>
    <w:rsid w:val="3E462845"/>
    <w:rsid w:val="3E75253C"/>
    <w:rsid w:val="3E8804C1"/>
    <w:rsid w:val="3E8C6495"/>
    <w:rsid w:val="3E9637B5"/>
    <w:rsid w:val="3EFD0EAF"/>
    <w:rsid w:val="3F80388E"/>
    <w:rsid w:val="3FA370D9"/>
    <w:rsid w:val="3FB13F2F"/>
    <w:rsid w:val="3FE71217"/>
    <w:rsid w:val="3FF22376"/>
    <w:rsid w:val="400350EF"/>
    <w:rsid w:val="40061FE5"/>
    <w:rsid w:val="4012695A"/>
    <w:rsid w:val="402E5E78"/>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D26859"/>
    <w:rsid w:val="42EA174A"/>
    <w:rsid w:val="42F10102"/>
    <w:rsid w:val="43517CBA"/>
    <w:rsid w:val="436C2B91"/>
    <w:rsid w:val="439B47F3"/>
    <w:rsid w:val="43AD1BA4"/>
    <w:rsid w:val="4412227B"/>
    <w:rsid w:val="44170B63"/>
    <w:rsid w:val="441A3B05"/>
    <w:rsid w:val="445C0786"/>
    <w:rsid w:val="447C6D47"/>
    <w:rsid w:val="44D62DC2"/>
    <w:rsid w:val="44F22952"/>
    <w:rsid w:val="45091C30"/>
    <w:rsid w:val="455424E1"/>
    <w:rsid w:val="457F2C83"/>
    <w:rsid w:val="45C67B21"/>
    <w:rsid w:val="46004DE1"/>
    <w:rsid w:val="462907DC"/>
    <w:rsid w:val="463659F7"/>
    <w:rsid w:val="466F0AD9"/>
    <w:rsid w:val="46815F57"/>
    <w:rsid w:val="46845629"/>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4D658F"/>
    <w:rsid w:val="499747D0"/>
    <w:rsid w:val="4A136301"/>
    <w:rsid w:val="4A2C22C6"/>
    <w:rsid w:val="4A724E9E"/>
    <w:rsid w:val="4A757FAF"/>
    <w:rsid w:val="4A8D1239"/>
    <w:rsid w:val="4AA368A3"/>
    <w:rsid w:val="4AA46CC4"/>
    <w:rsid w:val="4BB83B29"/>
    <w:rsid w:val="4BD54E32"/>
    <w:rsid w:val="4C2757BD"/>
    <w:rsid w:val="4C292770"/>
    <w:rsid w:val="4C43185C"/>
    <w:rsid w:val="4C693860"/>
    <w:rsid w:val="4C8B7324"/>
    <w:rsid w:val="4CAC5CC3"/>
    <w:rsid w:val="4CB608EF"/>
    <w:rsid w:val="4CB811A5"/>
    <w:rsid w:val="4D0A226B"/>
    <w:rsid w:val="4D2A1C24"/>
    <w:rsid w:val="4D3B0DF4"/>
    <w:rsid w:val="4D502AF2"/>
    <w:rsid w:val="4D602AE2"/>
    <w:rsid w:val="4DA05D3E"/>
    <w:rsid w:val="4DD54BE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502344EE"/>
    <w:rsid w:val="504F345C"/>
    <w:rsid w:val="50591CBD"/>
    <w:rsid w:val="50800F93"/>
    <w:rsid w:val="508C7AEB"/>
    <w:rsid w:val="50CA33A4"/>
    <w:rsid w:val="50D43E40"/>
    <w:rsid w:val="510C493E"/>
    <w:rsid w:val="510C673D"/>
    <w:rsid w:val="51204589"/>
    <w:rsid w:val="513204B4"/>
    <w:rsid w:val="51374703"/>
    <w:rsid w:val="513E34C7"/>
    <w:rsid w:val="51556929"/>
    <w:rsid w:val="5162343C"/>
    <w:rsid w:val="51BC393B"/>
    <w:rsid w:val="51CF7D67"/>
    <w:rsid w:val="51F7271A"/>
    <w:rsid w:val="521D6D1B"/>
    <w:rsid w:val="52546CFC"/>
    <w:rsid w:val="525F5585"/>
    <w:rsid w:val="52636A33"/>
    <w:rsid w:val="528149E0"/>
    <w:rsid w:val="52C31D1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3555B"/>
    <w:rsid w:val="548D6A8B"/>
    <w:rsid w:val="54993992"/>
    <w:rsid w:val="54FC6E52"/>
    <w:rsid w:val="552E13B2"/>
    <w:rsid w:val="554C74C9"/>
    <w:rsid w:val="55882507"/>
    <w:rsid w:val="55943798"/>
    <w:rsid w:val="55A44CE8"/>
    <w:rsid w:val="55BC0B98"/>
    <w:rsid w:val="55E53FF3"/>
    <w:rsid w:val="55FB7CF2"/>
    <w:rsid w:val="566367A5"/>
    <w:rsid w:val="56874E26"/>
    <w:rsid w:val="569752EE"/>
    <w:rsid w:val="57233025"/>
    <w:rsid w:val="57251F40"/>
    <w:rsid w:val="57265B36"/>
    <w:rsid w:val="573021C6"/>
    <w:rsid w:val="574727AC"/>
    <w:rsid w:val="57492C25"/>
    <w:rsid w:val="57566F57"/>
    <w:rsid w:val="577949F3"/>
    <w:rsid w:val="57E24C8E"/>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1078E"/>
    <w:rsid w:val="5A843DDB"/>
    <w:rsid w:val="5A8738CB"/>
    <w:rsid w:val="5A8B6F17"/>
    <w:rsid w:val="5A904D92"/>
    <w:rsid w:val="5AC42461"/>
    <w:rsid w:val="5AC95C92"/>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F3BED"/>
    <w:rsid w:val="5D0D0354"/>
    <w:rsid w:val="5D0E5BDE"/>
    <w:rsid w:val="5D4A1228"/>
    <w:rsid w:val="5D4B41A7"/>
    <w:rsid w:val="5D5932FD"/>
    <w:rsid w:val="5DE3027D"/>
    <w:rsid w:val="5E2751A9"/>
    <w:rsid w:val="5E4D0988"/>
    <w:rsid w:val="5E86168A"/>
    <w:rsid w:val="5EBA426F"/>
    <w:rsid w:val="5EBA601D"/>
    <w:rsid w:val="5EC836C0"/>
    <w:rsid w:val="5F0402CC"/>
    <w:rsid w:val="5F0B6879"/>
    <w:rsid w:val="5F0C439F"/>
    <w:rsid w:val="5F814D8D"/>
    <w:rsid w:val="5FA82133"/>
    <w:rsid w:val="5FA82319"/>
    <w:rsid w:val="5FD54160"/>
    <w:rsid w:val="60037CFD"/>
    <w:rsid w:val="60854409"/>
    <w:rsid w:val="60DF7F71"/>
    <w:rsid w:val="60F90953"/>
    <w:rsid w:val="61021EFD"/>
    <w:rsid w:val="61404053"/>
    <w:rsid w:val="614F48DB"/>
    <w:rsid w:val="617701F5"/>
    <w:rsid w:val="619F6EAB"/>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845033"/>
    <w:rsid w:val="64897A59"/>
    <w:rsid w:val="64A11A3C"/>
    <w:rsid w:val="64CC26CC"/>
    <w:rsid w:val="65085608"/>
    <w:rsid w:val="650A5824"/>
    <w:rsid w:val="65420B1A"/>
    <w:rsid w:val="65A01822"/>
    <w:rsid w:val="65A34F63"/>
    <w:rsid w:val="65E05BD0"/>
    <w:rsid w:val="66270AA3"/>
    <w:rsid w:val="662976FB"/>
    <w:rsid w:val="66482351"/>
    <w:rsid w:val="665C20B0"/>
    <w:rsid w:val="6662369D"/>
    <w:rsid w:val="66DC5058"/>
    <w:rsid w:val="66E92868"/>
    <w:rsid w:val="67065B78"/>
    <w:rsid w:val="670C1B0F"/>
    <w:rsid w:val="675B0B16"/>
    <w:rsid w:val="67BD0A07"/>
    <w:rsid w:val="67CC0761"/>
    <w:rsid w:val="67D94B23"/>
    <w:rsid w:val="67E97C88"/>
    <w:rsid w:val="6807524B"/>
    <w:rsid w:val="68207B12"/>
    <w:rsid w:val="68573C08"/>
    <w:rsid w:val="68680898"/>
    <w:rsid w:val="68694610"/>
    <w:rsid w:val="68B86D73"/>
    <w:rsid w:val="68C46FB3"/>
    <w:rsid w:val="68CF6B69"/>
    <w:rsid w:val="68E14D7D"/>
    <w:rsid w:val="69020CEC"/>
    <w:rsid w:val="690D7691"/>
    <w:rsid w:val="69201173"/>
    <w:rsid w:val="692864A6"/>
    <w:rsid w:val="692A1985"/>
    <w:rsid w:val="692D19E3"/>
    <w:rsid w:val="694B4786"/>
    <w:rsid w:val="69625712"/>
    <w:rsid w:val="696B06B6"/>
    <w:rsid w:val="696B2F3E"/>
    <w:rsid w:val="69990F25"/>
    <w:rsid w:val="69AD5E63"/>
    <w:rsid w:val="69B664CA"/>
    <w:rsid w:val="69EF22E8"/>
    <w:rsid w:val="6A0F56A4"/>
    <w:rsid w:val="6A3C022E"/>
    <w:rsid w:val="6A53112C"/>
    <w:rsid w:val="6A7C687C"/>
    <w:rsid w:val="6B1C3BBC"/>
    <w:rsid w:val="6B1E2019"/>
    <w:rsid w:val="6B2A0087"/>
    <w:rsid w:val="6B5920C1"/>
    <w:rsid w:val="6B790EAD"/>
    <w:rsid w:val="6BAB0046"/>
    <w:rsid w:val="6BB67B6C"/>
    <w:rsid w:val="6BC7080B"/>
    <w:rsid w:val="6BCD02EE"/>
    <w:rsid w:val="6BF65984"/>
    <w:rsid w:val="6C1A634D"/>
    <w:rsid w:val="6C5437BD"/>
    <w:rsid w:val="6CE626D3"/>
    <w:rsid w:val="6D1758B3"/>
    <w:rsid w:val="6D4F4B5D"/>
    <w:rsid w:val="6D785A21"/>
    <w:rsid w:val="6D981C1F"/>
    <w:rsid w:val="6DF5698C"/>
    <w:rsid w:val="6DFA18E3"/>
    <w:rsid w:val="6E005AB1"/>
    <w:rsid w:val="6E0472B5"/>
    <w:rsid w:val="6E0E1EE1"/>
    <w:rsid w:val="6E3D33F0"/>
    <w:rsid w:val="6E677844"/>
    <w:rsid w:val="6E7E54CF"/>
    <w:rsid w:val="6EFD5AB2"/>
    <w:rsid w:val="6F0B01CF"/>
    <w:rsid w:val="6F0B4673"/>
    <w:rsid w:val="6F27305D"/>
    <w:rsid w:val="6F7D5F0D"/>
    <w:rsid w:val="6FB33EA2"/>
    <w:rsid w:val="6FCA251E"/>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35C36"/>
    <w:rsid w:val="73886EC9"/>
    <w:rsid w:val="73A00AF1"/>
    <w:rsid w:val="73A11102"/>
    <w:rsid w:val="73A840F5"/>
    <w:rsid w:val="73E01C2A"/>
    <w:rsid w:val="73FB4CB6"/>
    <w:rsid w:val="741555D7"/>
    <w:rsid w:val="7420122A"/>
    <w:rsid w:val="744D3038"/>
    <w:rsid w:val="74651A02"/>
    <w:rsid w:val="74A70A1A"/>
    <w:rsid w:val="74BA6E18"/>
    <w:rsid w:val="74C72DA0"/>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950BD3"/>
    <w:rsid w:val="78B52EF6"/>
    <w:rsid w:val="78EB356F"/>
    <w:rsid w:val="78EC1071"/>
    <w:rsid w:val="78FD37F6"/>
    <w:rsid w:val="796055BB"/>
    <w:rsid w:val="79BF78EF"/>
    <w:rsid w:val="79C318FE"/>
    <w:rsid w:val="79DA66F5"/>
    <w:rsid w:val="79E77ABC"/>
    <w:rsid w:val="79FC53E1"/>
    <w:rsid w:val="7A120583"/>
    <w:rsid w:val="7A541F06"/>
    <w:rsid w:val="7A884099"/>
    <w:rsid w:val="7AB94F83"/>
    <w:rsid w:val="7AE4541C"/>
    <w:rsid w:val="7B0459B3"/>
    <w:rsid w:val="7B103C6E"/>
    <w:rsid w:val="7B1E74DC"/>
    <w:rsid w:val="7B4A7A78"/>
    <w:rsid w:val="7B4C229B"/>
    <w:rsid w:val="7B6B15E4"/>
    <w:rsid w:val="7B7A6E08"/>
    <w:rsid w:val="7B8F74E8"/>
    <w:rsid w:val="7BAA5A8F"/>
    <w:rsid w:val="7BBD356E"/>
    <w:rsid w:val="7BC07527"/>
    <w:rsid w:val="7C43369E"/>
    <w:rsid w:val="7C4E22B2"/>
    <w:rsid w:val="7CB71554"/>
    <w:rsid w:val="7CE427BB"/>
    <w:rsid w:val="7CED6CB8"/>
    <w:rsid w:val="7CF21BF9"/>
    <w:rsid w:val="7CFE0C47"/>
    <w:rsid w:val="7D0A7D18"/>
    <w:rsid w:val="7D0B74BD"/>
    <w:rsid w:val="7D2D2E78"/>
    <w:rsid w:val="7D3905FD"/>
    <w:rsid w:val="7D5938D3"/>
    <w:rsid w:val="7D5F2F6D"/>
    <w:rsid w:val="7D5F50CC"/>
    <w:rsid w:val="7D733C75"/>
    <w:rsid w:val="7D9A2F09"/>
    <w:rsid w:val="7DAF0AC7"/>
    <w:rsid w:val="7DBB54B6"/>
    <w:rsid w:val="7DDF16F3"/>
    <w:rsid w:val="7DF13E3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5">
    <w:name w:val="Normal Indent"/>
    <w:basedOn w:val="1"/>
    <w:autoRedefine/>
    <w:qFormat/>
    <w:uiPriority w:val="0"/>
    <w:pPr>
      <w:ind w:firstLine="420"/>
    </w:pPr>
  </w:style>
  <w:style w:type="paragraph" w:styleId="6">
    <w:name w:val="annotation text"/>
    <w:basedOn w:val="1"/>
    <w:autoRedefine/>
    <w:semiHidden/>
    <w:unhideWhenUsed/>
    <w:qFormat/>
    <w:uiPriority w:val="99"/>
    <w:pPr>
      <w:jc w:val="left"/>
    </w:pPr>
  </w:style>
  <w:style w:type="paragraph" w:styleId="7">
    <w:name w:val="Body Text"/>
    <w:basedOn w:val="1"/>
    <w:next w:val="8"/>
    <w:link w:val="37"/>
    <w:autoRedefine/>
    <w:semiHidden/>
    <w:unhideWhenUsed/>
    <w:qFormat/>
    <w:uiPriority w:val="99"/>
    <w:pPr>
      <w:spacing w:after="120"/>
    </w:pPr>
  </w:style>
  <w:style w:type="paragraph" w:styleId="8">
    <w:name w:val="Body Text Indent"/>
    <w:basedOn w:val="1"/>
    <w:next w:val="9"/>
    <w:autoRedefine/>
    <w:qFormat/>
    <w:uiPriority w:val="0"/>
    <w:pPr>
      <w:spacing w:after="120"/>
      <w:ind w:left="420" w:leftChars="200"/>
    </w:pPr>
    <w:rPr>
      <w:rFonts w:asciiTheme="minorHAnsi" w:hAnsiTheme="minorHAnsi" w:cstheme="minorBidi"/>
    </w:rPr>
  </w:style>
  <w:style w:type="paragraph" w:styleId="9">
    <w:name w:val="envelope return"/>
    <w:basedOn w:val="1"/>
    <w:qFormat/>
    <w:uiPriority w:val="0"/>
    <w:pPr>
      <w:snapToGrid w:val="0"/>
    </w:pPr>
    <w:rPr>
      <w:rFonts w:ascii="Arial" w:hAnsi="Arial" w:cs="Arial"/>
      <w:szCs w:val="20"/>
    </w:rPr>
  </w:style>
  <w:style w:type="paragraph" w:styleId="10">
    <w:name w:val="Plain Text"/>
    <w:basedOn w:val="1"/>
    <w:link w:val="36"/>
    <w:autoRedefine/>
    <w:qFormat/>
    <w:uiPriority w:val="99"/>
    <w:rPr>
      <w:rFonts w:ascii="宋体" w:hAnsi="Courier New"/>
      <w:szCs w:val="24"/>
    </w:rPr>
  </w:style>
  <w:style w:type="paragraph" w:styleId="11">
    <w:name w:val="Balloon Text"/>
    <w:basedOn w:val="1"/>
    <w:link w:val="32"/>
    <w:autoRedefine/>
    <w:unhideWhenUsed/>
    <w:qFormat/>
    <w:uiPriority w:val="99"/>
    <w:rPr>
      <w:sz w:val="18"/>
      <w:szCs w:val="18"/>
    </w:rPr>
  </w:style>
  <w:style w:type="paragraph" w:styleId="12">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qFormat/>
    <w:uiPriority w:val="99"/>
  </w:style>
  <w:style w:type="paragraph" w:styleId="15">
    <w:name w:val="toc 2"/>
    <w:basedOn w:val="1"/>
    <w:next w:val="1"/>
    <w:autoRedefine/>
    <w:qFormat/>
    <w:uiPriority w:val="39"/>
    <w:pPr>
      <w:tabs>
        <w:tab w:val="right" w:leader="dot" w:pos="8296"/>
      </w:tabs>
      <w:ind w:left="420" w:leftChars="200"/>
    </w:pPr>
  </w:style>
  <w:style w:type="paragraph" w:styleId="16">
    <w:name w:val="Body Text 2"/>
    <w:basedOn w:val="1"/>
    <w:link w:val="34"/>
    <w:autoRedefine/>
    <w:qFormat/>
    <w:uiPriority w:val="0"/>
    <w:rPr>
      <w:rFonts w:ascii="宋体" w:hAnsi="宋体" w:eastAsiaTheme="minorEastAsia" w:cstheme="minorBidi"/>
      <w:szCs w:val="24"/>
      <w:u w:val="single"/>
    </w:rPr>
  </w:style>
  <w:style w:type="paragraph" w:styleId="17">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8">
    <w:name w:val="Title"/>
    <w:basedOn w:val="1"/>
    <w:next w:val="8"/>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7"/>
    <w:link w:val="38"/>
    <w:autoRedefine/>
    <w:semiHidden/>
    <w:unhideWhenUsed/>
    <w:qFormat/>
    <w:uiPriority w:val="99"/>
    <w:pPr>
      <w:ind w:firstLine="420" w:firstLineChars="100"/>
    </w:pPr>
  </w:style>
  <w:style w:type="paragraph" w:styleId="20">
    <w:name w:val="Body Text First Indent 2"/>
    <w:basedOn w:val="8"/>
    <w:autoRedefine/>
    <w:qFormat/>
    <w:uiPriority w:val="0"/>
    <w:pPr>
      <w:ind w:firstLine="420"/>
    </w:pPr>
  </w:style>
  <w:style w:type="table" w:styleId="22">
    <w:name w:val="Table Grid"/>
    <w:basedOn w:val="21"/>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3"/>
    <w:autoRedefine/>
    <w:qFormat/>
    <w:uiPriority w:val="99"/>
  </w:style>
  <w:style w:type="character" w:styleId="26">
    <w:name w:val="Emphasis"/>
    <w:basedOn w:val="23"/>
    <w:autoRedefine/>
    <w:qFormat/>
    <w:uiPriority w:val="0"/>
    <w:rPr>
      <w:i/>
    </w:rPr>
  </w:style>
  <w:style w:type="character" w:styleId="27">
    <w:name w:val="Hyperlink"/>
    <w:basedOn w:val="23"/>
    <w:autoRedefine/>
    <w:semiHidden/>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character" w:customStyle="1" w:styleId="29">
    <w:name w:val="页眉 Char"/>
    <w:basedOn w:val="23"/>
    <w:link w:val="13"/>
    <w:autoRedefine/>
    <w:qFormat/>
    <w:uiPriority w:val="0"/>
    <w:rPr>
      <w:sz w:val="18"/>
      <w:szCs w:val="18"/>
    </w:rPr>
  </w:style>
  <w:style w:type="character" w:customStyle="1" w:styleId="30">
    <w:name w:val="页脚 Char"/>
    <w:basedOn w:val="23"/>
    <w:link w:val="12"/>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3"/>
    <w:link w:val="11"/>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3"/>
    <w:link w:val="16"/>
    <w:autoRedefine/>
    <w:qFormat/>
    <w:uiPriority w:val="0"/>
    <w:rPr>
      <w:rFonts w:ascii="宋体" w:hAnsi="宋体"/>
      <w:kern w:val="2"/>
      <w:sz w:val="21"/>
      <w:szCs w:val="24"/>
      <w:u w:val="single"/>
    </w:rPr>
  </w:style>
  <w:style w:type="character" w:customStyle="1" w:styleId="35">
    <w:name w:val="纯文本 Char"/>
    <w:basedOn w:val="23"/>
    <w:link w:val="10"/>
    <w:autoRedefine/>
    <w:semiHidden/>
    <w:qFormat/>
    <w:uiPriority w:val="99"/>
    <w:rPr>
      <w:rFonts w:ascii="宋体" w:hAnsi="Courier New" w:eastAsia="宋体" w:cs="Courier New"/>
      <w:kern w:val="2"/>
      <w:sz w:val="21"/>
      <w:szCs w:val="21"/>
    </w:rPr>
  </w:style>
  <w:style w:type="character" w:customStyle="1" w:styleId="36">
    <w:name w:val="纯文本 Char1"/>
    <w:link w:val="10"/>
    <w:autoRedefine/>
    <w:qFormat/>
    <w:uiPriority w:val="99"/>
    <w:rPr>
      <w:rFonts w:ascii="宋体" w:hAnsi="Courier New" w:eastAsia="宋体" w:cs="Times New Roman"/>
      <w:kern w:val="2"/>
      <w:sz w:val="21"/>
      <w:szCs w:val="24"/>
    </w:rPr>
  </w:style>
  <w:style w:type="character" w:customStyle="1" w:styleId="37">
    <w:name w:val="正文文本 Char"/>
    <w:basedOn w:val="23"/>
    <w:link w:val="7"/>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9"/>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3"/>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6307</Words>
  <Characters>6680</Characters>
  <Lines>24</Lines>
  <Paragraphs>7</Paragraphs>
  <TotalTime>13</TotalTime>
  <ScaleCrop>false</ScaleCrop>
  <LinksUpToDate>false</LinksUpToDate>
  <CharactersWithSpaces>8155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2026-08-04T09:12:38Z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