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19"/>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项目编号：XJ-202609</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：南海制剂中心实验室废气排放管道和风机环评验收改造工程项目</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8</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4"/>
        <w:rPr>
          <w:rFonts w:ascii="宋体" w:hAnsi="宋体" w:cs="宋体"/>
          <w:b/>
          <w:bCs/>
          <w:sz w:val="28"/>
          <w:szCs w:val="28"/>
        </w:rPr>
      </w:pPr>
    </w:p>
    <w:p w14:paraId="7F5A9F38">
      <w:pPr>
        <w:pStyle w:val="15"/>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ascii="宋体" w:hAnsi="宋体" w:cs="宋体"/>
          <w:sz w:val="24"/>
          <w:szCs w:val="24"/>
          <w:lang w:val="en-US" w:eastAsia="zh-CN"/>
        </w:rPr>
        <w:t>南海制剂中心实验室废气排放管道和风机环评验收改造工程</w:t>
      </w:r>
      <w:r>
        <w:rPr>
          <w:rFonts w:hint="eastAsia" w:eastAsia="宋体" w:asciiTheme="minorEastAsia" w:hAnsiTheme="minorEastAsia" w:cstheme="minorEastAsia"/>
          <w:sz w:val="24"/>
          <w:szCs w:val="24"/>
          <w:lang w:val="en-US" w:eastAsia="zh-CN"/>
        </w:rPr>
        <w:t>项目</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60E1BF47">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9</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ascii="宋体" w:hAnsi="宋体" w:cs="宋体"/>
          <w:sz w:val="24"/>
          <w:szCs w:val="24"/>
          <w:lang w:val="en-US" w:eastAsia="zh-CN"/>
        </w:rPr>
        <w:t>南海制剂中心实验室废气排放管道和风机环评验收改造工程</w:t>
      </w:r>
      <w:r>
        <w:rPr>
          <w:rFonts w:hint="eastAsia" w:eastAsia="宋体" w:asciiTheme="minorEastAsia" w:hAnsiTheme="minorEastAsia" w:cstheme="minorEastAsia"/>
          <w:sz w:val="24"/>
          <w:szCs w:val="24"/>
          <w:lang w:val="en-US" w:eastAsia="zh-CN"/>
        </w:rPr>
        <w:t>项目</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、采购控制价：</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w:t>
      </w:r>
      <w:r>
        <w:rPr>
          <w:rFonts w:hint="eastAsia" w:eastAsia="宋体" w:asciiTheme="minorEastAsia" w:hAnsiTheme="minorEastAsia" w:cstheme="minorEastAsia"/>
          <w:kern w:val="2"/>
          <w:sz w:val="24"/>
          <w:szCs w:val="24"/>
          <w:lang w:val="en-US" w:eastAsia="zh-CN" w:bidi="ar-SA"/>
        </w:rPr>
        <w:t>币</w:t>
      </w:r>
      <w:r>
        <w:rPr>
          <w:rFonts w:hint="eastAsia" w:ascii="宋体" w:hAnsi="宋体" w:cs="宋体"/>
          <w:sz w:val="24"/>
          <w:szCs w:val="24"/>
          <w:lang w:val="en-US" w:eastAsia="zh-CN"/>
        </w:rPr>
        <w:t>189026.71</w:t>
      </w:r>
      <w:r>
        <w:rPr>
          <w:rFonts w:hint="eastAsia" w:eastAsia="宋体" w:asciiTheme="minorEastAsia" w:hAnsiTheme="minorEastAsia" w:cstheme="minorEastAsia"/>
          <w:kern w:val="2"/>
          <w:sz w:val="24"/>
          <w:szCs w:val="24"/>
          <w:lang w:val="en-US" w:eastAsia="zh-CN" w:bidi="ar-SA"/>
        </w:rPr>
        <w:t>元。</w:t>
      </w:r>
    </w:p>
    <w:p w14:paraId="32949670">
      <w:pPr>
        <w:pStyle w:val="4"/>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649BBDE9">
      <w:pPr>
        <w:pStyle w:val="11"/>
        <w:snapToGrid w:val="0"/>
        <w:spacing w:line="360" w:lineRule="auto"/>
        <w:ind w:firstLine="480" w:firstLineChars="200"/>
        <w:outlineLvl w:val="0"/>
        <w:rPr>
          <w:rFonts w:hint="eastAsia" w:ascii="宋体" w:hAnsi="宋体" w:cs="宋体"/>
          <w:sz w:val="24"/>
          <w:szCs w:val="24"/>
          <w:lang w:val="en-US" w:eastAsia="zh-CN"/>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eastAsia="宋体" w:cs="宋体"/>
          <w:sz w:val="24"/>
          <w:lang w:val="en-US" w:eastAsia="zh-CN"/>
        </w:rPr>
        <w:t>位于广东省</w:t>
      </w:r>
      <w:r>
        <w:rPr>
          <w:rFonts w:hint="eastAsia" w:ascii="宋体" w:hAnsi="宋体" w:eastAsia="宋体" w:cs="宋体"/>
          <w:kern w:val="2"/>
          <w:sz w:val="24"/>
          <w:szCs w:val="20"/>
          <w:u w:val="none"/>
          <w:lang w:val="en-US"/>
        </w:rPr>
        <w:t>佛山市南海区桂城街道石龙北路15号御堡国际商务中心一座</w:t>
      </w:r>
      <w:r>
        <w:rPr>
          <w:rFonts w:hint="eastAsia" w:ascii="宋体" w:hAnsi="宋体" w:eastAsia="宋体" w:cs="宋体"/>
          <w:sz w:val="24"/>
          <w:lang w:val="en-US" w:eastAsia="zh-CN"/>
        </w:rPr>
        <w:t>中山大学孙逸仙纪念医院</w:t>
      </w:r>
      <w:r>
        <w:rPr>
          <w:rFonts w:hint="eastAsia" w:ascii="宋体" w:hAnsi="宋体" w:eastAsia="宋体" w:cs="宋体"/>
          <w:sz w:val="24"/>
          <w:szCs w:val="20"/>
          <w:lang w:val="en-US" w:eastAsia="zh-CN"/>
        </w:rPr>
        <w:t>南海</w:t>
      </w:r>
      <w:r>
        <w:rPr>
          <w:rFonts w:hint="eastAsia" w:ascii="宋体" w:hAnsi="宋体" w:cs="宋体"/>
          <w:sz w:val="24"/>
          <w:szCs w:val="24"/>
          <w:lang w:val="en-US" w:eastAsia="zh-CN"/>
        </w:rPr>
        <w:t>制剂中心实验室</w:t>
      </w:r>
      <w:r>
        <w:rPr>
          <w:rFonts w:hint="eastAsia" w:ascii="宋体" w:hAnsi="宋体" w:eastAsia="宋体" w:cs="宋体"/>
          <w:sz w:val="24"/>
          <w:szCs w:val="24"/>
          <w:lang w:val="en-US" w:eastAsia="zh-CN"/>
        </w:rPr>
        <w:t>，</w:t>
      </w:r>
      <w:r>
        <w:rPr>
          <w:rFonts w:hint="eastAsia" w:ascii="宋体" w:hAnsi="宋体" w:eastAsia="宋体" w:cs="宋体"/>
          <w:sz w:val="24"/>
          <w:szCs w:val="24"/>
          <w:vertAlign w:val="baseline"/>
          <w:lang w:val="en-US" w:eastAsia="zh-CN"/>
        </w:rPr>
        <w:t>南海制剂中心</w:t>
      </w:r>
      <w:r>
        <w:rPr>
          <w:rFonts w:hint="eastAsia" w:ascii="宋体" w:hAnsi="宋体" w:eastAsia="宋体" w:cs="宋体"/>
          <w:i w:val="0"/>
          <w:iCs w:val="0"/>
          <w:caps w:val="0"/>
          <w:spacing w:val="0"/>
          <w:sz w:val="24"/>
          <w:szCs w:val="24"/>
          <w:shd w:val="clear" w:fill="auto"/>
          <w:lang w:val="en-US" w:eastAsia="zh-CN"/>
        </w:rPr>
        <w:t>4楼实验室6个万向罩接入新做的排风系统，外墙增加两条De160防腐蚀排风管通向天面废气处理系统，其余4个万向罩接入旧的排风系统。4楼风管内增加电动调节阀，能独立控制万向罩废气排放</w:t>
      </w:r>
      <w:r>
        <w:rPr>
          <w:rFonts w:hint="eastAsia" w:ascii="宋体" w:hAnsi="宋体" w:cs="宋体"/>
          <w:color w:val="auto"/>
          <w:sz w:val="24"/>
          <w:szCs w:val="24"/>
          <w:lang w:val="en-US" w:eastAsia="zh-CN"/>
        </w:rPr>
        <w:t>。</w:t>
      </w:r>
    </w:p>
    <w:p w14:paraId="309B9233">
      <w:pPr>
        <w:spacing w:line="500" w:lineRule="atLeast"/>
        <w:ind w:firstLine="480" w:firstLineChars="200"/>
        <w:rPr>
          <w:rFonts w:hint="eastAsia" w:ascii="宋体" w:hAnsi="宋体" w:eastAsia="宋体" w:cs="宋体"/>
          <w:i w:val="0"/>
          <w:iCs w:val="0"/>
          <w:caps w:val="0"/>
          <w:spacing w:val="0"/>
          <w:sz w:val="24"/>
          <w:szCs w:val="24"/>
          <w:shd w:val="clear" w:fill="auto"/>
          <w:lang w:val="en-US" w:eastAsia="zh-CN"/>
        </w:rPr>
      </w:pPr>
      <w:r>
        <w:rPr>
          <w:rFonts w:hint="eastAsia" w:ascii="宋体" w:hAnsi="宋体" w:cs="宋体"/>
          <w:i w:val="0"/>
          <w:iCs w:val="0"/>
          <w:caps w:val="0"/>
          <w:spacing w:val="0"/>
          <w:sz w:val="24"/>
          <w:szCs w:val="24"/>
          <w:shd w:val="clear"/>
          <w:lang w:val="en-US" w:eastAsia="zh-CN"/>
        </w:rPr>
        <w:t>另外，在</w:t>
      </w:r>
      <w:r>
        <w:rPr>
          <w:rFonts w:hint="eastAsia" w:ascii="宋体" w:hAnsi="宋体" w:cs="宋体"/>
          <w:i w:val="0"/>
          <w:iCs w:val="0"/>
          <w:caps w:val="0"/>
          <w:spacing w:val="0"/>
          <w:sz w:val="24"/>
          <w:szCs w:val="24"/>
          <w:shd w:val="clear" w:fill="auto"/>
          <w:lang w:val="en-US" w:eastAsia="zh-CN"/>
        </w:rPr>
        <w:t>一</w:t>
      </w:r>
      <w:r>
        <w:rPr>
          <w:rFonts w:hint="eastAsia" w:ascii="宋体" w:hAnsi="宋体" w:eastAsia="宋体" w:cs="宋体"/>
          <w:i w:val="0"/>
          <w:iCs w:val="0"/>
          <w:caps w:val="0"/>
          <w:spacing w:val="0"/>
          <w:sz w:val="24"/>
          <w:szCs w:val="24"/>
          <w:shd w:val="clear" w:fill="auto"/>
          <w:lang w:val="en-US" w:eastAsia="zh-CN"/>
        </w:rPr>
        <w:t>座天面更换原来4楼实验室和中药提取车间的活性炭箱和风机，4楼实验室废气处理系统使用处理风量11000m³/h的800碘值活性炭吸附箱，中药提取车间使用处理风量5000m³/h的800碘值活性炭吸附箱。</w:t>
      </w:r>
      <w:r>
        <w:rPr>
          <w:rFonts w:hint="eastAsia" w:ascii="宋体" w:hAnsi="宋体" w:cs="宋体"/>
          <w:i w:val="0"/>
          <w:iCs w:val="0"/>
          <w:caps w:val="0"/>
          <w:spacing w:val="0"/>
          <w:sz w:val="24"/>
          <w:szCs w:val="24"/>
          <w:shd w:val="clear"/>
          <w:lang w:val="en-US" w:eastAsia="zh-CN"/>
        </w:rPr>
        <w:t>其中，</w:t>
      </w:r>
      <w:r>
        <w:rPr>
          <w:rFonts w:hint="eastAsia" w:ascii="宋体" w:hAnsi="宋体" w:eastAsia="宋体" w:cs="宋体"/>
          <w:i w:val="0"/>
          <w:iCs w:val="0"/>
          <w:caps w:val="0"/>
          <w:spacing w:val="0"/>
          <w:sz w:val="24"/>
          <w:szCs w:val="24"/>
          <w:shd w:val="clear" w:fill="auto"/>
          <w:lang w:val="en-US" w:eastAsia="zh-CN"/>
        </w:rPr>
        <w:t>风机选用变频玻璃钢离心风机，能通过控制器调节排风量。</w:t>
      </w:r>
    </w:p>
    <w:p w14:paraId="68512657">
      <w:pPr>
        <w:spacing w:line="500" w:lineRule="atLeast"/>
        <w:ind w:firstLine="480" w:firstLineChars="200"/>
        <w:rPr>
          <w:rFonts w:hint="eastAsia" w:ascii="宋体" w:hAnsi="宋体" w:eastAsia="宋体" w:cs="宋体"/>
          <w:i w:val="0"/>
          <w:iCs w:val="0"/>
          <w:caps w:val="0"/>
          <w:spacing w:val="0"/>
          <w:sz w:val="24"/>
          <w:szCs w:val="24"/>
          <w:shd w:val="clear" w:fill="auto"/>
          <w:lang w:val="en-US" w:eastAsia="zh-CN"/>
        </w:rPr>
      </w:pPr>
      <w:r>
        <w:rPr>
          <w:rFonts w:hint="eastAsia" w:ascii="宋体" w:hAnsi="宋体" w:eastAsia="宋体" w:cs="宋体"/>
          <w:i w:val="0"/>
          <w:iCs w:val="0"/>
          <w:caps w:val="0"/>
          <w:spacing w:val="0"/>
          <w:sz w:val="24"/>
          <w:szCs w:val="24"/>
          <w:shd w:val="clear" w:fill="auto"/>
          <w:lang w:val="en-US" w:eastAsia="zh-CN"/>
        </w:rPr>
        <w:t>具体</w:t>
      </w:r>
      <w:r>
        <w:rPr>
          <w:rFonts w:hint="eastAsia" w:ascii="宋体" w:hAnsi="宋体" w:eastAsia="宋体" w:cs="宋体"/>
          <w:i w:val="0"/>
          <w:iCs w:val="0"/>
          <w:caps w:val="0"/>
          <w:spacing w:val="0"/>
          <w:sz w:val="24"/>
          <w:szCs w:val="24"/>
          <w:shd w:val="clear" w:fill="auto"/>
          <w:lang w:val="zh-CN" w:eastAsia="zh-CN"/>
        </w:rPr>
        <w:t>详见附件</w:t>
      </w:r>
      <w:r>
        <w:rPr>
          <w:rFonts w:hint="eastAsia" w:ascii="宋体" w:hAnsi="宋体" w:eastAsia="宋体" w:cs="宋体"/>
          <w:i w:val="0"/>
          <w:iCs w:val="0"/>
          <w:caps w:val="0"/>
          <w:spacing w:val="0"/>
          <w:sz w:val="24"/>
          <w:szCs w:val="24"/>
          <w:shd w:val="clear" w:fill="auto"/>
          <w:lang w:val="en-US" w:eastAsia="zh-CN"/>
        </w:rPr>
        <w:t>1</w:t>
      </w:r>
      <w:r>
        <w:rPr>
          <w:rFonts w:hint="eastAsia" w:ascii="宋体" w:hAnsi="宋体" w:eastAsia="宋体" w:cs="宋体"/>
          <w:i w:val="0"/>
          <w:iCs w:val="0"/>
          <w:caps w:val="0"/>
          <w:spacing w:val="0"/>
          <w:sz w:val="24"/>
          <w:szCs w:val="24"/>
          <w:shd w:val="clear" w:fill="auto"/>
          <w:lang w:val="zh-CN" w:eastAsia="zh-CN"/>
        </w:rPr>
        <w:t>—南海制剂中心实验室废气排放管道和风机环评验收改造</w:t>
      </w:r>
      <w:r>
        <w:rPr>
          <w:rFonts w:hint="eastAsia" w:ascii="宋体" w:hAnsi="宋体" w:eastAsia="宋体" w:cs="宋体"/>
          <w:i w:val="0"/>
          <w:iCs w:val="0"/>
          <w:caps w:val="0"/>
          <w:spacing w:val="0"/>
          <w:sz w:val="24"/>
          <w:szCs w:val="24"/>
          <w:shd w:val="clear" w:fill="auto"/>
          <w:lang w:val="en-US" w:eastAsia="zh-CN"/>
        </w:rPr>
        <w:t>项目</w:t>
      </w:r>
      <w:r>
        <w:rPr>
          <w:rFonts w:hint="eastAsia" w:ascii="宋体" w:hAnsi="宋体" w:eastAsia="宋体" w:cs="宋体"/>
          <w:i w:val="0"/>
          <w:iCs w:val="0"/>
          <w:caps w:val="0"/>
          <w:spacing w:val="0"/>
          <w:sz w:val="24"/>
          <w:szCs w:val="24"/>
          <w:shd w:val="clear" w:fill="auto"/>
          <w:lang w:val="zh-CN" w:eastAsia="zh-CN"/>
        </w:rPr>
        <w:t>工程量清单</w:t>
      </w:r>
      <w:r>
        <w:rPr>
          <w:rFonts w:hint="eastAsia" w:ascii="宋体" w:hAnsi="宋体" w:cs="宋体"/>
          <w:i w:val="0"/>
          <w:iCs w:val="0"/>
          <w:caps w:val="0"/>
          <w:spacing w:val="0"/>
          <w:sz w:val="24"/>
          <w:szCs w:val="24"/>
          <w:shd w:val="clear" w:fill="auto"/>
          <w:lang w:val="zh-CN" w:eastAsia="zh-CN"/>
        </w:rPr>
        <w:t>。</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Theme="minorEastAsia" w:hAnsiTheme="minorEastAsia" w:cstheme="minorEastAsia"/>
          <w:color w:val="auto"/>
          <w:kern w:val="2"/>
          <w:sz w:val="24"/>
          <w:szCs w:val="24"/>
          <w:highlight w:val="none"/>
          <w:lang w:val="en-US" w:eastAsia="zh-CN" w:bidi="ar-SA"/>
        </w:rPr>
        <w:t>30日历天</w:t>
      </w:r>
      <w:r>
        <w:rPr>
          <w:rFonts w:hint="eastAsia" w:eastAsia="宋体" w:asciiTheme="minorEastAsia" w:hAnsiTheme="minorEastAsia" w:cstheme="minorEastAsia"/>
          <w:color w:val="auto"/>
          <w:kern w:val="2"/>
          <w:sz w:val="24"/>
          <w:szCs w:val="24"/>
          <w:lang w:val="en-US" w:eastAsia="zh-CN" w:bidi="ar-SA"/>
        </w:rPr>
        <w:t>。</w:t>
      </w:r>
    </w:p>
    <w:p w14:paraId="7ABFCFE4">
      <w:pPr>
        <w:spacing w:line="500" w:lineRule="atLeast"/>
        <w:ind w:firstLine="480" w:firstLineChars="200"/>
        <w:rPr>
          <w:rFonts w:hint="default"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lang w:val="en-US" w:eastAsia="zh-CN" w:bidi="ar-SA"/>
        </w:rPr>
        <w:t>3、</w:t>
      </w:r>
      <w:r>
        <w:rPr>
          <w:rFonts w:hint="eastAsia" w:ascii="宋体" w:hAnsi="宋体" w:cs="宋体"/>
          <w:sz w:val="24"/>
          <w:szCs w:val="24"/>
        </w:rPr>
        <w:t>项目地点：</w:t>
      </w:r>
      <w:r>
        <w:rPr>
          <w:rFonts w:hint="eastAsia" w:ascii="宋体" w:hAnsi="宋体" w:eastAsia="宋体" w:cs="宋体"/>
          <w:kern w:val="2"/>
          <w:sz w:val="24"/>
          <w:szCs w:val="24"/>
          <w:u w:val="none"/>
          <w:lang w:val="en-US"/>
        </w:rPr>
        <w:t>佛山市南海区桂城街道石龙北路15号御堡国际商务中心一座</w:t>
      </w:r>
    </w:p>
    <w:p w14:paraId="1F68CA8A">
      <w:pPr>
        <w:spacing w:line="500" w:lineRule="atLeast"/>
        <w:ind w:firstLine="480" w:firstLineChars="200"/>
        <w:rPr>
          <w:rFonts w:hint="eastAsia" w:ascii="宋体" w:hAnsi="宋体" w:eastAsia="宋体" w:cs="宋体"/>
          <w:color w:val="auto"/>
          <w:sz w:val="24"/>
          <w:szCs w:val="24"/>
          <w:lang w:val="zh-CN" w:eastAsia="zh-CN"/>
        </w:rPr>
      </w:pPr>
      <w:r>
        <w:rPr>
          <w:rFonts w:hint="eastAsia" w:asciiTheme="minorEastAsia" w:hAnsiTheme="minorEastAsia" w:cstheme="minorEastAsia"/>
          <w:color w:val="auto"/>
          <w:kern w:val="2"/>
          <w:sz w:val="24"/>
          <w:szCs w:val="24"/>
          <w:lang w:val="en-US" w:eastAsia="zh-CN" w:bidi="ar-SA"/>
        </w:rPr>
        <w:t>4</w:t>
      </w:r>
      <w:r>
        <w:rPr>
          <w:rFonts w:hint="eastAsia" w:ascii="宋体" w:hAnsi="宋体" w:eastAsia="宋体" w:cs="宋体"/>
          <w:color w:val="auto"/>
          <w:sz w:val="24"/>
          <w:szCs w:val="24"/>
          <w:lang w:val="en-US" w:eastAsia="zh-CN"/>
        </w:rPr>
        <w:t>、服务要求：</w:t>
      </w:r>
      <w:r>
        <w:rPr>
          <w:rFonts w:hint="eastAsia" w:ascii="宋体" w:hAnsi="宋体" w:cs="宋体"/>
          <w:b w:val="0"/>
          <w:bCs w:val="0"/>
          <w:sz w:val="24"/>
          <w:szCs w:val="24"/>
        </w:rPr>
        <w:t>采购人不组织集中踏勘，供应商可根据自身实际情况进行实地调研，再结合以上要求和现场实际情况</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制定改造方案设计图，</w:t>
      </w:r>
      <w:r>
        <w:rPr>
          <w:rFonts w:hint="eastAsia" w:ascii="宋体" w:hAnsi="宋体" w:cs="宋体"/>
          <w:b w:val="0"/>
          <w:bCs w:val="0"/>
          <w:sz w:val="24"/>
          <w:szCs w:val="24"/>
        </w:rPr>
        <w:t>完成报价文件。</w:t>
      </w: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val="en-US" w:eastAsia="zh-CN"/>
        </w:rPr>
        <w:t>2、具备</w:t>
      </w:r>
      <w:r>
        <w:rPr>
          <w:rFonts w:hint="eastAsia" w:ascii="宋体" w:hAnsi="宋体" w:cs="宋体"/>
          <w:sz w:val="24"/>
        </w:rPr>
        <w:t>有</w:t>
      </w:r>
      <w:r>
        <w:rPr>
          <w:rFonts w:hint="eastAsia" w:ascii="宋体" w:hAnsi="宋体" w:cs="宋体"/>
          <w:color w:val="auto"/>
          <w:sz w:val="24"/>
        </w:rPr>
        <w:t>效</w:t>
      </w:r>
      <w:r>
        <w:rPr>
          <w:rFonts w:hint="eastAsia" w:ascii="宋体" w:hAnsi="宋体" w:eastAsia="宋体" w:cs="宋体"/>
          <w:color w:val="auto"/>
          <w:sz w:val="24"/>
        </w:rPr>
        <w:t>期内的</w:t>
      </w:r>
      <w:r>
        <w:rPr>
          <w:rFonts w:hint="eastAsia" w:ascii="宋体" w:hAnsi="宋体" w:cs="宋体"/>
          <w:sz w:val="24"/>
          <w:lang w:val="en-US" w:eastAsia="zh-CN"/>
        </w:rPr>
        <w:t>建</w:t>
      </w:r>
      <w:r>
        <w:rPr>
          <w:rFonts w:hint="eastAsia" w:ascii="宋体" w:hAnsi="宋体" w:cs="宋体"/>
          <w:color w:val="auto"/>
          <w:sz w:val="24"/>
          <w:lang w:val="en-US" w:eastAsia="zh-CN"/>
        </w:rPr>
        <w:t>筑机电安装工程专业承包二级或以上。</w:t>
      </w:r>
    </w:p>
    <w:p w14:paraId="5D4B80BF">
      <w:pPr>
        <w:spacing w:line="500" w:lineRule="atLeast"/>
        <w:ind w:firstLine="480" w:firstLineChars="200"/>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3、</w:t>
      </w:r>
      <w:r>
        <w:rPr>
          <w:rFonts w:ascii="Segoe UI" w:hAnsi="Segoe UI" w:eastAsia="Segoe UI" w:cs="Segoe UI"/>
          <w:i w:val="0"/>
          <w:iCs w:val="0"/>
          <w:caps w:val="0"/>
          <w:color w:val="auto"/>
          <w:spacing w:val="0"/>
          <w:sz w:val="24"/>
          <w:szCs w:val="24"/>
          <w:shd w:val="clear" w:fill="FFFFFF"/>
        </w:rPr>
        <w:t>持有建设主管部门颁发的</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eastAsia" w:eastAsia="宋体" w:asciiTheme="minorEastAsia" w:hAnsiTheme="minorEastAsia" w:cstheme="minorEastAsia"/>
          <w:color w:val="auto"/>
          <w:sz w:val="24"/>
          <w:szCs w:val="24"/>
          <w:lang w:val="en-US" w:eastAsia="zh-CN"/>
        </w:rPr>
        <w:t>。</w:t>
      </w:r>
    </w:p>
    <w:p w14:paraId="4076460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4、自2023年</w:t>
      </w:r>
      <w:r>
        <w:rPr>
          <w:rFonts w:hint="eastAsia" w:ascii="宋体" w:hAnsi="宋体" w:eastAsia="宋体" w:cs="宋体"/>
          <w:color w:val="auto"/>
          <w:kern w:val="2"/>
          <w:sz w:val="24"/>
          <w:szCs w:val="24"/>
          <w:highlight w:val="none"/>
          <w:lang w:val="en-US" w:eastAsia="zh-CN" w:bidi="ar-SA"/>
        </w:rPr>
        <w:t>1月1日起至今（以完成时间为准），提供至少1个类似项目业绩。提供该业绩合同关键页（合同</w:t>
      </w:r>
      <w:r>
        <w:rPr>
          <w:rFonts w:hint="eastAsia" w:ascii="宋体" w:hAnsi="宋体" w:eastAsia="宋体" w:cs="宋体"/>
          <w:color w:val="0000FF"/>
          <w:kern w:val="2"/>
          <w:sz w:val="24"/>
          <w:szCs w:val="24"/>
          <w:highlight w:val="none"/>
          <w:lang w:val="en-US" w:eastAsia="zh-CN" w:bidi="ar-SA"/>
        </w:rPr>
        <w:t>关键页</w:t>
      </w:r>
      <w:r>
        <w:rPr>
          <w:rFonts w:hint="eastAsia" w:ascii="宋体" w:hAnsi="宋体" w:eastAsia="宋体" w:cs="宋体"/>
          <w:color w:val="auto"/>
          <w:kern w:val="2"/>
          <w:sz w:val="24"/>
          <w:szCs w:val="24"/>
          <w:highlight w:val="none"/>
          <w:lang w:val="en-US" w:eastAsia="zh-CN" w:bidi="ar-SA"/>
        </w:rPr>
        <w:t>包括：合</w:t>
      </w:r>
      <w:r>
        <w:rPr>
          <w:rFonts w:hint="eastAsia" w:eastAsia="宋体" w:asciiTheme="minorEastAsia" w:hAnsiTheme="minorEastAsia" w:cstheme="minorEastAsia"/>
          <w:color w:val="auto"/>
          <w:sz w:val="24"/>
          <w:szCs w:val="24"/>
          <w:lang w:val="en-US" w:eastAsia="zh-CN"/>
        </w:rPr>
        <w:t>同封面、主要内容页及双方签章页）及竣工验收报告</w:t>
      </w:r>
      <w:r>
        <w:rPr>
          <w:rFonts w:hint="eastAsia" w:eastAsia="宋体" w:asciiTheme="minorEastAsia" w:hAnsiTheme="minorEastAsia" w:cstheme="minorEastAsia"/>
          <w:color w:val="auto"/>
          <w:sz w:val="24"/>
          <w:szCs w:val="24"/>
          <w:lang w:val="en-US" w:eastAsia="zh-CN"/>
        </w:rPr>
        <w:t>复印件。</w:t>
      </w:r>
    </w:p>
    <w:p w14:paraId="0C668E5B">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5、</w:t>
      </w:r>
      <w:r>
        <w:rPr>
          <w:rFonts w:hint="eastAsia" w:eastAsia="宋体" w:asciiTheme="minorEastAsia" w:hAnsiTheme="minorEastAsia" w:cstheme="minorEastAsia"/>
          <w:color w:val="auto"/>
          <w:sz w:val="24"/>
          <w:szCs w:val="24"/>
        </w:rPr>
        <w:t>供应商拟投入本工程的项目负责人</w:t>
      </w:r>
      <w:r>
        <w:rPr>
          <w:rFonts w:hint="eastAsia" w:eastAsia="宋体" w:asciiTheme="minorEastAsia" w:hAnsiTheme="minorEastAsia" w:cstheme="minorEastAsia"/>
          <w:color w:val="auto"/>
          <w:sz w:val="24"/>
          <w:szCs w:val="24"/>
          <w:lang w:val="en-US" w:eastAsia="zh-CN"/>
        </w:rPr>
        <w:t>须满足以下条件：</w:t>
      </w:r>
    </w:p>
    <w:p w14:paraId="08EF3FBC">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lang w:val="en-US" w:eastAsia="zh-CN"/>
        </w:rPr>
        <w:t>1）持有有效期内的</w:t>
      </w:r>
      <w:r>
        <w:rPr>
          <w:rFonts w:hint="eastAsia" w:eastAsia="宋体" w:asciiTheme="minorEastAsia" w:hAnsiTheme="minorEastAsia" w:cstheme="minorEastAsia"/>
          <w:color w:val="auto"/>
          <w:sz w:val="24"/>
          <w:szCs w:val="24"/>
          <w:lang w:eastAsia="zh-CN"/>
        </w:rPr>
        <w:t>机电工程专业</w:t>
      </w:r>
      <w:r>
        <w:rPr>
          <w:rFonts w:hint="eastAsia" w:eastAsia="宋体" w:asciiTheme="minorEastAsia" w:hAnsiTheme="minorEastAsia" w:cstheme="minorEastAsia"/>
          <w:color w:val="auto"/>
          <w:sz w:val="24"/>
          <w:szCs w:val="24"/>
        </w:rPr>
        <w:t>二级</w:t>
      </w:r>
      <w:r>
        <w:rPr>
          <w:rFonts w:hint="eastAsia" w:eastAsia="宋体" w:asciiTheme="minorEastAsia" w:hAnsiTheme="minorEastAsia" w:cstheme="minorEastAsia"/>
          <w:color w:val="auto"/>
          <w:sz w:val="24"/>
          <w:szCs w:val="24"/>
        </w:rPr>
        <w:t>及以上建造师注册</w:t>
      </w:r>
      <w:r>
        <w:rPr>
          <w:rFonts w:hint="eastAsia" w:eastAsia="宋体" w:asciiTheme="minorEastAsia" w:hAnsiTheme="minorEastAsia" w:cstheme="minorEastAsia"/>
          <w:color w:val="auto"/>
          <w:sz w:val="24"/>
          <w:szCs w:val="24"/>
          <w:lang w:eastAsia="zh-CN"/>
        </w:rPr>
        <w:t>证书；</w:t>
      </w:r>
    </w:p>
    <w:p w14:paraId="1F21A4E0">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（2）持有有效期内的安全生产考核合格证（B本）或建筑施工企业项目负责人安全生产考核合格证书；</w:t>
      </w:r>
    </w:p>
    <w:p w14:paraId="20E77A0D">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lang w:val="en-US" w:eastAsia="zh-CN"/>
        </w:rPr>
        <w:t>3）提供</w:t>
      </w:r>
      <w:r>
        <w:rPr>
          <w:rFonts w:hint="eastAsia" w:eastAsia="宋体" w:asciiTheme="minorEastAsia" w:hAnsiTheme="minorEastAsia" w:cstheme="minorEastAsia"/>
          <w:color w:val="auto"/>
          <w:sz w:val="24"/>
          <w:szCs w:val="24"/>
        </w:rPr>
        <w:t>不得担任其他在建项目负责人承诺书</w:t>
      </w:r>
      <w:r>
        <w:rPr>
          <w:rFonts w:hint="eastAsia" w:eastAsia="宋体" w:asciiTheme="minorEastAsia" w:hAnsiTheme="minorEastAsia" w:cstheme="minorEastAsia"/>
          <w:color w:val="auto"/>
          <w:sz w:val="24"/>
          <w:szCs w:val="24"/>
          <w:lang w:eastAsia="zh-CN"/>
        </w:rPr>
        <w:t>；</w:t>
      </w:r>
    </w:p>
    <w:p w14:paraId="60F139AA">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lang w:val="en-US" w:eastAsia="zh-CN"/>
        </w:rPr>
        <w:t>4）</w:t>
      </w:r>
      <w:r>
        <w:rPr>
          <w:rFonts w:hint="eastAsia" w:eastAsia="宋体" w:asciiTheme="minorEastAsia" w:hAnsiTheme="minorEastAsia" w:cstheme="minorEastAsia"/>
          <w:color w:val="auto"/>
          <w:sz w:val="24"/>
          <w:szCs w:val="24"/>
        </w:rPr>
        <w:t>提供</w:t>
      </w:r>
      <w:r>
        <w:rPr>
          <w:rFonts w:hint="eastAsia" w:eastAsia="宋体" w:asciiTheme="minorEastAsia" w:hAnsiTheme="minorEastAsia" w:cstheme="minorEastAsia"/>
          <w:color w:val="auto"/>
          <w:sz w:val="24"/>
          <w:szCs w:val="24"/>
          <w:lang w:eastAsia="zh-CN"/>
        </w:rPr>
        <w:t>由</w:t>
      </w:r>
      <w:r>
        <w:rPr>
          <w:rFonts w:hint="eastAsia" w:eastAsia="宋体" w:asciiTheme="minorEastAsia" w:hAnsiTheme="minorEastAsia" w:cstheme="minorEastAsia"/>
          <w:color w:val="auto"/>
          <w:sz w:val="24"/>
          <w:szCs w:val="24"/>
        </w:rPr>
        <w:t>供应商购买的</w:t>
      </w:r>
      <w:r>
        <w:rPr>
          <w:rFonts w:hint="eastAsia" w:eastAsia="宋体" w:asciiTheme="minorEastAsia" w:hAnsiTheme="minorEastAsia" w:cstheme="minorEastAsia"/>
          <w:color w:val="auto"/>
          <w:sz w:val="24"/>
          <w:szCs w:val="24"/>
          <w:lang w:val="en-US" w:eastAsia="zh-CN"/>
        </w:rPr>
        <w:t>响应截止时间前三个月内任意一个月</w:t>
      </w:r>
      <w:r>
        <w:rPr>
          <w:rFonts w:hint="eastAsia" w:eastAsia="宋体" w:asciiTheme="minorEastAsia" w:hAnsiTheme="minorEastAsia" w:cstheme="minorEastAsia"/>
          <w:color w:val="auto"/>
          <w:sz w:val="24"/>
          <w:szCs w:val="24"/>
        </w:rPr>
        <w:t>社保缴纳证明</w:t>
      </w:r>
      <w:r>
        <w:rPr>
          <w:rFonts w:hint="eastAsia" w:eastAsia="宋体" w:asciiTheme="minorEastAsia" w:hAnsiTheme="minorEastAsia" w:cstheme="minorEastAsia"/>
          <w:color w:val="auto"/>
          <w:sz w:val="24"/>
          <w:szCs w:val="24"/>
          <w:lang w:eastAsia="zh-CN"/>
        </w:rPr>
        <w:t>。</w:t>
      </w:r>
    </w:p>
    <w:p w14:paraId="183106D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eastAsia="宋体" w:asciiTheme="minorEastAsia" w:hAnsiTheme="minorEastAsia" w:cstheme="minorEastAsia"/>
          <w:color w:val="auto"/>
          <w:sz w:val="24"/>
          <w:szCs w:val="24"/>
          <w:lang w:val="en-US" w:eastAsia="zh-CN"/>
        </w:rPr>
        <w:t>6、</w:t>
      </w:r>
      <w:r>
        <w:rPr>
          <w:rFonts w:hint="eastAsia" w:eastAsia="宋体" w:asciiTheme="minorEastAsia" w:hAnsiTheme="minorEastAsia" w:cstheme="minorEastAsia"/>
          <w:color w:val="auto"/>
          <w:sz w:val="24"/>
          <w:szCs w:val="24"/>
        </w:rPr>
        <w:t>本项目不接受联合体报名，成交供应商不得</w:t>
      </w:r>
      <w:r>
        <w:rPr>
          <w:rFonts w:hint="eastAsia" w:ascii="宋体" w:hAnsi="宋体" w:cs="宋体"/>
          <w:sz w:val="24"/>
        </w:rPr>
        <w:t>分包、转包</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sz w:val="24"/>
          <w:szCs w:val="24"/>
          <w:lang w:val="en-US" w:eastAsia="zh-CN"/>
        </w:rPr>
        <w:t>（供应商的响应文件须提供承诺函并加盖单位公章，承诺函格式自拟）</w:t>
      </w: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17</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19</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w:t>
      </w:r>
      <w:r>
        <w:rPr>
          <w:rFonts w:ascii="Segoe UI" w:hAnsi="Segoe UI" w:eastAsia="Segoe UI" w:cs="Segoe UI"/>
          <w:i w:val="0"/>
          <w:iCs w:val="0"/>
          <w:caps w:val="0"/>
          <w:color w:val="1B1C21"/>
          <w:spacing w:val="2"/>
          <w:sz w:val="24"/>
          <w:szCs w:val="24"/>
          <w:shd w:val="clear" w:fill="FAFAFA"/>
        </w:rPr>
        <w:t>所有递交</w:t>
      </w:r>
      <w:r>
        <w:rPr>
          <w:rFonts w:hint="eastAsia" w:ascii="Segoe UI" w:hAnsi="Segoe UI" w:eastAsia="宋体" w:cs="Segoe UI"/>
          <w:i w:val="0"/>
          <w:iCs w:val="0"/>
          <w:caps w:val="0"/>
          <w:color w:val="1B1C21"/>
          <w:spacing w:val="2"/>
          <w:sz w:val="24"/>
          <w:szCs w:val="24"/>
          <w:shd w:val="clear" w:fill="FAFAFA"/>
          <w:lang w:val="en-US" w:eastAsia="zh-CN"/>
        </w:rPr>
        <w:t>的</w:t>
      </w:r>
      <w:r>
        <w:rPr>
          <w:rFonts w:ascii="Segoe UI" w:hAnsi="Segoe UI" w:eastAsia="Segoe UI" w:cs="Segoe UI"/>
          <w:i w:val="0"/>
          <w:iCs w:val="0"/>
          <w:caps w:val="0"/>
          <w:color w:val="1B1C21"/>
          <w:spacing w:val="2"/>
          <w:sz w:val="24"/>
          <w:szCs w:val="24"/>
          <w:shd w:val="clear" w:fill="FAFAFA"/>
        </w:rPr>
        <w:t>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2、查验报价文件密封情况是否符合要求，确定无误后拆封。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bookmarkStart w:id="114" w:name="_GoBack"/>
      <w:bookmarkEnd w:id="114"/>
    </w:p>
    <w:p w14:paraId="67F05CF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12</w:t>
      </w:r>
      <w:r>
        <w:rPr>
          <w:rFonts w:hint="eastAsia" w:asciiTheme="minorEastAsia" w:hAnsiTheme="minorEastAsia" w:cstheme="minorEastAsia"/>
          <w:color w:val="auto"/>
          <w:sz w:val="24"/>
          <w:szCs w:val="24"/>
        </w:rPr>
        <w:t>日</w:t>
      </w:r>
    </w:p>
    <w:p w14:paraId="3BDF251A">
      <w:pPr>
        <w:spacing w:line="360" w:lineRule="auto"/>
        <w:ind w:right="480" w:firstLine="4200" w:firstLineChars="1750"/>
        <w:jc w:val="right"/>
        <w:rPr>
          <w:rFonts w:asciiTheme="minorEastAsia" w:hAnsiTheme="minorEastAsia" w:cstheme="minorEastAsia"/>
          <w:sz w:val="24"/>
        </w:rPr>
      </w:pPr>
    </w:p>
    <w:p w14:paraId="66F21837">
      <w:pPr>
        <w:spacing w:line="360" w:lineRule="auto"/>
        <w:ind w:firstLine="621" w:firstLineChars="222"/>
        <w:jc w:val="center"/>
        <w:rPr>
          <w:rFonts w:ascii="华文中宋" w:hAnsi="华文中宋" w:eastAsia="华文中宋"/>
          <w:sz w:val="28"/>
          <w:szCs w:val="28"/>
        </w:rPr>
      </w:pPr>
      <w:r>
        <w:rPr>
          <w:rFonts w:ascii="华文中宋" w:hAnsi="华文中宋" w:eastAsia="华文中宋"/>
          <w:sz w:val="28"/>
          <w:szCs w:val="28"/>
        </w:rPr>
        <w:br w:type="page"/>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2"/>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8364"/>
      <w:bookmarkStart w:id="2" w:name="_Toc40346216"/>
      <w:bookmarkStart w:id="3" w:name="_Toc28703"/>
      <w:bookmarkStart w:id="4" w:name="_Toc6547"/>
      <w:bookmarkStart w:id="5" w:name="_Toc11075"/>
      <w:bookmarkStart w:id="6" w:name="_Toc26267"/>
      <w:bookmarkStart w:id="7" w:name="_Toc7291"/>
      <w:bookmarkStart w:id="8" w:name="_Toc1994"/>
      <w:bookmarkStart w:id="9" w:name="_Toc40346375"/>
      <w:bookmarkStart w:id="10" w:name="_Toc21249"/>
      <w:bookmarkStart w:id="11" w:name="_Toc3471"/>
      <w:bookmarkStart w:id="12" w:name="_Toc29113"/>
      <w:bookmarkStart w:id="13" w:name="_Toc12520"/>
      <w:bookmarkStart w:id="14" w:name="_Toc15870"/>
      <w:bookmarkStart w:id="15" w:name="_Toc40776111"/>
      <w:bookmarkStart w:id="16" w:name="_Toc435"/>
      <w:bookmarkStart w:id="17" w:name="_Toc11305"/>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2"/>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2"/>
        <w:ind w:left="0" w:leftChars="0" w:firstLine="637" w:firstLineChars="177"/>
        <w:jc w:val="left"/>
        <w:rPr>
          <w:rFonts w:hint="eastAsia" w:ascii="宋体" w:hAnsi="宋体" w:eastAsia="宋体" w:cs="宋体"/>
          <w:b w:val="0"/>
          <w:bCs w:val="0"/>
          <w:sz w:val="36"/>
          <w:szCs w:val="36"/>
          <w:lang w:eastAsia="zh-CN"/>
        </w:rPr>
      </w:pPr>
    </w:p>
    <w:p w14:paraId="22A83F7A">
      <w:pPr>
        <w:pStyle w:val="2"/>
        <w:ind w:left="0" w:leftChars="0" w:firstLine="637" w:firstLineChars="177"/>
        <w:jc w:val="left"/>
        <w:rPr>
          <w:rFonts w:hint="eastAsia" w:ascii="宋体" w:hAnsi="宋体" w:eastAsia="宋体" w:cs="宋体"/>
          <w:b w:val="0"/>
          <w:bCs w:val="0"/>
          <w:sz w:val="36"/>
          <w:szCs w:val="36"/>
          <w:lang w:eastAsia="zh-CN"/>
        </w:rPr>
      </w:pPr>
    </w:p>
    <w:p w14:paraId="6644A133">
      <w:pPr>
        <w:pStyle w:val="2"/>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40776112"/>
      <w:bookmarkStart w:id="19" w:name="_Toc29102"/>
      <w:bookmarkStart w:id="20" w:name="_Toc23097"/>
      <w:bookmarkStart w:id="21" w:name="_Toc27997"/>
      <w:bookmarkStart w:id="22" w:name="_Toc17709"/>
      <w:bookmarkStart w:id="23" w:name="_Toc2916"/>
      <w:bookmarkStart w:id="24" w:name="_Toc2029"/>
      <w:bookmarkStart w:id="25" w:name="_Toc20884"/>
      <w:bookmarkStart w:id="26" w:name="_Toc5238"/>
      <w:bookmarkStart w:id="27" w:name="_Toc40346376"/>
      <w:bookmarkStart w:id="28" w:name="_Toc30979"/>
      <w:bookmarkStart w:id="29" w:name="_Toc1743"/>
      <w:bookmarkStart w:id="30" w:name="_Toc40346217"/>
      <w:bookmarkStart w:id="31" w:name="_Toc19699"/>
      <w:bookmarkStart w:id="32" w:name="_Toc2012"/>
      <w:bookmarkStart w:id="33" w:name="_Toc31538"/>
      <w:bookmarkStart w:id="34" w:name="_Toc11485"/>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17930"/>
      <w:bookmarkStart w:id="36" w:name="_Toc31993"/>
      <w:bookmarkStart w:id="37" w:name="_Toc40346218"/>
      <w:bookmarkStart w:id="38" w:name="_Toc28064"/>
      <w:bookmarkStart w:id="39" w:name="_Toc24763"/>
      <w:bookmarkStart w:id="40" w:name="_Toc11141"/>
      <w:bookmarkStart w:id="41" w:name="_Toc4013"/>
      <w:bookmarkStart w:id="42" w:name="_Toc40346377"/>
      <w:bookmarkStart w:id="43" w:name="_Toc7052"/>
      <w:bookmarkStart w:id="44" w:name="_Toc40776113"/>
      <w:bookmarkStart w:id="45" w:name="_Toc11558"/>
      <w:bookmarkStart w:id="46" w:name="_Toc21483"/>
      <w:bookmarkStart w:id="47" w:name="_Toc27867"/>
      <w:bookmarkStart w:id="48" w:name="_Toc16794"/>
      <w:bookmarkStart w:id="49" w:name="_Toc14824"/>
      <w:bookmarkStart w:id="50" w:name="_Toc12645"/>
      <w:bookmarkStart w:id="51" w:name="_Toc29767"/>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4563"/>
      <w:bookmarkStart w:id="53" w:name="_Toc40776114"/>
      <w:bookmarkStart w:id="54" w:name="_Toc9883"/>
      <w:bookmarkStart w:id="55" w:name="_Toc1324"/>
      <w:bookmarkStart w:id="56" w:name="_Toc11334"/>
      <w:bookmarkStart w:id="57" w:name="_Toc32709"/>
      <w:bookmarkStart w:id="58" w:name="_Toc16813"/>
      <w:bookmarkStart w:id="59" w:name="_Toc40346378"/>
      <w:bookmarkStart w:id="60" w:name="_Toc40346219"/>
      <w:bookmarkStart w:id="61" w:name="_Toc24651"/>
      <w:bookmarkStart w:id="62" w:name="_Toc27771"/>
      <w:bookmarkStart w:id="63" w:name="_Toc17537"/>
      <w:bookmarkStart w:id="64" w:name="_Toc14287"/>
      <w:bookmarkStart w:id="65" w:name="_Toc6438"/>
      <w:bookmarkStart w:id="66" w:name="_Toc26029"/>
      <w:bookmarkStart w:id="67" w:name="_Toc19831"/>
      <w:bookmarkStart w:id="68" w:name="_Toc31197"/>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27206"/>
      <w:bookmarkStart w:id="70" w:name="_Toc13222"/>
      <w:bookmarkStart w:id="71" w:name="_Toc12650"/>
      <w:bookmarkStart w:id="72" w:name="_Toc40346379"/>
      <w:bookmarkStart w:id="73" w:name="_Toc18353"/>
      <w:bookmarkStart w:id="74" w:name="_Toc5634"/>
      <w:bookmarkStart w:id="75" w:name="_Toc21940"/>
      <w:bookmarkStart w:id="76" w:name="_Toc3895"/>
      <w:bookmarkStart w:id="77" w:name="_Toc20994"/>
      <w:bookmarkStart w:id="78" w:name="_Toc17483"/>
      <w:bookmarkStart w:id="79" w:name="_Toc40776115"/>
      <w:bookmarkStart w:id="80" w:name="_Toc27868"/>
      <w:bookmarkStart w:id="81" w:name="_Toc14586"/>
      <w:bookmarkStart w:id="82" w:name="_Toc40346220"/>
      <w:bookmarkStart w:id="83" w:name="_Toc30336"/>
      <w:bookmarkStart w:id="84" w:name="_Toc21686"/>
      <w:bookmarkStart w:id="85" w:name="_Toc5189"/>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8526"/>
      <w:bookmarkStart w:id="87" w:name="_Toc40346380"/>
      <w:bookmarkStart w:id="88" w:name="_Toc5220"/>
      <w:bookmarkStart w:id="89" w:name="_Toc10454"/>
      <w:bookmarkStart w:id="90" w:name="_Toc12127"/>
      <w:bookmarkStart w:id="91" w:name="_Toc32371"/>
      <w:bookmarkStart w:id="92" w:name="_Toc30856"/>
      <w:bookmarkStart w:id="93" w:name="_Toc11547"/>
      <w:bookmarkStart w:id="94" w:name="_Toc3498"/>
      <w:bookmarkStart w:id="95" w:name="_Toc14462"/>
      <w:bookmarkStart w:id="96" w:name="_Toc40346221"/>
      <w:bookmarkStart w:id="97" w:name="_Toc40776116"/>
      <w:bookmarkStart w:id="98" w:name="_Toc21449"/>
      <w:bookmarkStart w:id="99" w:name="_Toc9282"/>
      <w:bookmarkStart w:id="100" w:name="_Toc30904"/>
      <w:bookmarkStart w:id="101" w:name="_Toc27646"/>
      <w:bookmarkStart w:id="102" w:name="_Toc27009"/>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8"/>
        <w:ind w:firstLine="400"/>
      </w:pPr>
    </w:p>
    <w:p w14:paraId="5EA99B4F">
      <w:pPr>
        <w:pStyle w:val="28"/>
        <w:ind w:firstLine="400"/>
      </w:pPr>
    </w:p>
    <w:p w14:paraId="273253B2">
      <w:pPr>
        <w:pStyle w:val="28"/>
        <w:ind w:firstLine="400"/>
      </w:pPr>
    </w:p>
    <w:p w14:paraId="7AC80C17">
      <w:pPr>
        <w:pStyle w:val="28"/>
        <w:ind w:firstLine="400"/>
      </w:pPr>
    </w:p>
    <w:p w14:paraId="3C9C888B">
      <w:pPr>
        <w:pStyle w:val="28"/>
        <w:ind w:firstLine="400"/>
      </w:pPr>
    </w:p>
    <w:p w14:paraId="2200D5B6">
      <w:pPr>
        <w:pStyle w:val="28"/>
        <w:ind w:firstLine="400"/>
      </w:pPr>
    </w:p>
    <w:p w14:paraId="54A36C62">
      <w:pPr>
        <w:pStyle w:val="28"/>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13184"/>
      <w:bookmarkStart w:id="104" w:name="_Toc8637"/>
      <w:bookmarkStart w:id="105" w:name="_Toc16728"/>
      <w:bookmarkStart w:id="106" w:name="_Toc15539"/>
      <w:bookmarkStart w:id="107" w:name="_Toc21213"/>
      <w:bookmarkStart w:id="108" w:name="_Toc10399"/>
      <w:bookmarkStart w:id="109" w:name="_Toc31077"/>
      <w:bookmarkStart w:id="110" w:name="_Toc9697"/>
      <w:bookmarkStart w:id="111" w:name="_Toc16608"/>
      <w:bookmarkStart w:id="112" w:name="_Toc28747"/>
      <w:bookmarkStart w:id="113" w:name="_Toc6691"/>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8"/>
        <w:adjustRightInd w:val="0"/>
        <w:snapToGrid w:val="0"/>
        <w:spacing w:line="360" w:lineRule="exact"/>
        <w:ind w:left="0" w:leftChars="0" w:firstLine="0" w:firstLineChars="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3DB3CA6F"/>
    <w:p w14:paraId="12AF2F7F">
      <w:pPr>
        <w:pStyle w:val="6"/>
      </w:pPr>
    </w:p>
    <w:p w14:paraId="69F9CC84">
      <w:pPr>
        <w:pStyle w:val="7"/>
      </w:pPr>
    </w:p>
    <w:p w14:paraId="22BACC72">
      <w:pPr>
        <w:pStyle w:val="11"/>
      </w:pPr>
    </w:p>
    <w:p w14:paraId="4D18E465">
      <w:pPr>
        <w:pStyle w:val="11"/>
      </w:pPr>
    </w:p>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8"/>
        <w:ind w:firstLine="400"/>
      </w:pPr>
    </w:p>
    <w:p w14:paraId="7CA4C918">
      <w:pPr>
        <w:pStyle w:val="28"/>
        <w:ind w:firstLine="400"/>
      </w:pPr>
    </w:p>
    <w:p w14:paraId="15447D1D">
      <w:pPr>
        <w:pStyle w:val="28"/>
        <w:ind w:firstLine="400"/>
      </w:pPr>
    </w:p>
    <w:p w14:paraId="2841E1ED">
      <w:pPr>
        <w:pStyle w:val="28"/>
        <w:rPr>
          <w:rFonts w:hint="eastAsia" w:ascii="宋体" w:hAnsi="宋体" w:eastAsia="宋体" w:cs="宋体"/>
          <w:color w:val="auto"/>
          <w:kern w:val="2"/>
          <w:sz w:val="24"/>
          <w:szCs w:val="24"/>
          <w:lang w:val="en-US" w:eastAsia="zh-CN" w:bidi="ar-SA"/>
        </w:rPr>
      </w:pPr>
    </w:p>
    <w:p w14:paraId="7CDE5995">
      <w:pPr>
        <w:pStyle w:val="28"/>
        <w:rPr>
          <w:rFonts w:hint="eastAsia" w:ascii="宋体" w:hAnsi="宋体" w:eastAsia="宋体" w:cs="宋体"/>
          <w:color w:val="auto"/>
          <w:kern w:val="2"/>
          <w:sz w:val="24"/>
          <w:szCs w:val="24"/>
          <w:lang w:val="en-US" w:eastAsia="zh-CN" w:bidi="ar-SA"/>
        </w:rPr>
      </w:pPr>
    </w:p>
    <w:p w14:paraId="542D0658">
      <w:pPr>
        <w:pStyle w:val="28"/>
        <w:rPr>
          <w:rFonts w:hint="eastAsia" w:ascii="宋体" w:hAnsi="宋体" w:eastAsia="宋体" w:cs="宋体"/>
          <w:color w:val="auto"/>
          <w:kern w:val="2"/>
          <w:sz w:val="24"/>
          <w:szCs w:val="24"/>
          <w:lang w:val="en-US" w:eastAsia="zh-CN" w:bidi="ar-SA"/>
        </w:rPr>
      </w:pPr>
    </w:p>
    <w:p w14:paraId="65FB22B9">
      <w:pPr>
        <w:pStyle w:val="28"/>
        <w:rPr>
          <w:rFonts w:hint="eastAsia" w:ascii="宋体" w:hAnsi="宋体" w:eastAsia="宋体" w:cs="宋体"/>
          <w:color w:val="auto"/>
          <w:kern w:val="2"/>
          <w:sz w:val="24"/>
          <w:szCs w:val="24"/>
          <w:lang w:val="en-US" w:eastAsia="zh-CN" w:bidi="ar-SA"/>
        </w:rPr>
      </w:pPr>
    </w:p>
    <w:p w14:paraId="3A2BF6A4">
      <w:pPr>
        <w:pStyle w:val="28"/>
        <w:rPr>
          <w:rFonts w:hint="eastAsia" w:ascii="宋体" w:hAnsi="宋体" w:eastAsia="宋体" w:cs="宋体"/>
          <w:color w:val="auto"/>
          <w:kern w:val="2"/>
          <w:sz w:val="24"/>
          <w:szCs w:val="24"/>
          <w:lang w:val="en-US" w:eastAsia="zh-CN" w:bidi="ar-SA"/>
        </w:rPr>
      </w:pPr>
    </w:p>
    <w:p w14:paraId="036EDA3F">
      <w:pPr>
        <w:pStyle w:val="28"/>
        <w:rPr>
          <w:rFonts w:hint="eastAsia" w:ascii="宋体" w:hAnsi="宋体" w:eastAsia="宋体" w:cs="宋体"/>
          <w:color w:val="auto"/>
          <w:kern w:val="2"/>
          <w:sz w:val="24"/>
          <w:szCs w:val="24"/>
          <w:lang w:val="en-US" w:eastAsia="zh-CN" w:bidi="ar-SA"/>
        </w:rPr>
      </w:pPr>
    </w:p>
    <w:p w14:paraId="66FDC68C">
      <w:pPr>
        <w:pStyle w:val="28"/>
        <w:rPr>
          <w:rFonts w:hint="eastAsia" w:ascii="宋体" w:hAnsi="宋体" w:eastAsia="宋体" w:cs="宋体"/>
          <w:color w:val="auto"/>
          <w:kern w:val="2"/>
          <w:sz w:val="24"/>
          <w:szCs w:val="24"/>
          <w:lang w:val="en-US" w:eastAsia="zh-CN" w:bidi="ar-SA"/>
        </w:rPr>
      </w:pPr>
    </w:p>
    <w:p w14:paraId="0EFCB712">
      <w:pPr>
        <w:pStyle w:val="28"/>
        <w:rPr>
          <w:rFonts w:hint="eastAsia" w:ascii="宋体" w:hAnsi="宋体" w:eastAsia="宋体" w:cs="宋体"/>
          <w:color w:val="auto"/>
          <w:kern w:val="2"/>
          <w:sz w:val="24"/>
          <w:szCs w:val="24"/>
          <w:lang w:val="en-US" w:eastAsia="zh-CN" w:bidi="ar-SA"/>
        </w:rPr>
      </w:pPr>
    </w:p>
    <w:p w14:paraId="2D2B80AC">
      <w:pPr>
        <w:pStyle w:val="28"/>
        <w:rPr>
          <w:rFonts w:hint="eastAsia" w:ascii="宋体" w:hAnsi="宋体" w:eastAsia="宋体" w:cs="宋体"/>
          <w:color w:val="auto"/>
          <w:kern w:val="2"/>
          <w:sz w:val="24"/>
          <w:szCs w:val="24"/>
          <w:lang w:val="en-US" w:eastAsia="zh-CN" w:bidi="ar-SA"/>
        </w:rPr>
      </w:pPr>
    </w:p>
    <w:p w14:paraId="23F6A1D2">
      <w:pPr>
        <w:pStyle w:val="28"/>
        <w:rPr>
          <w:rFonts w:hint="eastAsia" w:ascii="宋体" w:hAnsi="宋体" w:eastAsia="宋体" w:cs="宋体"/>
          <w:color w:val="auto"/>
          <w:kern w:val="2"/>
          <w:sz w:val="24"/>
          <w:szCs w:val="24"/>
          <w:lang w:val="en-US" w:eastAsia="zh-CN" w:bidi="ar-SA"/>
        </w:rPr>
      </w:pPr>
    </w:p>
    <w:p w14:paraId="1849BE4D">
      <w:pPr>
        <w:pStyle w:val="28"/>
        <w:rPr>
          <w:rFonts w:hint="eastAsia" w:ascii="宋体" w:hAnsi="宋体" w:eastAsia="宋体" w:cs="宋体"/>
          <w:color w:val="auto"/>
          <w:kern w:val="2"/>
          <w:sz w:val="24"/>
          <w:szCs w:val="24"/>
          <w:lang w:val="en-US" w:eastAsia="zh-CN" w:bidi="ar-SA"/>
        </w:rPr>
      </w:pPr>
    </w:p>
    <w:p w14:paraId="44D0E0B9">
      <w:pPr>
        <w:pStyle w:val="28"/>
        <w:rPr>
          <w:rFonts w:hint="eastAsia" w:ascii="宋体" w:hAnsi="宋体" w:eastAsia="宋体" w:cs="宋体"/>
          <w:color w:val="auto"/>
          <w:kern w:val="2"/>
          <w:sz w:val="24"/>
          <w:szCs w:val="24"/>
          <w:lang w:val="en-US" w:eastAsia="zh-CN" w:bidi="ar-SA"/>
        </w:rPr>
      </w:pPr>
    </w:p>
    <w:p w14:paraId="1F2A3E87">
      <w:pPr>
        <w:pStyle w:val="28"/>
        <w:rPr>
          <w:rFonts w:hint="eastAsia" w:ascii="宋体" w:hAnsi="宋体" w:eastAsia="宋体" w:cs="宋体"/>
          <w:color w:val="auto"/>
          <w:kern w:val="2"/>
          <w:sz w:val="24"/>
          <w:szCs w:val="24"/>
          <w:lang w:val="en-US" w:eastAsia="zh-CN" w:bidi="ar-SA"/>
        </w:rPr>
      </w:pPr>
    </w:p>
    <w:p w14:paraId="715F426C">
      <w:pPr>
        <w:pStyle w:val="28"/>
        <w:rPr>
          <w:rFonts w:hint="eastAsia" w:ascii="宋体" w:hAnsi="宋体" w:eastAsia="宋体" w:cs="宋体"/>
          <w:color w:val="auto"/>
          <w:kern w:val="2"/>
          <w:sz w:val="24"/>
          <w:szCs w:val="24"/>
          <w:lang w:val="en-US" w:eastAsia="zh-CN" w:bidi="ar-SA"/>
        </w:rPr>
      </w:pPr>
    </w:p>
    <w:p w14:paraId="44DAC512">
      <w:pPr>
        <w:pStyle w:val="28"/>
        <w:rPr>
          <w:rFonts w:hint="eastAsia" w:ascii="宋体" w:hAnsi="宋体" w:eastAsia="宋体" w:cs="宋体"/>
          <w:color w:val="auto"/>
          <w:kern w:val="2"/>
          <w:sz w:val="24"/>
          <w:szCs w:val="24"/>
          <w:lang w:val="en-US" w:eastAsia="zh-CN" w:bidi="ar-SA"/>
        </w:rPr>
      </w:pPr>
    </w:p>
    <w:p w14:paraId="21BE14E9">
      <w:pPr>
        <w:pStyle w:val="28"/>
        <w:rPr>
          <w:rFonts w:hint="eastAsia" w:ascii="宋体" w:hAnsi="宋体" w:eastAsia="宋体" w:cs="宋体"/>
          <w:color w:val="auto"/>
          <w:kern w:val="2"/>
          <w:sz w:val="24"/>
          <w:szCs w:val="24"/>
          <w:lang w:val="en-US" w:eastAsia="zh-CN" w:bidi="ar-SA"/>
        </w:rPr>
      </w:pPr>
    </w:p>
    <w:p w14:paraId="29836CE7">
      <w:pPr>
        <w:pStyle w:val="28"/>
        <w:rPr>
          <w:rFonts w:hint="eastAsia" w:ascii="宋体" w:hAnsi="宋体" w:eastAsia="宋体" w:cs="宋体"/>
          <w:color w:val="auto"/>
          <w:kern w:val="2"/>
          <w:sz w:val="24"/>
          <w:szCs w:val="24"/>
          <w:lang w:val="en-US" w:eastAsia="zh-CN" w:bidi="ar-SA"/>
        </w:rPr>
      </w:pPr>
    </w:p>
    <w:p w14:paraId="6602F48B">
      <w:pPr>
        <w:pStyle w:val="28"/>
        <w:rPr>
          <w:rFonts w:hint="eastAsia" w:ascii="宋体" w:hAnsi="宋体" w:eastAsia="宋体" w:cs="宋体"/>
          <w:color w:val="auto"/>
          <w:kern w:val="2"/>
          <w:sz w:val="24"/>
          <w:szCs w:val="24"/>
          <w:lang w:val="en-US" w:eastAsia="zh-CN" w:bidi="ar-SA"/>
        </w:rPr>
      </w:pPr>
    </w:p>
    <w:p w14:paraId="2FDFC9F7">
      <w:pPr>
        <w:pStyle w:val="28"/>
        <w:rPr>
          <w:rFonts w:hint="eastAsia" w:ascii="宋体" w:hAnsi="宋体" w:eastAsia="宋体" w:cs="宋体"/>
          <w:color w:val="auto"/>
          <w:kern w:val="2"/>
          <w:sz w:val="24"/>
          <w:szCs w:val="24"/>
          <w:lang w:val="en-US" w:eastAsia="zh-CN" w:bidi="ar-SA"/>
        </w:rPr>
      </w:pPr>
    </w:p>
    <w:p w14:paraId="4D4F64A3">
      <w:pPr>
        <w:pStyle w:val="28"/>
        <w:rPr>
          <w:rFonts w:hint="eastAsia" w:ascii="宋体" w:hAnsi="宋体" w:eastAsia="宋体" w:cs="宋体"/>
          <w:color w:val="auto"/>
          <w:kern w:val="2"/>
          <w:sz w:val="24"/>
          <w:szCs w:val="24"/>
          <w:lang w:val="en-US" w:eastAsia="zh-CN" w:bidi="ar-SA"/>
        </w:rPr>
      </w:pPr>
    </w:p>
    <w:p w14:paraId="7FDADB31">
      <w:pPr>
        <w:pStyle w:val="28"/>
        <w:rPr>
          <w:rFonts w:hint="eastAsia"/>
          <w:lang w:val="en-US" w:eastAsia="zh-CN"/>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19"/>
        <w:rPr>
          <w:rFonts w:hint="eastAsia" w:eastAsia="宋体" w:asciiTheme="minorEastAsia" w:hAnsiTheme="minorEastAsia" w:cstheme="minorEastAsia"/>
          <w:color w:val="auto"/>
          <w:kern w:val="2"/>
          <w:sz w:val="28"/>
          <w:szCs w:val="28"/>
          <w:lang w:val="en-US" w:eastAsia="zh-CN" w:bidi="ar-SA"/>
        </w:rPr>
      </w:pPr>
    </w:p>
    <w:p w14:paraId="19FB1538">
      <w:pPr>
        <w:pStyle w:val="19"/>
        <w:rPr>
          <w:rFonts w:hint="eastAsia" w:eastAsia="宋体" w:asciiTheme="minorEastAsia" w:hAnsiTheme="minorEastAsia" w:cstheme="minorEastAsia"/>
          <w:color w:val="auto"/>
          <w:kern w:val="2"/>
          <w:sz w:val="28"/>
          <w:szCs w:val="28"/>
          <w:lang w:val="en-US" w:eastAsia="zh-CN" w:bidi="ar-SA"/>
        </w:rPr>
      </w:pPr>
    </w:p>
    <w:p w14:paraId="7FC3A1A4">
      <w:pPr>
        <w:pStyle w:val="19"/>
        <w:rPr>
          <w:rFonts w:hint="eastAsia" w:eastAsia="宋体" w:asciiTheme="minorEastAsia" w:hAnsiTheme="minorEastAsia" w:cstheme="minorEastAsia"/>
          <w:color w:val="auto"/>
          <w:kern w:val="2"/>
          <w:sz w:val="28"/>
          <w:szCs w:val="28"/>
          <w:lang w:val="en-US" w:eastAsia="zh-CN" w:bidi="ar-SA"/>
        </w:rPr>
      </w:pPr>
    </w:p>
    <w:p w14:paraId="51FDFB5C">
      <w:pPr>
        <w:pStyle w:val="19"/>
        <w:rPr>
          <w:rFonts w:hint="eastAsia" w:eastAsia="宋体" w:asciiTheme="minorEastAsia" w:hAnsiTheme="minorEastAsia" w:cstheme="minorEastAsia"/>
          <w:color w:val="auto"/>
          <w:kern w:val="2"/>
          <w:sz w:val="28"/>
          <w:szCs w:val="28"/>
          <w:lang w:val="en-US" w:eastAsia="zh-CN" w:bidi="ar-SA"/>
        </w:rPr>
      </w:pPr>
    </w:p>
    <w:p w14:paraId="191696BE">
      <w:pPr>
        <w:pStyle w:val="19"/>
        <w:rPr>
          <w:rFonts w:hint="eastAsia" w:eastAsia="宋体" w:asciiTheme="minorEastAsia" w:hAnsiTheme="minorEastAsia" w:cstheme="minorEastAsia"/>
          <w:color w:val="auto"/>
          <w:kern w:val="2"/>
          <w:sz w:val="28"/>
          <w:szCs w:val="28"/>
          <w:lang w:val="en-US" w:eastAsia="zh-CN" w:bidi="ar-SA"/>
        </w:rPr>
      </w:pPr>
    </w:p>
    <w:p w14:paraId="2C587E29">
      <w:pPr>
        <w:pStyle w:val="19"/>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19"/>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19"/>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4"/>
        <w:rPr>
          <w:rFonts w:hint="default"/>
          <w:lang w:val="en-US" w:eastAsia="zh-CN"/>
        </w:rPr>
      </w:pPr>
    </w:p>
    <w:p w14:paraId="4BE55E53">
      <w:pPr>
        <w:spacing w:line="500" w:lineRule="atLeast"/>
        <w:rPr>
          <w:rFonts w:hint="eastAsia" w:ascii="宋体" w:hAnsi="宋体"/>
          <w:b/>
          <w:sz w:val="28"/>
          <w:szCs w:val="28"/>
        </w:rPr>
      </w:pPr>
    </w:p>
    <w:p w14:paraId="7B1970CB">
      <w:pPr>
        <w:pStyle w:val="3"/>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19"/>
      </w:pPr>
    </w:p>
    <w:p w14:paraId="6FF9B7AD">
      <w:pPr>
        <w:pStyle w:val="19"/>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8"/>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w:t>
      </w:r>
      <w:r>
        <w:rPr>
          <w:rFonts w:hint="eastAsia" w:ascii="宋体" w:hAnsi="宋体" w:cs="宋体"/>
          <w:sz w:val="24"/>
          <w:szCs w:val="36"/>
          <w:highlight w:val="none"/>
          <w:lang w:val="en-US" w:eastAsia="zh-CN"/>
        </w:rPr>
        <w:t>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8"/>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lang w:eastAsia="zh-CN"/>
        </w:rPr>
        <w:t>供应商资质</w:t>
      </w:r>
      <w:r>
        <w:rPr>
          <w:rFonts w:hint="eastAsia" w:ascii="宋体" w:hAnsi="宋体" w:cs="宋体"/>
          <w:sz w:val="24"/>
          <w:szCs w:val="36"/>
        </w:rPr>
        <w:t>………………………………………………………第（  ）页</w:t>
      </w:r>
    </w:p>
    <w:p w14:paraId="6D9A0A89">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eastAsia" w:ascii="宋体" w:hAnsi="宋体" w:cs="宋体"/>
          <w:sz w:val="24"/>
          <w:szCs w:val="36"/>
        </w:rPr>
        <w:t>…………………………………………………第（  ）页</w:t>
      </w:r>
    </w:p>
    <w:p w14:paraId="1C58BDAE">
      <w:pPr>
        <w:pStyle w:val="28"/>
        <w:spacing w:line="360" w:lineRule="auto"/>
        <w:ind w:firstLine="480" w:firstLineChars="200"/>
        <w:rPr>
          <w:rFonts w:hint="eastAsia" w:ascii="宋体" w:hAnsi="宋体" w:cs="宋体"/>
          <w:sz w:val="24"/>
          <w:szCs w:val="36"/>
        </w:rPr>
      </w:pPr>
      <w:r>
        <w:rPr>
          <w:rFonts w:hint="eastAsia" w:ascii="宋体" w:hAnsi="宋体" w:cs="宋体"/>
          <w:sz w:val="24"/>
          <w:szCs w:val="36"/>
          <w:lang w:eastAsia="zh-CN"/>
        </w:rPr>
        <w:t>（</w:t>
      </w:r>
      <w:r>
        <w:rPr>
          <w:rFonts w:hint="eastAsia" w:ascii="宋体" w:hAnsi="宋体" w:cs="宋体"/>
          <w:sz w:val="24"/>
          <w:szCs w:val="36"/>
          <w:lang w:val="en-US" w:eastAsia="zh-CN"/>
        </w:rPr>
        <w:t>四）类似业绩</w:t>
      </w:r>
      <w:r>
        <w:rPr>
          <w:rFonts w:hint="eastAsia" w:ascii="宋体" w:hAnsi="宋体" w:cs="宋体"/>
          <w:sz w:val="24"/>
          <w:szCs w:val="36"/>
        </w:rPr>
        <w:t>…………………………………………………………第（  ）页</w:t>
      </w:r>
    </w:p>
    <w:p w14:paraId="6AA62BF6">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val="en-US" w:eastAsia="zh-CN"/>
        </w:rPr>
        <w:t>五</w:t>
      </w:r>
      <w:r>
        <w:rPr>
          <w:rFonts w:hint="eastAsia" w:ascii="宋体" w:hAnsi="宋体" w:cs="宋体"/>
          <w:sz w:val="24"/>
          <w:szCs w:val="36"/>
        </w:rPr>
        <w:t>）</w:t>
      </w:r>
      <w:r>
        <w:rPr>
          <w:rFonts w:hint="eastAsia" w:ascii="宋体" w:hAnsi="宋体" w:cs="宋体"/>
          <w:sz w:val="24"/>
          <w:szCs w:val="36"/>
          <w:lang w:val="en-US" w:eastAsia="zh-CN"/>
        </w:rPr>
        <w:t>项目负责人</w:t>
      </w:r>
      <w:r>
        <w:rPr>
          <w:rFonts w:hint="eastAsia" w:ascii="宋体" w:hAnsi="宋体" w:cs="宋体"/>
          <w:sz w:val="24"/>
          <w:szCs w:val="36"/>
        </w:rPr>
        <w:t>………………………………………………………第（  ）页</w:t>
      </w:r>
    </w:p>
    <w:p w14:paraId="4F51D7C5">
      <w:pPr>
        <w:pStyle w:val="28"/>
        <w:spacing w:line="360" w:lineRule="auto"/>
        <w:ind w:firstLine="480" w:firstLineChars="200"/>
        <w:rPr>
          <w:rFonts w:hint="default" w:ascii="宋体" w:hAnsi="宋体" w:cs="宋体"/>
          <w:sz w:val="24"/>
          <w:szCs w:val="36"/>
          <w:lang w:val="en-US" w:eastAsia="zh-CN"/>
        </w:rPr>
      </w:pPr>
      <w:r>
        <w:rPr>
          <w:rFonts w:hint="eastAsia" w:ascii="宋体" w:hAnsi="宋体" w:cs="宋体"/>
          <w:sz w:val="24"/>
          <w:szCs w:val="36"/>
          <w:lang w:val="en-US" w:eastAsia="zh-CN"/>
        </w:rPr>
        <w:t>（六）承诺函</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8"/>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8"/>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19"/>
        <w:rPr>
          <w:rFonts w:ascii="宋体" w:hAnsi="宋体" w:cs="宋体"/>
          <w:sz w:val="24"/>
          <w:szCs w:val="36"/>
        </w:rPr>
      </w:pPr>
    </w:p>
    <w:p w14:paraId="14728056">
      <w:pPr>
        <w:pStyle w:val="19"/>
        <w:rPr>
          <w:rFonts w:ascii="宋体" w:hAnsi="宋体" w:cs="宋体"/>
          <w:sz w:val="24"/>
          <w:szCs w:val="36"/>
        </w:rPr>
      </w:pPr>
    </w:p>
    <w:p w14:paraId="6BC999AD">
      <w:pPr>
        <w:pStyle w:val="19"/>
        <w:rPr>
          <w:rFonts w:ascii="宋体" w:hAnsi="宋体" w:cs="宋体"/>
          <w:sz w:val="24"/>
          <w:szCs w:val="36"/>
        </w:rPr>
      </w:pPr>
    </w:p>
    <w:p w14:paraId="7AC06D44">
      <w:pPr>
        <w:pStyle w:val="28"/>
        <w:ind w:firstLine="0" w:firstLineChars="0"/>
        <w:rPr>
          <w:rFonts w:ascii="宋体" w:hAnsi="宋体" w:cs="宋体"/>
          <w:sz w:val="24"/>
        </w:rPr>
      </w:pPr>
    </w:p>
    <w:p w14:paraId="6F7C2A99">
      <w:pPr>
        <w:pStyle w:val="28"/>
        <w:ind w:firstLine="0" w:firstLineChars="0"/>
        <w:rPr>
          <w:rFonts w:ascii="宋体" w:hAnsi="宋体" w:cs="宋体"/>
          <w:sz w:val="24"/>
        </w:rPr>
      </w:pPr>
    </w:p>
    <w:p w14:paraId="2671776E">
      <w:pPr>
        <w:pStyle w:val="28"/>
        <w:ind w:firstLine="0" w:firstLineChars="0"/>
        <w:rPr>
          <w:rFonts w:ascii="宋体" w:hAnsi="宋体" w:cs="宋体"/>
          <w:sz w:val="24"/>
        </w:rPr>
      </w:pPr>
    </w:p>
    <w:p w14:paraId="4452B15E">
      <w:pPr>
        <w:pStyle w:val="28"/>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8"/>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4"/>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19"/>
        <w:rPr>
          <w:rFonts w:hint="eastAsia"/>
        </w:rPr>
      </w:pPr>
    </w:p>
    <w:p w14:paraId="57736217">
      <w:pPr>
        <w:pStyle w:val="19"/>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工程施工</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6"/>
        <w:rPr>
          <w:rFonts w:hint="eastAsia"/>
        </w:rPr>
      </w:pPr>
    </w:p>
    <w:p w14:paraId="7A4DAD8D">
      <w:pPr>
        <w:pStyle w:val="7"/>
        <w:rPr>
          <w:rFonts w:hint="eastAsia"/>
        </w:rPr>
      </w:pPr>
    </w:p>
    <w:p w14:paraId="599EB108">
      <w:pPr>
        <w:pStyle w:val="7"/>
        <w:ind w:left="0" w:leftChars="0" w:firstLine="0" w:firstLineChars="0"/>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69222090">
      <w:pPr>
        <w:pStyle w:val="3"/>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p w14:paraId="78939B51">
      <w:pPr>
        <w:rPr>
          <w:rFonts w:ascii="宋体" w:hAnsi="宋体" w:cs="宋体"/>
          <w:sz w:val="24"/>
          <w:highlight w:val="none"/>
        </w:rPr>
      </w:pPr>
    </w:p>
    <w:tbl>
      <w:tblPr>
        <w:tblStyle w:val="20"/>
        <w:tblW w:w="151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
        <w:gridCol w:w="1304"/>
        <w:gridCol w:w="2650"/>
        <w:gridCol w:w="780"/>
        <w:gridCol w:w="810"/>
        <w:gridCol w:w="1635"/>
        <w:gridCol w:w="1710"/>
        <w:gridCol w:w="5370"/>
      </w:tblGrid>
      <w:tr w14:paraId="528D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5110" w:type="dxa"/>
            <w:gridSpan w:val="8"/>
            <w:tcBorders>
              <w:top w:val="nil"/>
              <w:left w:val="nil"/>
              <w:bottom w:val="nil"/>
              <w:right w:val="nil"/>
            </w:tcBorders>
            <w:shd w:val="clear" w:color="auto" w:fill="auto"/>
            <w:vAlign w:val="top"/>
          </w:tcPr>
          <w:p w14:paraId="0B28DB5F">
            <w:pPr>
              <w:keepNext w:val="0"/>
              <w:keepLines w:val="0"/>
              <w:widowControl/>
              <w:suppressLineNumbers w:val="0"/>
              <w:jc w:val="center"/>
              <w:textAlignment w:val="top"/>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南海制剂中心实验室废气排放管道和风机环评验收改造项目工程量清单</w:t>
            </w:r>
          </w:p>
        </w:tc>
      </w:tr>
      <w:tr w14:paraId="3B831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A2F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编号</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148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品    名</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C56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规格/型号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02B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单位</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52D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数量</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0E3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综合单价 (</w:t>
            </w:r>
            <w:r>
              <w:rPr>
                <w:rFonts w:hint="eastAsia" w:ascii="宋体" w:hAnsi="宋体" w:eastAsia="宋体" w:cs="宋体"/>
                <w:i w:val="0"/>
                <w:iCs w:val="0"/>
                <w:color w:val="000000"/>
                <w:kern w:val="0"/>
                <w:sz w:val="20"/>
                <w:szCs w:val="20"/>
                <w:u w:val="none"/>
                <w:lang w:val="en-US" w:eastAsia="zh-CN" w:bidi="ar"/>
              </w:rPr>
              <w:t>元</w:t>
            </w:r>
            <w:r>
              <w:rPr>
                <w:rFonts w:ascii="宋体" w:hAnsi="宋体" w:eastAsia="宋体" w:cs="宋体"/>
                <w:i w:val="0"/>
                <w:iCs w:val="0"/>
                <w:color w:val="000000"/>
                <w:kern w:val="0"/>
                <w:sz w:val="20"/>
                <w:szCs w:val="20"/>
                <w:u w:val="none"/>
                <w:lang w:val="en-US"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171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总价(</w:t>
            </w:r>
            <w:r>
              <w:rPr>
                <w:rFonts w:hint="eastAsia" w:ascii="宋体" w:hAnsi="宋体" w:eastAsia="宋体" w:cs="宋体"/>
                <w:i w:val="0"/>
                <w:iCs w:val="0"/>
                <w:color w:val="000000"/>
                <w:kern w:val="0"/>
                <w:sz w:val="20"/>
                <w:szCs w:val="20"/>
                <w:u w:val="none"/>
                <w:lang w:val="en-US" w:eastAsia="zh-CN" w:bidi="ar"/>
              </w:rPr>
              <w:t>元</w:t>
            </w:r>
            <w:r>
              <w:rPr>
                <w:rFonts w:ascii="宋体" w:hAnsi="宋体" w:eastAsia="宋体" w:cs="宋体"/>
                <w:i w:val="0"/>
                <w:iCs w:val="0"/>
                <w:color w:val="000000"/>
                <w:kern w:val="0"/>
                <w:sz w:val="20"/>
                <w:szCs w:val="20"/>
                <w:u w:val="none"/>
                <w:lang w:val="en-US" w:eastAsia="zh-CN" w:bidi="ar"/>
              </w:rPr>
              <w:t>)</w:t>
            </w: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1A5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备        注</w:t>
            </w:r>
          </w:p>
        </w:tc>
      </w:tr>
      <w:tr w14:paraId="2A384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FC1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BDF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玻璃钢离心风机</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FFD2">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型号：F4-72-5A</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风量：7728-15455（m3/h）</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压力：3187-2019（Pa）</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转速：2900r/min</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功率：15KW</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B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B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8634">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29E8">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430B">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角度：右90</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配变频电机；</w:t>
            </w:r>
          </w:p>
          <w:p w14:paraId="44F4E769">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品牌：万通，九洲</w:t>
            </w:r>
          </w:p>
        </w:tc>
      </w:tr>
      <w:tr w14:paraId="0976B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1E8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0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防腐玻璃钢离心风机</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8C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型号：F4-72-4A</w:t>
            </w:r>
            <w:r>
              <w:rPr>
                <w:rStyle w:val="45"/>
                <w:lang w:val="en-US" w:eastAsia="zh-CN" w:bidi="ar"/>
              </w:rPr>
              <w:br w:type="textWrapping"/>
            </w:r>
            <w:r>
              <w:rPr>
                <w:rStyle w:val="45"/>
                <w:lang w:val="en-US" w:eastAsia="zh-CN" w:bidi="ar"/>
              </w:rPr>
              <w:t>风量：4012-7419（m3/h）</w:t>
            </w:r>
            <w:r>
              <w:rPr>
                <w:rStyle w:val="45"/>
                <w:lang w:val="en-US" w:eastAsia="zh-CN" w:bidi="ar"/>
              </w:rPr>
              <w:br w:type="textWrapping"/>
            </w:r>
            <w:r>
              <w:rPr>
                <w:rStyle w:val="45"/>
                <w:lang w:val="en-US" w:eastAsia="zh-CN" w:bidi="ar"/>
              </w:rPr>
              <w:t>压力：2014-1320（Pa）</w:t>
            </w:r>
            <w:r>
              <w:rPr>
                <w:rStyle w:val="45"/>
                <w:lang w:val="en-US" w:eastAsia="zh-CN" w:bidi="ar"/>
              </w:rPr>
              <w:br w:type="textWrapping"/>
            </w:r>
            <w:r>
              <w:rPr>
                <w:rStyle w:val="45"/>
                <w:lang w:val="en-US" w:eastAsia="zh-CN" w:bidi="ar"/>
              </w:rPr>
              <w:t>转速：2900r/min</w:t>
            </w:r>
            <w:r>
              <w:rPr>
                <w:rStyle w:val="45"/>
                <w:lang w:val="en-US" w:eastAsia="zh-CN" w:bidi="ar"/>
              </w:rPr>
              <w:br w:type="textWrapping"/>
            </w:r>
            <w:r>
              <w:rPr>
                <w:rStyle w:val="45"/>
                <w:lang w:val="en-US" w:eastAsia="zh-CN" w:bidi="ar"/>
              </w:rPr>
              <w:t>功率：5.5KW</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1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D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EED1">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59D8">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50FD">
            <w:pPr>
              <w:keepNext w:val="0"/>
              <w:keepLines w:val="0"/>
              <w:widowControl/>
              <w:suppressLineNumbers w:val="0"/>
              <w:jc w:val="left"/>
              <w:textAlignment w:val="center"/>
              <w:rPr>
                <w:rStyle w:val="45"/>
                <w:lang w:val="en-US" w:eastAsia="zh-CN" w:bidi="ar"/>
              </w:rPr>
            </w:pPr>
            <w:r>
              <w:rPr>
                <w:rStyle w:val="45"/>
                <w:lang w:val="en-US" w:eastAsia="zh-CN" w:bidi="ar"/>
              </w:rPr>
              <w:t>角度：右90</w:t>
            </w:r>
            <w:r>
              <w:rPr>
                <w:rStyle w:val="45"/>
                <w:lang w:val="en-US" w:eastAsia="zh-CN" w:bidi="ar"/>
              </w:rPr>
              <w:br w:type="textWrapping"/>
            </w:r>
            <w:r>
              <w:rPr>
                <w:rStyle w:val="45"/>
                <w:lang w:val="en-US" w:eastAsia="zh-CN" w:bidi="ar"/>
              </w:rPr>
              <w:t xml:space="preserve">配定频电机； </w:t>
            </w:r>
          </w:p>
          <w:p w14:paraId="785FE8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品牌：万通，九洲</w:t>
            </w:r>
          </w:p>
        </w:tc>
      </w:tr>
      <w:tr w14:paraId="3644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DAD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0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PP材质消声器</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25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规格： Φ700*L1000mm</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C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F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D092">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AD42">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28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配风机进出口；品牌：万通，五环</w:t>
            </w:r>
          </w:p>
        </w:tc>
      </w:tr>
      <w:tr w14:paraId="43FD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F89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4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A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PP材质消声器</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A9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规格： Φ500*L750mm</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C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6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0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4A8F">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10D1">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1F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利旧</w:t>
            </w:r>
          </w:p>
        </w:tc>
      </w:tr>
      <w:tr w14:paraId="0998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F1E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5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C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活性炭吸附箱</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2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处理风量：5000（m3/h）</w:t>
            </w:r>
            <w:r>
              <w:rPr>
                <w:rStyle w:val="45"/>
                <w:lang w:val="en-US" w:eastAsia="zh-CN" w:bidi="ar"/>
              </w:rPr>
              <w:br w:type="textWrapping"/>
            </w:r>
            <w:r>
              <w:rPr>
                <w:rStyle w:val="45"/>
                <w:lang w:val="en-US" w:eastAsia="zh-CN" w:bidi="ar"/>
              </w:rPr>
              <w:t>尺寸：1700*1300*2100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4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8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7766">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9C91">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A301">
            <w:pPr>
              <w:keepNext w:val="0"/>
              <w:keepLines w:val="0"/>
              <w:widowControl/>
              <w:suppressLineNumbers w:val="0"/>
              <w:jc w:val="left"/>
              <w:textAlignment w:val="center"/>
              <w:rPr>
                <w:rStyle w:val="45"/>
                <w:lang w:val="en-US" w:eastAsia="zh-CN" w:bidi="ar"/>
              </w:rPr>
            </w:pPr>
            <w:r>
              <w:rPr>
                <w:rStyle w:val="45"/>
                <w:lang w:val="en-US" w:eastAsia="zh-CN" w:bidi="ar"/>
              </w:rPr>
              <w:t>PP材质</w:t>
            </w:r>
            <w:r>
              <w:rPr>
                <w:rStyle w:val="45"/>
                <w:lang w:val="en-US" w:eastAsia="zh-CN" w:bidi="ar"/>
              </w:rPr>
              <w:br w:type="textWrapping"/>
            </w:r>
            <w:r>
              <w:rPr>
                <w:rStyle w:val="45"/>
                <w:lang w:val="en-US" w:eastAsia="zh-CN" w:bidi="ar"/>
              </w:rPr>
              <w:t>过风面积： 1.44m²</w:t>
            </w:r>
            <w:r>
              <w:rPr>
                <w:rStyle w:val="45"/>
                <w:lang w:val="en-US" w:eastAsia="zh-CN" w:bidi="ar"/>
              </w:rPr>
              <w:br w:type="textWrapping"/>
            </w:r>
            <w:r>
              <w:rPr>
                <w:rStyle w:val="45"/>
                <w:lang w:val="en-US" w:eastAsia="zh-CN" w:bidi="ar"/>
              </w:rPr>
              <w:t>4个炭格（每个尺寸：600*600*600mm）</w:t>
            </w:r>
            <w:r>
              <w:rPr>
                <w:rStyle w:val="45"/>
                <w:lang w:val="en-US" w:eastAsia="zh-CN" w:bidi="ar"/>
              </w:rPr>
              <w:br w:type="textWrapping"/>
            </w:r>
            <w:r>
              <w:rPr>
                <w:rStyle w:val="45"/>
                <w:lang w:val="en-US" w:eastAsia="zh-CN" w:bidi="ar"/>
              </w:rPr>
              <w:t>含2层864块800碘值蜂窝活性炭</w:t>
            </w:r>
            <w:r>
              <w:rPr>
                <w:rStyle w:val="45"/>
                <w:lang w:val="en-US" w:eastAsia="zh-CN" w:bidi="ar"/>
              </w:rPr>
              <w:br w:type="textWrapping"/>
            </w:r>
            <w:r>
              <w:rPr>
                <w:rStyle w:val="45"/>
                <w:lang w:val="en-US" w:eastAsia="zh-CN" w:bidi="ar"/>
              </w:rPr>
              <w:t>每层填装厚度600mm；</w:t>
            </w:r>
          </w:p>
          <w:p w14:paraId="1AE8D6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品牌：万通，五环</w:t>
            </w:r>
          </w:p>
        </w:tc>
      </w:tr>
      <w:tr w14:paraId="3EA4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149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6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A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活性炭吸附箱</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95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处理风量： 11000（m3/h）</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尺寸：2200*1400*2300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4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4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E571">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FC81">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9E6C">
            <w:pPr>
              <w:keepNext w:val="0"/>
              <w:keepLines w:val="0"/>
              <w:widowControl/>
              <w:suppressLineNumbers w:val="0"/>
              <w:jc w:val="left"/>
              <w:textAlignment w:val="center"/>
              <w:rPr>
                <w:rStyle w:val="45"/>
                <w:lang w:val="en-US" w:eastAsia="zh-CN" w:bidi="ar"/>
              </w:rPr>
            </w:pPr>
            <w:r>
              <w:rPr>
                <w:rStyle w:val="45"/>
                <w:lang w:val="en-US" w:eastAsia="zh-CN" w:bidi="ar"/>
              </w:rPr>
              <w:t>PP材质</w:t>
            </w:r>
            <w:r>
              <w:rPr>
                <w:rStyle w:val="45"/>
                <w:lang w:val="en-US" w:eastAsia="zh-CN" w:bidi="ar"/>
              </w:rPr>
              <w:br w:type="textWrapping"/>
            </w:r>
            <w:r>
              <w:rPr>
                <w:rStyle w:val="45"/>
                <w:lang w:val="en-US" w:eastAsia="zh-CN" w:bidi="ar"/>
              </w:rPr>
              <w:t>过风面积：2.88m²</w:t>
            </w:r>
            <w:r>
              <w:rPr>
                <w:rStyle w:val="45"/>
                <w:lang w:val="en-US" w:eastAsia="zh-CN" w:bidi="ar"/>
              </w:rPr>
              <w:br w:type="textWrapping"/>
            </w:r>
            <w:r>
              <w:rPr>
                <w:rStyle w:val="45"/>
                <w:lang w:val="en-US" w:eastAsia="zh-CN" w:bidi="ar"/>
              </w:rPr>
              <w:t>16个炭格（每个尺寸：600*600*300mm）</w:t>
            </w:r>
            <w:r>
              <w:rPr>
                <w:rStyle w:val="45"/>
                <w:lang w:val="en-US" w:eastAsia="zh-CN" w:bidi="ar"/>
              </w:rPr>
              <w:br w:type="textWrapping"/>
            </w:r>
            <w:r>
              <w:rPr>
                <w:rStyle w:val="45"/>
                <w:lang w:val="en-US" w:eastAsia="zh-CN" w:bidi="ar"/>
              </w:rPr>
              <w:t>含4层1728块800碘值蜂窝活性炭</w:t>
            </w:r>
            <w:r>
              <w:rPr>
                <w:rStyle w:val="45"/>
                <w:lang w:val="en-US" w:eastAsia="zh-CN" w:bidi="ar"/>
              </w:rPr>
              <w:br w:type="textWrapping"/>
            </w:r>
            <w:r>
              <w:rPr>
                <w:rStyle w:val="45"/>
                <w:lang w:val="en-US" w:eastAsia="zh-CN" w:bidi="ar"/>
              </w:rPr>
              <w:t>每层填装厚度300mm；</w:t>
            </w:r>
          </w:p>
          <w:p w14:paraId="4AE9D9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品牌：万通，五环</w:t>
            </w:r>
          </w:p>
        </w:tc>
      </w:tr>
      <w:tr w14:paraId="141E8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26B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7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7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PP通风管道</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2D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De700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9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C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6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74F1">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A7FB">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1A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2A1B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946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8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5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配套弯头直通</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33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De700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7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5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6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BD4D">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7657">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2B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1051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A61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9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3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PP通风管道</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D5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De315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9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D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9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FC15">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BC77">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A2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33475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985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10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E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配套弯头直通</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30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De315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E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E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8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0D0F">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3E0">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D5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2735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54D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11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A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楼板开孔</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0213BCA">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F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D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10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1171">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8F0F">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4028A704">
            <w:pPr>
              <w:jc w:val="left"/>
              <w:rPr>
                <w:rFonts w:hint="default" w:ascii="Arial" w:hAnsi="Arial" w:cs="Arial"/>
                <w:i w:val="0"/>
                <w:iCs w:val="0"/>
                <w:color w:val="000000"/>
                <w:sz w:val="22"/>
                <w:szCs w:val="22"/>
                <w:u w:val="none"/>
              </w:rPr>
            </w:pPr>
          </w:p>
        </w:tc>
      </w:tr>
      <w:tr w14:paraId="077EF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9F5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12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C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租用高空作业车</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7701C812">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2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1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E5A1">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78D9">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4D46E8B9">
            <w:pPr>
              <w:jc w:val="left"/>
              <w:rPr>
                <w:rFonts w:hint="default" w:ascii="Arial" w:hAnsi="Arial" w:cs="Arial"/>
                <w:i w:val="0"/>
                <w:iCs w:val="0"/>
                <w:color w:val="000000"/>
                <w:sz w:val="22"/>
                <w:szCs w:val="22"/>
                <w:u w:val="none"/>
              </w:rPr>
            </w:pPr>
          </w:p>
        </w:tc>
      </w:tr>
      <w:tr w14:paraId="5F624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850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13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E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吊车</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CDA69DD">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7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D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EA97">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5112">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1018449C">
            <w:pPr>
              <w:jc w:val="left"/>
              <w:rPr>
                <w:rFonts w:hint="default" w:ascii="Arial" w:hAnsi="Arial" w:cs="Arial"/>
                <w:i w:val="0"/>
                <w:iCs w:val="0"/>
                <w:color w:val="000000"/>
                <w:sz w:val="22"/>
                <w:szCs w:val="22"/>
                <w:u w:val="none"/>
              </w:rPr>
            </w:pPr>
          </w:p>
        </w:tc>
      </w:tr>
      <w:tr w14:paraId="05612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FA9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14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1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拆装彩钢板、天花</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F72AF5B">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4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8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FAD7">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28BC">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A0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4、7楼</w:t>
            </w:r>
          </w:p>
        </w:tc>
      </w:tr>
      <w:tr w14:paraId="213D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3FD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15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4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天面及外墙洞口防水</w:t>
            </w:r>
            <w:r>
              <w:rPr>
                <w:rStyle w:val="45"/>
                <w:lang w:val="en-US" w:eastAsia="zh-CN" w:bidi="ar"/>
              </w:rPr>
              <w:br w:type="textWrapping"/>
            </w:r>
            <w:r>
              <w:rPr>
                <w:rStyle w:val="45"/>
                <w:lang w:val="en-US" w:eastAsia="zh-CN" w:bidi="ar"/>
              </w:rPr>
              <w:t>施工</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0297215D">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2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9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0927">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E13B">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618A5677">
            <w:pPr>
              <w:jc w:val="left"/>
              <w:rPr>
                <w:rFonts w:hint="default" w:ascii="Arial" w:hAnsi="Arial" w:cs="Arial"/>
                <w:i w:val="0"/>
                <w:iCs w:val="0"/>
                <w:color w:val="000000"/>
                <w:sz w:val="22"/>
                <w:szCs w:val="22"/>
                <w:u w:val="none"/>
              </w:rPr>
            </w:pPr>
          </w:p>
        </w:tc>
      </w:tr>
      <w:tr w14:paraId="460E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D8F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16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3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拆活性炭过滤机箱移位</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03EDF958">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8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2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4303">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D108">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7C838AA9">
            <w:pPr>
              <w:jc w:val="left"/>
              <w:rPr>
                <w:rFonts w:hint="default" w:ascii="Arial" w:hAnsi="Arial" w:cs="Arial"/>
                <w:i w:val="0"/>
                <w:iCs w:val="0"/>
                <w:color w:val="000000"/>
                <w:sz w:val="22"/>
                <w:szCs w:val="22"/>
                <w:u w:val="none"/>
              </w:rPr>
            </w:pPr>
          </w:p>
        </w:tc>
      </w:tr>
      <w:tr w14:paraId="426F2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B42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17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C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四楼万向罩风管连接</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43A42E05">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8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9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10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0496">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BC1E">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525AADF7">
            <w:pPr>
              <w:jc w:val="left"/>
              <w:rPr>
                <w:rFonts w:hint="default" w:ascii="Arial" w:hAnsi="Arial" w:cs="Arial"/>
                <w:i w:val="0"/>
                <w:iCs w:val="0"/>
                <w:color w:val="000000"/>
                <w:sz w:val="22"/>
                <w:szCs w:val="22"/>
                <w:u w:val="none"/>
              </w:rPr>
            </w:pPr>
          </w:p>
        </w:tc>
      </w:tr>
      <w:tr w14:paraId="0D8E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893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18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3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通风管道保温</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AF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25mm,B1级难燃橡塑材料</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F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7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10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47F4">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788C">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BD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品牌：华美</w:t>
            </w:r>
          </w:p>
        </w:tc>
      </w:tr>
      <w:tr w14:paraId="3660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7B6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19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A0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取样口</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695DF36E">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5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4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469D">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850E">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1E07F460">
            <w:pPr>
              <w:jc w:val="left"/>
              <w:rPr>
                <w:rFonts w:hint="default" w:ascii="Arial" w:hAnsi="Arial" w:cs="Arial"/>
                <w:i w:val="0"/>
                <w:iCs w:val="0"/>
                <w:color w:val="000000"/>
                <w:sz w:val="22"/>
                <w:szCs w:val="22"/>
                <w:u w:val="none"/>
              </w:rPr>
            </w:pPr>
          </w:p>
        </w:tc>
      </w:tr>
      <w:tr w14:paraId="6F15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2EB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20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C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风管配件</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24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风管配套弯头及直通</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2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A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8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423A">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82F1">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77382818">
            <w:pPr>
              <w:jc w:val="left"/>
              <w:rPr>
                <w:rFonts w:hint="default" w:ascii="Arial" w:hAnsi="Arial" w:cs="Arial"/>
                <w:i w:val="0"/>
                <w:iCs w:val="0"/>
                <w:color w:val="000000"/>
                <w:sz w:val="22"/>
                <w:szCs w:val="22"/>
                <w:u w:val="none"/>
              </w:rPr>
            </w:pPr>
          </w:p>
        </w:tc>
      </w:tr>
      <w:tr w14:paraId="3CC9A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209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21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C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万向罩电动互锁装置</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72BD506F">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5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D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D9C4">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9750">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3A8938A3">
            <w:pPr>
              <w:jc w:val="left"/>
              <w:rPr>
                <w:rFonts w:hint="default" w:ascii="Arial" w:hAnsi="Arial" w:cs="Arial"/>
                <w:i w:val="0"/>
                <w:iCs w:val="0"/>
                <w:color w:val="000000"/>
                <w:sz w:val="22"/>
                <w:szCs w:val="22"/>
                <w:u w:val="none"/>
              </w:rPr>
            </w:pPr>
          </w:p>
        </w:tc>
      </w:tr>
      <w:tr w14:paraId="3293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A86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22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2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15kW自控配电柜</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751AB607">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E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3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14F6">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7E34">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B2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品牌：藤汇、华坤</w:t>
            </w:r>
          </w:p>
        </w:tc>
      </w:tr>
      <w:tr w14:paraId="50681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49F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23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A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5.5KW自控配电柜</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435DB385">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4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6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A5BD">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88C5">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91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品牌：藤汇、华坤</w:t>
            </w:r>
          </w:p>
        </w:tc>
      </w:tr>
      <w:tr w14:paraId="6F96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853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24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E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变频器5.5KW</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4904F2CA">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3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D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02DF">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88EE">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BB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品牌：施耐德，正泰</w:t>
            </w:r>
          </w:p>
        </w:tc>
      </w:tr>
      <w:tr w14:paraId="1EF4D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32F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25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6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变频器15kW</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6B0A4BEB">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C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7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148F">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3532">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63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品牌：施耐德，正泰</w:t>
            </w:r>
          </w:p>
        </w:tc>
      </w:tr>
      <w:tr w14:paraId="6973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710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26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9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电动比例调节阀</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63598A16">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D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F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6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0EE4">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132F">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15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0AE1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337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27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D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控制线</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0F74058B">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3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9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6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42AC">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BAC5">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B7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品牌：南洋、远洋</w:t>
            </w:r>
          </w:p>
        </w:tc>
      </w:tr>
      <w:tr w14:paraId="5CA59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FB6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28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C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耐酸碱风管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3D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万向罩4楼至天面耐酸碱外墙风管</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A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B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20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63FA">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F839">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B1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46237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3A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29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D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耐酸碱风管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DC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配套弯头三通</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3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2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4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AB23">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E5BE">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5A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2D56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2D2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30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4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耐酸碱风管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01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配套电动阀</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4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D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135B">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7E0F">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8D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品牌：熙诚，五环</w:t>
            </w:r>
          </w:p>
        </w:tc>
      </w:tr>
      <w:tr w14:paraId="0E25D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800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31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1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电线电缆</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8F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5x16mm2，新增风机电缆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5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D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25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751C">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9EAD">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FB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品牌：南洋、广州电缆厂</w:t>
            </w:r>
          </w:p>
        </w:tc>
      </w:tr>
      <w:tr w14:paraId="7D573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359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32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0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电线电缆</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9E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5x6mm2，新增风机电缆</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0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F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30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04E0">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6DDF">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77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品牌：南洋、广州电缆厂</w:t>
            </w:r>
          </w:p>
        </w:tc>
      </w:tr>
      <w:tr w14:paraId="5714C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506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33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PVC线管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2E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sc40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3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8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45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38B6">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13D2">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A0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品牌：联塑</w:t>
            </w:r>
          </w:p>
        </w:tc>
      </w:tr>
      <w:tr w14:paraId="6743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B45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34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2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设备支架</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B9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风机设备支架</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4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7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2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6AB5">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26C4">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14121420">
            <w:pPr>
              <w:jc w:val="left"/>
              <w:rPr>
                <w:rFonts w:hint="default" w:ascii="Arial" w:hAnsi="Arial" w:cs="Arial"/>
                <w:i w:val="0"/>
                <w:iCs w:val="0"/>
                <w:color w:val="000000"/>
                <w:sz w:val="22"/>
                <w:szCs w:val="22"/>
                <w:u w:val="none"/>
              </w:rPr>
            </w:pPr>
          </w:p>
        </w:tc>
      </w:tr>
      <w:tr w14:paraId="0383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AFE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35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B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排风机移位</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55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5"/>
                <w:lang w:val="en-US" w:eastAsia="zh-CN" w:bidi="ar"/>
              </w:rPr>
              <w:t>提取车间排风机移位安装</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7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E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BB52">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A176">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09A94515">
            <w:pPr>
              <w:jc w:val="left"/>
              <w:rPr>
                <w:rFonts w:hint="default" w:ascii="Arial" w:hAnsi="Arial" w:cs="Arial"/>
                <w:i w:val="0"/>
                <w:iCs w:val="0"/>
                <w:color w:val="000000"/>
                <w:sz w:val="22"/>
                <w:szCs w:val="22"/>
                <w:u w:val="none"/>
              </w:rPr>
            </w:pPr>
          </w:p>
        </w:tc>
      </w:tr>
      <w:tr w14:paraId="7964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FB2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36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A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提取车间配电改造</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3F70C846">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B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2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E0AC">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F186">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045D4405">
            <w:pPr>
              <w:jc w:val="left"/>
              <w:rPr>
                <w:rFonts w:hint="default" w:ascii="Arial" w:hAnsi="Arial" w:cs="Arial"/>
                <w:i w:val="0"/>
                <w:iCs w:val="0"/>
                <w:color w:val="000000"/>
                <w:sz w:val="22"/>
                <w:szCs w:val="22"/>
                <w:u w:val="none"/>
              </w:rPr>
            </w:pPr>
          </w:p>
        </w:tc>
      </w:tr>
      <w:tr w14:paraId="740C8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84F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37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8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提取车间增加管道</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1B7770B1">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3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E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BFAA">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0055">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6590A592">
            <w:pPr>
              <w:jc w:val="left"/>
              <w:rPr>
                <w:rFonts w:hint="default" w:ascii="Arial" w:hAnsi="Arial" w:cs="Arial"/>
                <w:i w:val="0"/>
                <w:iCs w:val="0"/>
                <w:color w:val="000000"/>
                <w:sz w:val="22"/>
                <w:szCs w:val="22"/>
                <w:u w:val="none"/>
              </w:rPr>
            </w:pPr>
          </w:p>
        </w:tc>
      </w:tr>
      <w:tr w14:paraId="24C4D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B02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38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6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风管支架</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8C4766D">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3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0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12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2FC">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916B">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50EBF1CE">
            <w:pPr>
              <w:jc w:val="left"/>
              <w:rPr>
                <w:rFonts w:hint="default" w:ascii="Arial" w:hAnsi="Arial" w:cs="Arial"/>
                <w:i w:val="0"/>
                <w:iCs w:val="0"/>
                <w:color w:val="000000"/>
                <w:sz w:val="22"/>
                <w:szCs w:val="22"/>
                <w:u w:val="none"/>
              </w:rPr>
            </w:pPr>
          </w:p>
        </w:tc>
      </w:tr>
      <w:tr w14:paraId="76ED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16E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39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C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设备调试</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874EFA8">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C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4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EE1E">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5732">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7F538161">
            <w:pPr>
              <w:jc w:val="left"/>
              <w:rPr>
                <w:rFonts w:hint="default" w:ascii="Arial" w:hAnsi="Arial" w:cs="Arial"/>
                <w:i w:val="0"/>
                <w:iCs w:val="0"/>
                <w:color w:val="000000"/>
                <w:sz w:val="22"/>
                <w:szCs w:val="22"/>
                <w:u w:val="none"/>
              </w:rPr>
            </w:pPr>
          </w:p>
        </w:tc>
      </w:tr>
      <w:tr w14:paraId="18044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F96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40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3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安装人工费</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top"/>
          </w:tcPr>
          <w:p w14:paraId="4657767B">
            <w:pPr>
              <w:jc w:val="left"/>
              <w:rPr>
                <w:rFonts w:hint="default" w:ascii="Arial" w:hAnsi="Arial" w:cs="Arial"/>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9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E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DE99">
            <w:pPr>
              <w:jc w:val="center"/>
              <w:rPr>
                <w:rFonts w:hint="eastAsia" w:ascii="宋体" w:hAnsi="宋体" w:eastAsia="宋体" w:cs="宋体"/>
                <w:i w:val="0"/>
                <w:iCs w:val="0"/>
                <w:color w:val="000000"/>
                <w:sz w:val="18"/>
                <w:szCs w:val="18"/>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F99C">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19E7A133">
            <w:pPr>
              <w:jc w:val="left"/>
              <w:rPr>
                <w:rFonts w:hint="default" w:ascii="Arial" w:hAnsi="Arial" w:cs="Arial"/>
                <w:i w:val="0"/>
                <w:iCs w:val="0"/>
                <w:color w:val="000000"/>
                <w:sz w:val="22"/>
                <w:szCs w:val="22"/>
                <w:u w:val="none"/>
              </w:rPr>
            </w:pPr>
          </w:p>
        </w:tc>
      </w:tr>
      <w:tr w14:paraId="5A646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75D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 xml:space="preserve">41 </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9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税金</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CE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top"/>
          </w:tcPr>
          <w:p w14:paraId="193A388E">
            <w:pPr>
              <w:jc w:val="left"/>
              <w:rPr>
                <w:rFonts w:hint="default" w:ascii="Arial" w:hAnsi="Arial" w:cs="Arial"/>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top"/>
          </w:tcPr>
          <w:p w14:paraId="54241A4F">
            <w:pPr>
              <w:jc w:val="left"/>
              <w:rPr>
                <w:rFonts w:hint="default" w:ascii="Arial" w:hAnsi="Arial" w:cs="Arial"/>
                <w:i w:val="0"/>
                <w:iCs w:val="0"/>
                <w:color w:val="000000"/>
                <w:sz w:val="22"/>
                <w:szCs w:val="22"/>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top"/>
          </w:tcPr>
          <w:p w14:paraId="04BD3478">
            <w:pPr>
              <w:jc w:val="left"/>
              <w:rPr>
                <w:rFonts w:hint="default" w:ascii="Arial" w:hAnsi="Arial" w:cs="Arial"/>
                <w:i w:val="0"/>
                <w:iCs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4BA5">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52BAACEE">
            <w:pPr>
              <w:jc w:val="left"/>
              <w:rPr>
                <w:rFonts w:hint="default" w:ascii="Arial" w:hAnsi="Arial" w:cs="Arial"/>
                <w:i w:val="0"/>
                <w:iCs w:val="0"/>
                <w:color w:val="000000"/>
                <w:sz w:val="22"/>
                <w:szCs w:val="22"/>
                <w:u w:val="none"/>
              </w:rPr>
            </w:pPr>
          </w:p>
        </w:tc>
      </w:tr>
      <w:tr w14:paraId="77DB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top"/>
          </w:tcPr>
          <w:p w14:paraId="64830D43">
            <w:pPr>
              <w:jc w:val="left"/>
              <w:rPr>
                <w:rFonts w:hint="default" w:ascii="Arial" w:hAnsi="Arial" w:cs="Arial"/>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4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5"/>
                <w:lang w:val="en-US" w:eastAsia="zh-CN" w:bidi="ar"/>
              </w:rPr>
              <w:t>合计</w:t>
            </w:r>
          </w:p>
        </w:tc>
        <w:tc>
          <w:tcPr>
            <w:tcW w:w="5875"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57EEC4A">
            <w:pPr>
              <w:jc w:val="left"/>
              <w:rPr>
                <w:rFonts w:hint="default" w:ascii="Arial" w:hAnsi="Arial" w:cs="Arial"/>
                <w:i w:val="0"/>
                <w:iCs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F87D">
            <w:pPr>
              <w:jc w:val="center"/>
              <w:rPr>
                <w:rFonts w:hint="eastAsia" w:ascii="宋体" w:hAnsi="宋体" w:eastAsia="宋体" w:cs="宋体"/>
                <w:i w:val="0"/>
                <w:iCs w:val="0"/>
                <w:color w:val="000000"/>
                <w:sz w:val="18"/>
                <w:szCs w:val="18"/>
                <w:u w:val="none"/>
              </w:rPr>
            </w:pPr>
          </w:p>
        </w:tc>
        <w:tc>
          <w:tcPr>
            <w:tcW w:w="5370" w:type="dxa"/>
            <w:tcBorders>
              <w:top w:val="single" w:color="000000" w:sz="4" w:space="0"/>
              <w:left w:val="single" w:color="000000" w:sz="4" w:space="0"/>
              <w:bottom w:val="single" w:color="000000" w:sz="4" w:space="0"/>
              <w:right w:val="single" w:color="000000" w:sz="4" w:space="0"/>
            </w:tcBorders>
            <w:shd w:val="clear" w:color="auto" w:fill="auto"/>
            <w:vAlign w:val="top"/>
          </w:tcPr>
          <w:p w14:paraId="06068CBF">
            <w:pPr>
              <w:jc w:val="left"/>
              <w:rPr>
                <w:rFonts w:hint="default" w:ascii="Arial" w:hAnsi="Arial" w:cs="Arial"/>
                <w:i w:val="0"/>
                <w:iCs w:val="0"/>
                <w:color w:val="000000"/>
                <w:sz w:val="22"/>
                <w:szCs w:val="22"/>
                <w:u w:val="none"/>
              </w:rPr>
            </w:pPr>
          </w:p>
        </w:tc>
      </w:tr>
    </w:tbl>
    <w:p w14:paraId="598E8EA1">
      <w:pPr>
        <w:pStyle w:val="6"/>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0"/>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0"/>
        <w:rPr>
          <w:sz w:val="24"/>
        </w:rPr>
      </w:pPr>
    </w:p>
    <w:p w14:paraId="31E69853">
      <w:pPr>
        <w:pStyle w:val="11"/>
        <w:rPr>
          <w:rFonts w:hint="eastAsia"/>
        </w:rPr>
      </w:pPr>
    </w:p>
    <w:p w14:paraId="4E973C00">
      <w:pPr>
        <w:pStyle w:val="10"/>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4769FE7">
      <w:pPr>
        <w:spacing w:line="360" w:lineRule="auto"/>
        <w:ind w:firstLine="3542" w:firstLineChars="1476"/>
        <w:jc w:val="left"/>
        <w:rPr>
          <w:rFonts w:hint="eastAsia" w:ascii="宋体" w:hAnsi="宋体" w:cs="宋体"/>
          <w:sz w:val="24"/>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79553495">
      <w:pPr>
        <w:pStyle w:val="19"/>
        <w:ind w:left="0" w:leftChars="0" w:firstLine="0" w:firstLineChars="0"/>
        <w:rPr>
          <w:rFonts w:hint="eastAsia" w:ascii="宋体" w:hAnsi="宋体" w:cs="宋体"/>
          <w:sz w:val="24"/>
        </w:rPr>
        <w:sectPr>
          <w:pgSz w:w="16838" w:h="11906" w:orient="landscape"/>
          <w:pgMar w:top="1418" w:right="851" w:bottom="1418" w:left="851" w:header="851" w:footer="992" w:gutter="0"/>
          <w:pgNumType w:fmt="decimal"/>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4"/>
        <w:rPr>
          <w:rFonts w:hint="eastAsia" w:asciiTheme="minorEastAsia" w:hAnsiTheme="minorEastAsia" w:cstheme="minorEastAsia"/>
          <w:color w:val="auto"/>
          <w:sz w:val="28"/>
          <w:szCs w:val="28"/>
          <w:lang w:val="en-US" w:eastAsia="zh-CN"/>
        </w:rPr>
      </w:pPr>
    </w:p>
    <w:p w14:paraId="00553167">
      <w:pPr>
        <w:pStyle w:val="4"/>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cs="宋体"/>
          <w:b/>
          <w:bCs/>
          <w:color w:val="000000" w:themeColor="text1"/>
          <w:kern w:val="0"/>
          <w:sz w:val="32"/>
          <w:szCs w:val="32"/>
          <w:lang w:val="en-US" w:eastAsia="zh-CN" w:bidi="ar-SA"/>
          <w14:textFill>
            <w14:solidFill>
              <w14:schemeClr w14:val="tx1"/>
            </w14:solidFill>
          </w14:textFill>
        </w:rPr>
        <w:t>供应商</w:t>
      </w:r>
      <w:r>
        <w:rPr>
          <w:rFonts w:hint="eastAsia" w:ascii="宋体" w:hAnsi="宋体" w:eastAsia="宋体" w:cs="Times New Roman"/>
          <w:b/>
          <w:sz w:val="32"/>
          <w:szCs w:val="32"/>
          <w:lang w:val="en-US" w:eastAsia="zh-CN"/>
        </w:rPr>
        <w:t>资质</w:t>
      </w:r>
    </w:p>
    <w:p w14:paraId="0DE93C64">
      <w:pPr>
        <w:numPr>
          <w:ilvl w:val="0"/>
          <w:numId w:val="0"/>
        </w:numPr>
        <w:spacing w:line="500" w:lineRule="atLeast"/>
        <w:ind w:leftChars="0"/>
        <w:rPr>
          <w:rFonts w:hint="eastAsia"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lang w:val="en-US" w:eastAsia="zh-CN"/>
        </w:rPr>
        <w:t>具备</w:t>
      </w:r>
      <w:r>
        <w:rPr>
          <w:rFonts w:hint="eastAsia" w:ascii="宋体" w:hAnsi="宋体" w:cs="宋体"/>
          <w:sz w:val="24"/>
        </w:rPr>
        <w:t>有</w:t>
      </w:r>
      <w:r>
        <w:rPr>
          <w:rFonts w:hint="eastAsia" w:ascii="宋体" w:hAnsi="宋体" w:cs="宋体"/>
          <w:color w:val="auto"/>
          <w:sz w:val="24"/>
        </w:rPr>
        <w:t>效</w:t>
      </w:r>
      <w:r>
        <w:rPr>
          <w:rFonts w:hint="eastAsia" w:ascii="宋体" w:hAnsi="宋体" w:eastAsia="宋体" w:cs="宋体"/>
          <w:color w:val="auto"/>
          <w:sz w:val="24"/>
        </w:rPr>
        <w:t>期内的</w:t>
      </w:r>
      <w:r>
        <w:rPr>
          <w:rFonts w:hint="eastAsia" w:ascii="宋体" w:hAnsi="宋体" w:cs="宋体"/>
          <w:color w:val="auto"/>
          <w:sz w:val="24"/>
          <w:lang w:val="en-US" w:eastAsia="zh-CN"/>
        </w:rPr>
        <w:t>建筑机电安装工程</w:t>
      </w:r>
      <w:r>
        <w:rPr>
          <w:rFonts w:hint="eastAsia" w:ascii="宋体" w:hAnsi="宋体" w:cs="宋体"/>
          <w:sz w:val="24"/>
          <w:lang w:val="en-US" w:eastAsia="zh-CN"/>
        </w:rPr>
        <w:t>专业承包二级或以上。</w:t>
      </w:r>
    </w:p>
    <w:p w14:paraId="29FDD881">
      <w:pPr>
        <w:pStyle w:val="4"/>
        <w:widowControl w:val="0"/>
        <w:numPr>
          <w:ilvl w:val="0"/>
          <w:numId w:val="0"/>
        </w:numPr>
        <w:jc w:val="both"/>
        <w:rPr>
          <w:rFonts w:hint="eastAsia"/>
          <w:lang w:val="en-US" w:eastAsia="zh-CN"/>
        </w:rPr>
      </w:pPr>
    </w:p>
    <w:p w14:paraId="57BDF59F">
      <w:pPr>
        <w:pStyle w:val="4"/>
        <w:widowControl w:val="0"/>
        <w:numPr>
          <w:ilvl w:val="0"/>
          <w:numId w:val="0"/>
        </w:numPr>
        <w:jc w:val="both"/>
        <w:rPr>
          <w:rFonts w:hint="eastAsia"/>
          <w:lang w:val="en-US" w:eastAsia="zh-CN"/>
        </w:rPr>
      </w:pPr>
    </w:p>
    <w:p w14:paraId="6095B07D">
      <w:pPr>
        <w:pStyle w:val="4"/>
        <w:widowControl w:val="0"/>
        <w:numPr>
          <w:ilvl w:val="0"/>
          <w:numId w:val="0"/>
        </w:numPr>
        <w:jc w:val="both"/>
        <w:rPr>
          <w:rFonts w:hint="eastAsia"/>
          <w:lang w:val="en-US" w:eastAsia="zh-CN"/>
        </w:rPr>
      </w:pPr>
    </w:p>
    <w:p w14:paraId="1332AB12">
      <w:pPr>
        <w:pStyle w:val="4"/>
        <w:widowControl w:val="0"/>
        <w:numPr>
          <w:ilvl w:val="0"/>
          <w:numId w:val="0"/>
        </w:numPr>
        <w:jc w:val="both"/>
        <w:rPr>
          <w:rFonts w:hint="eastAsia"/>
          <w:lang w:val="en-US" w:eastAsia="zh-CN"/>
        </w:rPr>
      </w:pPr>
    </w:p>
    <w:p w14:paraId="7EE37746">
      <w:pPr>
        <w:pStyle w:val="4"/>
        <w:widowControl w:val="0"/>
        <w:numPr>
          <w:ilvl w:val="0"/>
          <w:numId w:val="0"/>
        </w:numPr>
        <w:jc w:val="both"/>
        <w:rPr>
          <w:rFonts w:hint="eastAsia"/>
          <w:lang w:val="en-US" w:eastAsia="zh-CN"/>
        </w:rPr>
      </w:pPr>
    </w:p>
    <w:p w14:paraId="6E153ADD">
      <w:pPr>
        <w:pStyle w:val="4"/>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4"/>
        <w:widowControl w:val="0"/>
        <w:numPr>
          <w:ilvl w:val="0"/>
          <w:numId w:val="0"/>
        </w:numPr>
        <w:jc w:val="both"/>
        <w:rPr>
          <w:rFonts w:hint="eastAsia"/>
          <w:lang w:val="en-US" w:eastAsia="zh-CN"/>
        </w:rPr>
      </w:pPr>
    </w:p>
    <w:p w14:paraId="470AD0E9">
      <w:pPr>
        <w:pStyle w:val="4"/>
        <w:widowControl w:val="0"/>
        <w:numPr>
          <w:ilvl w:val="0"/>
          <w:numId w:val="0"/>
        </w:numPr>
        <w:jc w:val="both"/>
        <w:rPr>
          <w:rFonts w:hint="eastAsia"/>
          <w:lang w:val="en-US" w:eastAsia="zh-CN"/>
        </w:rPr>
      </w:pPr>
    </w:p>
    <w:p w14:paraId="4C3D8823">
      <w:pPr>
        <w:pStyle w:val="4"/>
        <w:widowControl w:val="0"/>
        <w:numPr>
          <w:ilvl w:val="0"/>
          <w:numId w:val="0"/>
        </w:numPr>
        <w:jc w:val="both"/>
        <w:rPr>
          <w:rFonts w:hint="eastAsia"/>
          <w:lang w:val="en-US" w:eastAsia="zh-CN"/>
        </w:rPr>
      </w:pPr>
    </w:p>
    <w:p w14:paraId="03CBA4C6">
      <w:pPr>
        <w:pStyle w:val="4"/>
        <w:widowControl w:val="0"/>
        <w:numPr>
          <w:ilvl w:val="0"/>
          <w:numId w:val="0"/>
        </w:numPr>
        <w:jc w:val="both"/>
        <w:rPr>
          <w:rFonts w:hint="eastAsia"/>
          <w:lang w:val="en-US" w:eastAsia="zh-CN"/>
        </w:rPr>
      </w:pPr>
    </w:p>
    <w:p w14:paraId="482EA1C0">
      <w:pPr>
        <w:pStyle w:val="4"/>
        <w:widowControl w:val="0"/>
        <w:numPr>
          <w:ilvl w:val="0"/>
          <w:numId w:val="0"/>
        </w:numPr>
        <w:jc w:val="both"/>
        <w:rPr>
          <w:rFonts w:hint="eastAsia"/>
          <w:lang w:val="en-US" w:eastAsia="zh-CN"/>
        </w:rPr>
      </w:pPr>
    </w:p>
    <w:p w14:paraId="54E76E68">
      <w:pPr>
        <w:pStyle w:val="4"/>
        <w:widowControl w:val="0"/>
        <w:numPr>
          <w:ilvl w:val="0"/>
          <w:numId w:val="0"/>
        </w:numPr>
        <w:jc w:val="both"/>
        <w:rPr>
          <w:rFonts w:hint="eastAsia"/>
          <w:lang w:val="en-US" w:eastAsia="zh-CN"/>
        </w:rPr>
      </w:pPr>
    </w:p>
    <w:p w14:paraId="62C1E64F">
      <w:pPr>
        <w:pStyle w:val="4"/>
        <w:widowControl w:val="0"/>
        <w:numPr>
          <w:ilvl w:val="0"/>
          <w:numId w:val="0"/>
        </w:numPr>
        <w:jc w:val="both"/>
        <w:rPr>
          <w:rFonts w:hint="eastAsia"/>
          <w:lang w:val="en-US" w:eastAsia="zh-CN"/>
        </w:rPr>
      </w:pPr>
    </w:p>
    <w:p w14:paraId="697C7ABA">
      <w:pPr>
        <w:jc w:val="cente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w:t>
      </w:r>
      <w:r>
        <w:rPr>
          <w:rFonts w:hint="eastAsia" w:ascii="宋体" w:hAnsi="宋体" w:eastAsia="宋体" w:cs="Times New Roman"/>
          <w:b/>
          <w:kern w:val="2"/>
          <w:sz w:val="32"/>
          <w:szCs w:val="32"/>
          <w:lang w:val="en-US" w:eastAsia="zh-CN" w:bidi="ar-SA"/>
        </w:rPr>
        <w:t>）</w:t>
      </w:r>
      <w:r>
        <w:rPr>
          <w:rFonts w:hint="default" w:ascii="宋体" w:hAnsi="宋体" w:eastAsia="宋体" w:cs="Times New Roman"/>
          <w:b/>
          <w:kern w:val="2"/>
          <w:sz w:val="32"/>
          <w:szCs w:val="32"/>
          <w:lang w:val="en-US" w:eastAsia="zh-CN" w:bidi="ar-SA"/>
        </w:rPr>
        <w:t>安全生产许可证</w:t>
      </w:r>
    </w:p>
    <w:p w14:paraId="45FF9A17">
      <w:pPr>
        <w:pStyle w:val="28"/>
        <w:rPr>
          <w:rFonts w:hint="eastAsia" w:asciiTheme="minorEastAsia" w:hAnsiTheme="minorEastAsia" w:cstheme="minorEastAsia"/>
          <w:color w:val="auto"/>
          <w:sz w:val="24"/>
          <w:szCs w:val="24"/>
          <w:lang w:val="en-US" w:eastAsia="zh-CN"/>
        </w:rPr>
      </w:pPr>
      <w:r>
        <w:rPr>
          <w:rFonts w:ascii="Segoe UI" w:hAnsi="Segoe UI" w:eastAsia="Segoe UI" w:cs="Segoe UI"/>
          <w:i w:val="0"/>
          <w:iCs w:val="0"/>
          <w:caps w:val="0"/>
          <w:color w:val="0F1115"/>
          <w:spacing w:val="0"/>
          <w:sz w:val="24"/>
          <w:szCs w:val="24"/>
          <w:shd w:val="clear" w:fill="FFFFFF"/>
        </w:rPr>
        <w:t>持有建设主管部门颁发</w:t>
      </w:r>
      <w:r>
        <w:rPr>
          <w:rFonts w:ascii="Segoe UI" w:hAnsi="Segoe UI" w:eastAsia="Segoe UI" w:cs="Segoe UI"/>
          <w:i w:val="0"/>
          <w:iCs w:val="0"/>
          <w:caps w:val="0"/>
          <w:color w:val="auto"/>
          <w:spacing w:val="0"/>
          <w:sz w:val="24"/>
          <w:szCs w:val="24"/>
          <w:shd w:val="clear" w:fill="FFFFFF"/>
        </w:rPr>
        <w:t>的</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eastAsia" w:asciiTheme="minorEastAsia" w:hAnsiTheme="minorEastAsia" w:cstheme="minorEastAsia"/>
          <w:color w:val="auto"/>
          <w:sz w:val="24"/>
          <w:szCs w:val="24"/>
          <w:lang w:val="en-US" w:eastAsia="zh-CN"/>
        </w:rPr>
        <w:t>。</w:t>
      </w:r>
    </w:p>
    <w:p w14:paraId="7061C3BB">
      <w:pPr>
        <w:pStyle w:val="28"/>
        <w:rPr>
          <w:rFonts w:hint="eastAsia" w:asciiTheme="minorEastAsia" w:hAnsiTheme="minorEastAsia" w:cstheme="minorEastAsia"/>
          <w:color w:val="auto"/>
          <w:sz w:val="24"/>
          <w:szCs w:val="24"/>
          <w:lang w:val="en-US" w:eastAsia="zh-CN"/>
        </w:rPr>
      </w:pPr>
    </w:p>
    <w:p w14:paraId="06D3DAAD">
      <w:pPr>
        <w:pStyle w:val="28"/>
        <w:rPr>
          <w:rFonts w:hint="eastAsia" w:asciiTheme="minorEastAsia" w:hAnsiTheme="minorEastAsia" w:cstheme="minorEastAsia"/>
          <w:color w:val="auto"/>
          <w:sz w:val="24"/>
          <w:szCs w:val="24"/>
          <w:lang w:val="en-US" w:eastAsia="zh-CN"/>
        </w:rPr>
      </w:pPr>
    </w:p>
    <w:p w14:paraId="2EDAB7F5">
      <w:pPr>
        <w:pStyle w:val="28"/>
        <w:rPr>
          <w:rFonts w:hint="eastAsia" w:asciiTheme="minorEastAsia" w:hAnsiTheme="minorEastAsia" w:cstheme="minorEastAsia"/>
          <w:color w:val="auto"/>
          <w:sz w:val="24"/>
          <w:szCs w:val="24"/>
          <w:lang w:val="en-US" w:eastAsia="zh-CN"/>
        </w:rPr>
      </w:pPr>
    </w:p>
    <w:p w14:paraId="09E86378">
      <w:pPr>
        <w:pStyle w:val="28"/>
        <w:rPr>
          <w:rFonts w:hint="eastAsia" w:asciiTheme="minorEastAsia" w:hAnsiTheme="minorEastAsia" w:cstheme="minorEastAsia"/>
          <w:color w:val="auto"/>
          <w:sz w:val="24"/>
          <w:szCs w:val="24"/>
          <w:lang w:val="en-US" w:eastAsia="zh-CN"/>
        </w:rPr>
      </w:pPr>
    </w:p>
    <w:p w14:paraId="61AC1C6B">
      <w:pPr>
        <w:pStyle w:val="28"/>
        <w:rPr>
          <w:rFonts w:hint="eastAsia" w:asciiTheme="minorEastAsia" w:hAnsiTheme="minorEastAsia" w:cstheme="minorEastAsia"/>
          <w:color w:val="auto"/>
          <w:sz w:val="24"/>
          <w:szCs w:val="24"/>
          <w:lang w:val="en-US" w:eastAsia="zh-CN"/>
        </w:rPr>
      </w:pPr>
    </w:p>
    <w:p w14:paraId="0C289002">
      <w:pPr>
        <w:pStyle w:val="28"/>
        <w:rPr>
          <w:rFonts w:hint="eastAsia" w:asciiTheme="minorEastAsia" w:hAnsiTheme="minorEastAsia" w:cstheme="minorEastAsia"/>
          <w:color w:val="auto"/>
          <w:sz w:val="24"/>
          <w:szCs w:val="24"/>
          <w:lang w:val="en-US" w:eastAsia="zh-CN"/>
        </w:rPr>
      </w:pPr>
    </w:p>
    <w:p w14:paraId="1140547B">
      <w:pPr>
        <w:pStyle w:val="28"/>
        <w:rPr>
          <w:rFonts w:hint="eastAsia" w:asciiTheme="minorEastAsia" w:hAnsiTheme="minorEastAsia" w:cstheme="minorEastAsia"/>
          <w:color w:val="auto"/>
          <w:sz w:val="24"/>
          <w:szCs w:val="24"/>
          <w:lang w:val="en-US" w:eastAsia="zh-CN"/>
        </w:rPr>
      </w:pPr>
    </w:p>
    <w:p w14:paraId="57DAE646">
      <w:pPr>
        <w:pStyle w:val="28"/>
        <w:rPr>
          <w:rFonts w:hint="eastAsia" w:asciiTheme="minorEastAsia" w:hAnsiTheme="minorEastAsia" w:cstheme="minorEastAsia"/>
          <w:color w:val="auto"/>
          <w:sz w:val="24"/>
          <w:szCs w:val="24"/>
          <w:lang w:val="en-US" w:eastAsia="zh-CN"/>
        </w:rPr>
      </w:pPr>
    </w:p>
    <w:p w14:paraId="7DF5D44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9671DA1">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85A82A4">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8B05EBB">
      <w:pPr>
        <w:pStyle w:val="28"/>
        <w:ind w:firstLine="3600" w:firstLineChars="1500"/>
        <w:rPr>
          <w:rFonts w:hint="eastAsia" w:ascii="宋体" w:hAnsi="宋体" w:cs="宋体"/>
          <w:color w:val="000000" w:themeColor="text1"/>
          <w:sz w:val="24"/>
          <w14:textFill>
            <w14:solidFill>
              <w14:schemeClr w14:val="tx1"/>
            </w14:solidFill>
          </w14:textFill>
        </w:rPr>
      </w:pPr>
    </w:p>
    <w:p w14:paraId="21C19928">
      <w:pPr>
        <w:pStyle w:val="6"/>
        <w:jc w:val="center"/>
        <w:rPr>
          <w:rFonts w:hint="eastAsia" w:ascii="宋体" w:hAnsi="宋体" w:eastAsia="宋体" w:cs="Times New Roman"/>
          <w:b/>
          <w:kern w:val="2"/>
          <w:sz w:val="32"/>
          <w:szCs w:val="32"/>
          <w:lang w:val="en-US" w:eastAsia="zh-CN" w:bidi="ar-SA"/>
        </w:rPr>
      </w:pPr>
    </w:p>
    <w:p w14:paraId="62FC8E42">
      <w:pPr>
        <w:pStyle w:val="6"/>
        <w:jc w:val="center"/>
        <w:rPr>
          <w:rFonts w:hint="eastAsia" w:ascii="宋体" w:hAnsi="宋体" w:eastAsia="宋体" w:cs="Times New Roman"/>
          <w:b/>
          <w:kern w:val="2"/>
          <w:sz w:val="32"/>
          <w:szCs w:val="32"/>
          <w:lang w:val="en-US" w:eastAsia="zh-CN" w:bidi="ar-SA"/>
        </w:rPr>
      </w:pPr>
    </w:p>
    <w:p w14:paraId="1595699E">
      <w:pPr>
        <w:pStyle w:val="6"/>
        <w:jc w:val="center"/>
        <w:rPr>
          <w:rFonts w:hint="eastAsia"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类似项目业绩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自2023年</w:t>
      </w:r>
      <w:r>
        <w:rPr>
          <w:rFonts w:hint="eastAsia" w:ascii="宋体" w:hAnsi="宋体" w:eastAsia="宋体" w:cs="宋体"/>
          <w:color w:val="auto"/>
          <w:kern w:val="2"/>
          <w:sz w:val="24"/>
          <w:szCs w:val="24"/>
          <w:highlight w:val="none"/>
          <w:lang w:val="en-US" w:eastAsia="zh-CN" w:bidi="ar-SA"/>
        </w:rPr>
        <w:t>1月1日起至今（以完成时间为准），提供至少1个类似项目业绩。提供该业绩合同关键页（合同</w:t>
      </w:r>
      <w:r>
        <w:rPr>
          <w:rFonts w:hint="eastAsia" w:ascii="宋体" w:hAnsi="宋体" w:eastAsia="宋体" w:cs="宋体"/>
          <w:color w:val="0000FF"/>
          <w:kern w:val="2"/>
          <w:sz w:val="24"/>
          <w:szCs w:val="24"/>
          <w:highlight w:val="none"/>
          <w:lang w:val="en-US" w:eastAsia="zh-CN" w:bidi="ar-SA"/>
        </w:rPr>
        <w:t>关键页</w:t>
      </w:r>
      <w:r>
        <w:rPr>
          <w:rFonts w:hint="eastAsia" w:ascii="宋体" w:hAnsi="宋体" w:eastAsia="宋体" w:cs="宋体"/>
          <w:color w:val="auto"/>
          <w:kern w:val="2"/>
          <w:sz w:val="24"/>
          <w:szCs w:val="24"/>
          <w:highlight w:val="none"/>
          <w:lang w:val="en-US" w:eastAsia="zh-CN" w:bidi="ar-SA"/>
        </w:rPr>
        <w:t>包括：合同封面、主要内容页及双方签章页）及</w:t>
      </w:r>
      <w:r>
        <w:rPr>
          <w:rFonts w:hint="eastAsia" w:ascii="宋体" w:hAnsi="宋体" w:cs="宋体"/>
          <w:color w:val="auto"/>
          <w:kern w:val="2"/>
          <w:sz w:val="24"/>
          <w:szCs w:val="24"/>
          <w:highlight w:val="none"/>
          <w:lang w:val="en-US" w:eastAsia="zh-CN" w:bidi="ar-SA"/>
        </w:rPr>
        <w:t>竣工</w:t>
      </w:r>
      <w:r>
        <w:rPr>
          <w:rFonts w:hint="eastAsia" w:ascii="宋体" w:hAnsi="宋体" w:eastAsia="宋体" w:cs="宋体"/>
          <w:color w:val="auto"/>
          <w:kern w:val="2"/>
          <w:sz w:val="24"/>
          <w:szCs w:val="24"/>
          <w:highlight w:val="none"/>
          <w:lang w:val="en-US" w:eastAsia="zh-CN" w:bidi="ar-SA"/>
        </w:rPr>
        <w:t>验收报告复印件</w:t>
      </w:r>
      <w:r>
        <w:rPr>
          <w:rFonts w:hint="eastAsia" w:eastAsia="宋体" w:asciiTheme="minorEastAsia" w:hAnsiTheme="minorEastAsia" w:cstheme="minorEastAsia"/>
          <w:color w:val="auto"/>
          <w:sz w:val="24"/>
          <w:szCs w:val="24"/>
          <w:lang w:val="en-US" w:eastAsia="zh-CN"/>
        </w:rPr>
        <w:t>。</w:t>
      </w:r>
    </w:p>
    <w:p w14:paraId="4C5FD31A">
      <w:pPr>
        <w:pStyle w:val="4"/>
        <w:widowControl w:val="0"/>
        <w:numPr>
          <w:ilvl w:val="0"/>
          <w:numId w:val="0"/>
        </w:numPr>
        <w:jc w:val="both"/>
        <w:rPr>
          <w:rFonts w:hint="eastAsia"/>
          <w:lang w:val="en-US" w:eastAsia="zh-CN"/>
        </w:rPr>
      </w:pPr>
    </w:p>
    <w:p w14:paraId="385F692A">
      <w:pPr>
        <w:pStyle w:val="4"/>
        <w:widowControl w:val="0"/>
        <w:numPr>
          <w:ilvl w:val="0"/>
          <w:numId w:val="0"/>
        </w:numPr>
        <w:jc w:val="both"/>
        <w:rPr>
          <w:rFonts w:hint="eastAsia"/>
          <w:lang w:val="en-US" w:eastAsia="zh-CN"/>
        </w:rPr>
      </w:pPr>
    </w:p>
    <w:p w14:paraId="5209465B">
      <w:pPr>
        <w:pStyle w:val="4"/>
        <w:widowControl w:val="0"/>
        <w:numPr>
          <w:ilvl w:val="0"/>
          <w:numId w:val="0"/>
        </w:numPr>
        <w:jc w:val="both"/>
        <w:rPr>
          <w:rFonts w:hint="eastAsia"/>
          <w:lang w:val="en-US" w:eastAsia="zh-CN"/>
        </w:rPr>
      </w:pPr>
    </w:p>
    <w:p w14:paraId="34D9BC01">
      <w:pPr>
        <w:pStyle w:val="4"/>
        <w:widowControl w:val="0"/>
        <w:numPr>
          <w:ilvl w:val="0"/>
          <w:numId w:val="0"/>
        </w:numPr>
        <w:jc w:val="both"/>
        <w:rPr>
          <w:rFonts w:hint="eastAsia"/>
          <w:lang w:val="en-US" w:eastAsia="zh-CN"/>
        </w:rPr>
      </w:pPr>
    </w:p>
    <w:p w14:paraId="3282C4C6">
      <w:pPr>
        <w:pStyle w:val="4"/>
        <w:widowControl w:val="0"/>
        <w:numPr>
          <w:ilvl w:val="0"/>
          <w:numId w:val="0"/>
        </w:numPr>
        <w:jc w:val="both"/>
        <w:rPr>
          <w:rFonts w:hint="eastAsia"/>
          <w:lang w:val="en-US" w:eastAsia="zh-CN"/>
        </w:rPr>
      </w:pPr>
    </w:p>
    <w:p w14:paraId="3B572729">
      <w:pPr>
        <w:pStyle w:val="4"/>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4"/>
        <w:widowControl w:val="0"/>
        <w:numPr>
          <w:ilvl w:val="0"/>
          <w:numId w:val="0"/>
        </w:numPr>
        <w:jc w:val="both"/>
        <w:rPr>
          <w:rFonts w:hint="eastAsia"/>
          <w:lang w:val="en-US" w:eastAsia="zh-CN"/>
        </w:rPr>
      </w:pPr>
    </w:p>
    <w:p w14:paraId="23C0386E">
      <w:pPr>
        <w:pStyle w:val="4"/>
        <w:widowControl w:val="0"/>
        <w:numPr>
          <w:ilvl w:val="0"/>
          <w:numId w:val="0"/>
        </w:numPr>
        <w:jc w:val="both"/>
        <w:rPr>
          <w:rFonts w:hint="eastAsia"/>
          <w:lang w:val="en-US" w:eastAsia="zh-CN"/>
        </w:rPr>
      </w:pPr>
    </w:p>
    <w:p w14:paraId="0DC6F2E8">
      <w:pPr>
        <w:pStyle w:val="4"/>
        <w:widowControl w:val="0"/>
        <w:numPr>
          <w:ilvl w:val="0"/>
          <w:numId w:val="0"/>
        </w:numPr>
        <w:jc w:val="both"/>
        <w:rPr>
          <w:rFonts w:hint="eastAsia"/>
          <w:lang w:val="en-US" w:eastAsia="zh-CN"/>
        </w:rPr>
      </w:pPr>
    </w:p>
    <w:p w14:paraId="59898388">
      <w:pPr>
        <w:pStyle w:val="4"/>
        <w:widowControl w:val="0"/>
        <w:numPr>
          <w:ilvl w:val="0"/>
          <w:numId w:val="0"/>
        </w:numPr>
        <w:jc w:val="both"/>
        <w:rPr>
          <w:rFonts w:hint="eastAsia"/>
          <w:lang w:val="en-US" w:eastAsia="zh-CN"/>
        </w:rPr>
      </w:pPr>
    </w:p>
    <w:p w14:paraId="1DACFC33">
      <w:pPr>
        <w:pStyle w:val="4"/>
        <w:widowControl w:val="0"/>
        <w:numPr>
          <w:ilvl w:val="0"/>
          <w:numId w:val="0"/>
        </w:numPr>
        <w:jc w:val="both"/>
        <w:rPr>
          <w:rFonts w:hint="eastAsia"/>
          <w:lang w:val="en-US" w:eastAsia="zh-CN"/>
        </w:rPr>
      </w:pPr>
    </w:p>
    <w:p w14:paraId="7F9D669C">
      <w:pPr>
        <w:pStyle w:val="4"/>
        <w:widowControl w:val="0"/>
        <w:numPr>
          <w:ilvl w:val="0"/>
          <w:numId w:val="0"/>
        </w:numPr>
        <w:jc w:val="both"/>
        <w:rPr>
          <w:rFonts w:hint="eastAsia"/>
          <w:lang w:val="en-US" w:eastAsia="zh-CN"/>
        </w:rPr>
      </w:pPr>
    </w:p>
    <w:p w14:paraId="4B12E55B">
      <w:pPr>
        <w:pStyle w:val="4"/>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五</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w:t>
      </w:r>
    </w:p>
    <w:p w14:paraId="327DE952">
      <w:pPr>
        <w:pStyle w:val="5"/>
        <w:ind w:firstLine="480" w:firstLineChars="200"/>
        <w:rPr>
          <w:rFonts w:hint="eastAsia" w:ascii="宋体" w:hAnsi="宋体" w:cs="宋体"/>
          <w:color w:val="auto"/>
          <w:sz w:val="24"/>
          <w:lang w:val="en-US" w:eastAsia="zh-CN"/>
        </w:rPr>
      </w:pPr>
      <w:r>
        <w:rPr>
          <w:rFonts w:hint="eastAsia" w:ascii="宋体" w:hAnsi="宋体" w:cs="宋体"/>
          <w:color w:val="auto"/>
          <w:sz w:val="24"/>
        </w:rPr>
        <w:t>供应商拟投入本工程的项目负责人</w:t>
      </w:r>
      <w:r>
        <w:rPr>
          <w:rFonts w:hint="eastAsia" w:ascii="宋体" w:hAnsi="宋体" w:cs="宋体"/>
          <w:color w:val="auto"/>
          <w:sz w:val="24"/>
          <w:lang w:val="en-US" w:eastAsia="zh-CN"/>
        </w:rPr>
        <w:t>须满足以下条件：</w:t>
      </w:r>
    </w:p>
    <w:p w14:paraId="1021F79A">
      <w:pPr>
        <w:pStyle w:val="5"/>
        <w:numPr>
          <w:ilvl w:val="0"/>
          <w:numId w:val="0"/>
        </w:numPr>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1）持有有效期内的</w:t>
      </w:r>
      <w:r>
        <w:rPr>
          <w:rFonts w:hint="eastAsia" w:ascii="宋体" w:hAnsi="宋体" w:cs="宋体"/>
          <w:color w:val="auto"/>
          <w:sz w:val="24"/>
          <w:highlight w:val="none"/>
          <w:lang w:eastAsia="zh-CN"/>
        </w:rPr>
        <w:t>机电</w:t>
      </w:r>
      <w:r>
        <w:rPr>
          <w:rFonts w:hint="eastAsia" w:ascii="宋体" w:hAnsi="宋体" w:eastAsia="宋体" w:cs="宋体"/>
          <w:color w:val="auto"/>
          <w:sz w:val="24"/>
          <w:highlight w:val="none"/>
          <w:lang w:eastAsia="zh-CN"/>
        </w:rPr>
        <w:t>工程专业</w:t>
      </w:r>
      <w:r>
        <w:rPr>
          <w:rFonts w:hint="eastAsia" w:ascii="宋体" w:hAnsi="宋体" w:eastAsia="宋体" w:cs="宋体"/>
          <w:color w:val="auto"/>
          <w:sz w:val="24"/>
        </w:rPr>
        <w:t>二级及以上建造师注册</w:t>
      </w:r>
      <w:r>
        <w:rPr>
          <w:rFonts w:hint="eastAsia" w:ascii="宋体" w:hAnsi="宋体" w:eastAsia="宋体" w:cs="宋体"/>
          <w:color w:val="auto"/>
          <w:sz w:val="24"/>
          <w:lang w:eastAsia="zh-CN"/>
        </w:rPr>
        <w:t>证书；</w:t>
      </w:r>
    </w:p>
    <w:p w14:paraId="2115B33C">
      <w:pPr>
        <w:pStyle w:val="5"/>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（2）持有有效期内的安全生产考核合格证（B</w:t>
      </w:r>
      <w:r>
        <w:rPr>
          <w:rFonts w:hint="eastAsia" w:ascii="宋体" w:hAnsi="宋体" w:cs="宋体"/>
          <w:color w:val="auto"/>
          <w:sz w:val="24"/>
          <w:highlight w:val="none"/>
          <w:lang w:val="en-US" w:eastAsia="zh-CN"/>
        </w:rPr>
        <w:t>本</w:t>
      </w:r>
      <w:r>
        <w:rPr>
          <w:rFonts w:hint="eastAsia" w:ascii="宋体" w:hAnsi="宋体" w:eastAsia="宋体" w:cs="宋体"/>
          <w:color w:val="auto"/>
          <w:sz w:val="24"/>
          <w:highlight w:val="none"/>
          <w:lang w:val="en-US" w:eastAsia="zh-CN"/>
        </w:rPr>
        <w:t>）或建筑施工企业项目负责人安全生产考核合格证书；</w:t>
      </w:r>
    </w:p>
    <w:p w14:paraId="58EB6DD9">
      <w:pPr>
        <w:pStyle w:val="5"/>
        <w:numPr>
          <w:ilvl w:val="0"/>
          <w:numId w:val="0"/>
        </w:numPr>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3）提供</w:t>
      </w:r>
      <w:r>
        <w:rPr>
          <w:rFonts w:hint="eastAsia" w:ascii="宋体" w:hAnsi="宋体" w:eastAsia="宋体" w:cs="宋体"/>
          <w:color w:val="auto"/>
          <w:sz w:val="24"/>
          <w:highlight w:val="none"/>
        </w:rPr>
        <w:t>不得担任其他在建项目负责人承诺书</w:t>
      </w:r>
      <w:r>
        <w:rPr>
          <w:rFonts w:hint="eastAsia" w:ascii="宋体" w:hAnsi="宋体" w:eastAsia="宋体" w:cs="宋体"/>
          <w:color w:val="auto"/>
          <w:sz w:val="24"/>
          <w:highlight w:val="none"/>
          <w:lang w:eastAsia="zh-CN"/>
        </w:rPr>
        <w:t>；</w:t>
      </w:r>
    </w:p>
    <w:p w14:paraId="2EF3335A">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提供</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rPr>
        <w:t>供应商购</w:t>
      </w:r>
      <w:r>
        <w:rPr>
          <w:rFonts w:hint="eastAsia" w:ascii="宋体" w:hAnsi="宋体" w:eastAsia="宋体" w:cs="宋体"/>
          <w:color w:val="auto"/>
          <w:sz w:val="24"/>
          <w:highlight w:val="none"/>
        </w:rPr>
        <w:t>买的</w:t>
      </w:r>
      <w:r>
        <w:rPr>
          <w:rFonts w:hint="eastAsia" w:ascii="宋体" w:hAnsi="宋体" w:eastAsia="宋体" w:cs="宋体"/>
          <w:color w:val="auto"/>
          <w:sz w:val="24"/>
          <w:highlight w:val="none"/>
          <w:lang w:val="en-US" w:eastAsia="zh-CN"/>
        </w:rPr>
        <w:t>响应截止</w:t>
      </w:r>
      <w:r>
        <w:rPr>
          <w:rFonts w:hint="eastAsia"/>
          <w:color w:val="auto"/>
          <w:sz w:val="24"/>
          <w:highlight w:val="none"/>
          <w:lang w:val="en-US" w:eastAsia="zh-CN"/>
        </w:rPr>
        <w:t>时间前三个月内任意一个月</w:t>
      </w:r>
      <w:r>
        <w:rPr>
          <w:rFonts w:hint="eastAsia"/>
          <w:color w:val="auto"/>
          <w:sz w:val="24"/>
          <w:highlight w:val="none"/>
        </w:rPr>
        <w:t>社保缴</w:t>
      </w:r>
      <w:r>
        <w:rPr>
          <w:rFonts w:hint="eastAsia"/>
          <w:color w:val="auto"/>
          <w:sz w:val="24"/>
        </w:rPr>
        <w:t>纳证明</w:t>
      </w:r>
      <w:r>
        <w:rPr>
          <w:rFonts w:hint="eastAsia"/>
          <w:color w:val="auto"/>
          <w:sz w:val="24"/>
          <w:highlight w:val="none"/>
          <w:lang w:eastAsia="zh-CN"/>
        </w:rPr>
        <w:t>。</w:t>
      </w:r>
    </w:p>
    <w:p w14:paraId="1E29080F">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4"/>
        <w:widowControl w:val="0"/>
        <w:numPr>
          <w:ilvl w:val="0"/>
          <w:numId w:val="0"/>
        </w:numPr>
        <w:jc w:val="both"/>
        <w:rPr>
          <w:rFonts w:hint="eastAsia"/>
          <w:sz w:val="28"/>
          <w:szCs w:val="28"/>
          <w:lang w:val="en-US" w:eastAsia="zh-CN"/>
        </w:rPr>
      </w:pPr>
    </w:p>
    <w:p w14:paraId="0F7ABC7E">
      <w:pPr>
        <w:pStyle w:val="4"/>
        <w:widowControl w:val="0"/>
        <w:numPr>
          <w:ilvl w:val="0"/>
          <w:numId w:val="0"/>
        </w:numPr>
        <w:jc w:val="both"/>
        <w:rPr>
          <w:rFonts w:hint="eastAsia"/>
          <w:sz w:val="28"/>
          <w:szCs w:val="28"/>
          <w:lang w:val="en-US" w:eastAsia="zh-CN"/>
        </w:rPr>
      </w:pPr>
    </w:p>
    <w:p w14:paraId="1346ADA3">
      <w:pPr>
        <w:pStyle w:val="4"/>
        <w:widowControl w:val="0"/>
        <w:numPr>
          <w:ilvl w:val="0"/>
          <w:numId w:val="0"/>
        </w:numPr>
        <w:jc w:val="both"/>
        <w:rPr>
          <w:rFonts w:hint="eastAsia"/>
          <w:sz w:val="28"/>
          <w:szCs w:val="28"/>
          <w:lang w:val="en-US" w:eastAsia="zh-CN"/>
        </w:rPr>
      </w:pPr>
    </w:p>
    <w:p w14:paraId="5B7455E4">
      <w:pPr>
        <w:pStyle w:val="28"/>
        <w:ind w:left="0" w:leftChars="0" w:firstLine="0" w:firstLineChars="0"/>
        <w:jc w:val="center"/>
        <w:rPr>
          <w:rFonts w:hint="default"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六</w:t>
      </w: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cs="Times New Roman"/>
          <w:b/>
          <w:kern w:val="2"/>
          <w:sz w:val="32"/>
          <w:szCs w:val="32"/>
          <w:lang w:val="en-US" w:eastAsia="zh-CN" w:bidi="ar-SA"/>
        </w:rPr>
        <w:t>承诺函</w:t>
      </w:r>
    </w:p>
    <w:p w14:paraId="54D21518">
      <w:pPr>
        <w:pStyle w:val="28"/>
        <w:rPr>
          <w:rFonts w:hint="eastAsia" w:ascii="宋体" w:hAnsi="宋体" w:eastAsia="宋体" w:cs="宋体"/>
          <w:color w:val="auto"/>
          <w:kern w:val="2"/>
          <w:sz w:val="24"/>
          <w:szCs w:val="24"/>
          <w:lang w:val="en-US" w:eastAsia="zh-CN" w:bidi="ar-SA"/>
        </w:rPr>
      </w:pPr>
      <w:r>
        <w:rPr>
          <w:rFonts w:hint="eastAsia" w:ascii="宋体" w:hAnsi="宋体" w:cs="宋体"/>
          <w:color w:val="auto"/>
          <w:sz w:val="24"/>
        </w:rPr>
        <w:t>本项目</w:t>
      </w:r>
      <w:r>
        <w:rPr>
          <w:rFonts w:hint="eastAsia" w:ascii="宋体" w:hAnsi="宋体" w:cs="宋体"/>
          <w:color w:val="auto"/>
          <w:sz w:val="24"/>
          <w:highlight w:val="none"/>
        </w:rPr>
        <w:t>不接受联合体报名</w:t>
      </w:r>
      <w:r>
        <w:rPr>
          <w:rFonts w:hint="eastAsia" w:ascii="宋体" w:hAnsi="宋体" w:cs="宋体"/>
          <w:color w:val="auto"/>
          <w:sz w:val="24"/>
        </w:rPr>
        <w:t>，成交供</w:t>
      </w:r>
      <w:r>
        <w:rPr>
          <w:rFonts w:hint="eastAsia" w:ascii="宋体" w:hAnsi="宋体" w:cs="宋体"/>
          <w:sz w:val="24"/>
        </w:rPr>
        <w:t>应商不得分包、转包</w:t>
      </w:r>
      <w:r>
        <w:rPr>
          <w:rFonts w:hint="eastAsia" w:asciiTheme="minorEastAsia" w:hAnsiTheme="minorEastAsia" w:cstheme="minorEastAsia"/>
          <w:color w:val="auto"/>
          <w:sz w:val="24"/>
          <w:szCs w:val="24"/>
          <w:lang w:val="en-US" w:eastAsia="zh-CN"/>
        </w:rPr>
        <w:t>。</w:t>
      </w:r>
      <w:r>
        <w:rPr>
          <w:rFonts w:hint="eastAsia" w:ascii="宋体" w:hAnsi="宋体" w:eastAsia="宋体" w:cs="宋体"/>
          <w:b/>
          <w:bCs/>
          <w:sz w:val="24"/>
          <w:szCs w:val="24"/>
          <w:lang w:val="en-US" w:eastAsia="zh-CN"/>
        </w:rPr>
        <w:t>（供应商的响应文件须提供承诺函并加盖单位公章，承诺函格式自拟）</w:t>
      </w:r>
    </w:p>
    <w:p w14:paraId="0A2D2109">
      <w:pPr>
        <w:pStyle w:val="28"/>
        <w:rPr>
          <w:rFonts w:hint="eastAsia" w:ascii="宋体" w:hAnsi="宋体" w:eastAsia="宋体" w:cs="宋体"/>
          <w:color w:val="auto"/>
          <w:kern w:val="2"/>
          <w:sz w:val="24"/>
          <w:szCs w:val="24"/>
          <w:lang w:val="en-US" w:eastAsia="zh-CN" w:bidi="ar-SA"/>
        </w:rPr>
      </w:pPr>
    </w:p>
    <w:p w14:paraId="49B434AC">
      <w:pPr>
        <w:pStyle w:val="28"/>
        <w:rPr>
          <w:rFonts w:hint="eastAsia" w:ascii="宋体" w:hAnsi="宋体" w:eastAsia="宋体" w:cs="宋体"/>
          <w:color w:val="auto"/>
          <w:kern w:val="2"/>
          <w:sz w:val="24"/>
          <w:szCs w:val="24"/>
          <w:lang w:val="en-US" w:eastAsia="zh-CN" w:bidi="ar-SA"/>
        </w:rPr>
      </w:pPr>
    </w:p>
    <w:p w14:paraId="682B16E1">
      <w:pPr>
        <w:pStyle w:val="28"/>
        <w:rPr>
          <w:rFonts w:hint="eastAsia" w:ascii="宋体" w:hAnsi="宋体" w:eastAsia="宋体" w:cs="宋体"/>
          <w:color w:val="auto"/>
          <w:kern w:val="2"/>
          <w:sz w:val="24"/>
          <w:szCs w:val="24"/>
          <w:lang w:val="en-US" w:eastAsia="zh-CN" w:bidi="ar-SA"/>
        </w:rPr>
      </w:pPr>
    </w:p>
    <w:p w14:paraId="0703D236">
      <w:pPr>
        <w:pStyle w:val="28"/>
        <w:rPr>
          <w:rFonts w:hint="eastAsia" w:ascii="宋体" w:hAnsi="宋体" w:eastAsia="宋体" w:cs="宋体"/>
          <w:color w:val="auto"/>
          <w:kern w:val="2"/>
          <w:sz w:val="24"/>
          <w:szCs w:val="24"/>
          <w:lang w:val="en-US" w:eastAsia="zh-CN" w:bidi="ar-SA"/>
        </w:rPr>
      </w:pPr>
    </w:p>
    <w:p w14:paraId="5546310B">
      <w:pPr>
        <w:pStyle w:val="28"/>
        <w:rPr>
          <w:rFonts w:hint="eastAsia" w:ascii="宋体" w:hAnsi="宋体" w:eastAsia="宋体" w:cs="宋体"/>
          <w:color w:val="auto"/>
          <w:kern w:val="2"/>
          <w:sz w:val="24"/>
          <w:szCs w:val="24"/>
          <w:lang w:val="en-US" w:eastAsia="zh-CN" w:bidi="ar-SA"/>
        </w:rPr>
      </w:pPr>
    </w:p>
    <w:p w14:paraId="0FDC681D">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BF6D9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83F0D1">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2C4AF28">
      <w:pPr>
        <w:pStyle w:val="28"/>
        <w:ind w:firstLine="3600" w:firstLineChars="1500"/>
        <w:rPr>
          <w:rFonts w:hint="eastAsia" w:ascii="宋体" w:hAnsi="宋体" w:cs="宋体"/>
          <w:color w:val="000000" w:themeColor="text1"/>
          <w:sz w:val="24"/>
          <w14:textFill>
            <w14:solidFill>
              <w14:schemeClr w14:val="tx1"/>
            </w14:solidFill>
          </w14:textFill>
        </w:rPr>
      </w:pPr>
    </w:p>
    <w:p w14:paraId="361F41F6">
      <w:pPr>
        <w:pStyle w:val="4"/>
        <w:widowControl w:val="0"/>
        <w:numPr>
          <w:ilvl w:val="0"/>
          <w:numId w:val="0"/>
        </w:numPr>
        <w:jc w:val="both"/>
        <w:rPr>
          <w:rFonts w:hint="eastAsia"/>
          <w:sz w:val="28"/>
          <w:szCs w:val="28"/>
          <w:lang w:val="en-US" w:eastAsia="zh-CN"/>
        </w:rPr>
      </w:pPr>
    </w:p>
    <w:p w14:paraId="62032C2D">
      <w:pPr>
        <w:pStyle w:val="4"/>
        <w:widowControl w:val="0"/>
        <w:numPr>
          <w:ilvl w:val="0"/>
          <w:numId w:val="0"/>
        </w:numPr>
        <w:jc w:val="both"/>
        <w:rPr>
          <w:rFonts w:hint="eastAsia"/>
          <w:sz w:val="28"/>
          <w:szCs w:val="28"/>
          <w:lang w:val="en-US" w:eastAsia="zh-CN"/>
        </w:rPr>
      </w:pPr>
    </w:p>
    <w:p w14:paraId="49ABA085">
      <w:pPr>
        <w:pStyle w:val="4"/>
        <w:widowControl w:val="0"/>
        <w:numPr>
          <w:ilvl w:val="0"/>
          <w:numId w:val="0"/>
        </w:numPr>
        <w:jc w:val="both"/>
        <w:rPr>
          <w:rFonts w:hint="eastAsia"/>
          <w:sz w:val="28"/>
          <w:szCs w:val="28"/>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19"/>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59B81904">
      <w:pPr>
        <w:spacing w:line="500" w:lineRule="atLeast"/>
        <w:rPr>
          <w:rFonts w:ascii="宋体" w:hAnsi="宋体"/>
          <w:sz w:val="28"/>
          <w:szCs w:val="28"/>
        </w:rPr>
      </w:pPr>
    </w:p>
    <w:p w14:paraId="7CAD0E02">
      <w:pPr>
        <w:wordWrap/>
        <w:spacing w:line="360" w:lineRule="auto"/>
        <w:jc w:val="left"/>
        <w:rPr>
          <w:rFonts w:hint="default" w:ascii="仿宋" w:hAnsi="仿宋" w:eastAsia="仿宋" w:cs="仿宋"/>
          <w:sz w:val="24"/>
          <w:szCs w:val="24"/>
          <w:lang w:val="en-US" w:eastAsia="zh-CN"/>
        </w:rPr>
      </w:pPr>
      <w:r>
        <w:rPr>
          <w:rFonts w:hint="eastAsia" w:eastAsia="宋体" w:asciiTheme="minorEastAsia" w:hAnsiTheme="minorEastAsia" w:cstheme="minorEastAsia"/>
          <w:b/>
          <w:bCs/>
          <w:color w:val="auto"/>
          <w:kern w:val="2"/>
          <w:sz w:val="28"/>
          <w:szCs w:val="28"/>
          <w:lang w:val="en-US" w:eastAsia="zh-CN" w:bidi="ar-SA"/>
        </w:rPr>
        <w:t>附件三</w:t>
      </w:r>
    </w:p>
    <w:p w14:paraId="1E2D6ECE">
      <w:pPr>
        <w:wordWrap/>
        <w:spacing w:line="360" w:lineRule="auto"/>
        <w:jc w:val="left"/>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合同编号：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14:paraId="25B2C770">
      <w:pPr>
        <w:wordWrap/>
        <w:spacing w:line="360" w:lineRule="auto"/>
        <w:jc w:val="right"/>
        <w:rPr>
          <w:rFonts w:hint="eastAsia" w:ascii="仿宋" w:hAnsi="仿宋" w:eastAsia="仿宋" w:cs="仿宋"/>
          <w:sz w:val="36"/>
          <w:szCs w:val="36"/>
          <w:u w:val="single"/>
          <w:lang w:val="en-US" w:eastAsia="zh-CN"/>
        </w:rPr>
      </w:pPr>
    </w:p>
    <w:p w14:paraId="5C421D10">
      <w:pPr>
        <w:spacing w:line="360" w:lineRule="auto"/>
        <w:jc w:val="center"/>
        <w:rPr>
          <w:rFonts w:hint="eastAsia" w:ascii="仿宋" w:hAnsi="仿宋" w:eastAsia="仿宋" w:cs="仿宋"/>
          <w:sz w:val="36"/>
          <w:szCs w:val="36"/>
        </w:rPr>
      </w:pPr>
      <w:r>
        <w:rPr>
          <w:rFonts w:hint="eastAsia" w:ascii="仿宋" w:hAnsi="仿宋" w:eastAsia="仿宋" w:cs="仿宋"/>
          <w:sz w:val="36"/>
          <w:szCs w:val="36"/>
          <w:lang w:val="zh-CN" w:eastAsia="zh-CN"/>
        </w:rPr>
        <w:t>南海制剂中心实验室废气排放管道和风机环评验收改造</w:t>
      </w:r>
      <w:r>
        <w:rPr>
          <w:rFonts w:hint="eastAsia" w:ascii="仿宋" w:hAnsi="仿宋" w:eastAsia="仿宋" w:cs="仿宋"/>
          <w:sz w:val="36"/>
          <w:szCs w:val="36"/>
          <w:lang w:val="en-US" w:eastAsia="zh-CN"/>
        </w:rPr>
        <w:t>工程</w:t>
      </w:r>
      <w:r>
        <w:rPr>
          <w:rFonts w:hint="eastAsia" w:ascii="仿宋" w:hAnsi="仿宋" w:eastAsia="仿宋" w:cs="仿宋"/>
          <w:sz w:val="36"/>
          <w:szCs w:val="36"/>
          <w:lang w:val="zh-CN"/>
        </w:rPr>
        <w:t>项目</w:t>
      </w:r>
    </w:p>
    <w:p w14:paraId="155A6788">
      <w:pPr>
        <w:spacing w:line="360" w:lineRule="auto"/>
        <w:jc w:val="center"/>
        <w:rPr>
          <w:rFonts w:hint="eastAsia" w:ascii="仿宋" w:hAnsi="仿宋" w:eastAsia="仿宋" w:cs="仿宋"/>
          <w:sz w:val="32"/>
        </w:rPr>
      </w:pPr>
    </w:p>
    <w:p w14:paraId="1C0E4483">
      <w:pPr>
        <w:spacing w:line="360" w:lineRule="auto"/>
        <w:jc w:val="center"/>
        <w:rPr>
          <w:rFonts w:hint="eastAsia" w:ascii="仿宋" w:hAnsi="仿宋" w:eastAsia="仿宋" w:cs="仿宋"/>
          <w:sz w:val="32"/>
        </w:rPr>
      </w:pPr>
    </w:p>
    <w:p w14:paraId="27D716AA">
      <w:pPr>
        <w:pStyle w:val="6"/>
        <w:spacing w:line="360" w:lineRule="auto"/>
        <w:rPr>
          <w:rFonts w:hint="eastAsia" w:ascii="仿宋" w:hAnsi="仿宋" w:eastAsia="仿宋" w:cs="仿宋"/>
          <w:sz w:val="32"/>
        </w:rPr>
      </w:pPr>
    </w:p>
    <w:p w14:paraId="58CDF066">
      <w:pPr>
        <w:pStyle w:val="6"/>
        <w:spacing w:line="360" w:lineRule="auto"/>
        <w:rPr>
          <w:rFonts w:hint="eastAsia" w:ascii="仿宋" w:hAnsi="仿宋" w:eastAsia="仿宋" w:cs="仿宋"/>
          <w:sz w:val="32"/>
        </w:rPr>
      </w:pPr>
    </w:p>
    <w:p w14:paraId="041C9CC5">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合  同  书</w:t>
      </w:r>
    </w:p>
    <w:p w14:paraId="47398492">
      <w:pPr>
        <w:pStyle w:val="6"/>
        <w:spacing w:line="360" w:lineRule="auto"/>
        <w:rPr>
          <w:rFonts w:hint="eastAsia" w:ascii="仿宋" w:hAnsi="仿宋" w:eastAsia="仿宋" w:cs="仿宋"/>
          <w:b/>
          <w:sz w:val="72"/>
          <w:szCs w:val="72"/>
        </w:rPr>
      </w:pPr>
    </w:p>
    <w:p w14:paraId="10A8260E">
      <w:pPr>
        <w:pStyle w:val="6"/>
        <w:spacing w:line="360" w:lineRule="auto"/>
        <w:rPr>
          <w:rFonts w:hint="eastAsia" w:ascii="仿宋" w:hAnsi="仿宋" w:eastAsia="仿宋" w:cs="仿宋"/>
          <w:b/>
          <w:sz w:val="72"/>
          <w:szCs w:val="72"/>
        </w:rPr>
      </w:pPr>
    </w:p>
    <w:p w14:paraId="05E91F89">
      <w:pPr>
        <w:spacing w:line="360" w:lineRule="auto"/>
        <w:jc w:val="center"/>
        <w:rPr>
          <w:rFonts w:hint="eastAsia" w:ascii="仿宋" w:hAnsi="仿宋" w:eastAsia="仿宋" w:cs="仿宋"/>
          <w:sz w:val="32"/>
        </w:rPr>
      </w:pPr>
    </w:p>
    <w:p w14:paraId="5E33DD07">
      <w:pPr>
        <w:spacing w:line="360" w:lineRule="auto"/>
        <w:ind w:firstLine="1280" w:firstLineChars="400"/>
        <w:jc w:val="left"/>
        <w:rPr>
          <w:rFonts w:hint="eastAsia" w:ascii="仿宋" w:hAnsi="仿宋" w:eastAsia="仿宋" w:cs="仿宋"/>
          <w:sz w:val="32"/>
        </w:rPr>
      </w:pPr>
      <w:r>
        <w:rPr>
          <w:rFonts w:hint="eastAsia" w:ascii="仿宋" w:hAnsi="仿宋" w:eastAsia="仿宋" w:cs="仿宋"/>
          <w:sz w:val="32"/>
          <w:lang w:val="en-US" w:eastAsia="zh-CN"/>
        </w:rPr>
        <w:t>甲</w:t>
      </w:r>
      <w:r>
        <w:rPr>
          <w:rFonts w:hint="eastAsia" w:ascii="仿宋" w:hAnsi="仿宋" w:eastAsia="仿宋" w:cs="仿宋"/>
          <w:sz w:val="32"/>
        </w:rPr>
        <w:t>方：中山大学孙逸仙纪念医院</w:t>
      </w:r>
    </w:p>
    <w:p w14:paraId="61A38CBC">
      <w:pPr>
        <w:spacing w:line="360" w:lineRule="auto"/>
        <w:ind w:left="0" w:leftChars="0" w:firstLine="1280" w:firstLineChars="400"/>
        <w:rPr>
          <w:rFonts w:hint="eastAsia" w:ascii="仿宋" w:hAnsi="仿宋" w:eastAsia="仿宋" w:cs="仿宋"/>
          <w:sz w:val="32"/>
        </w:rPr>
      </w:pPr>
      <w:r>
        <w:rPr>
          <w:rFonts w:hint="eastAsia" w:ascii="仿宋" w:hAnsi="仿宋" w:eastAsia="仿宋" w:cs="仿宋"/>
          <w:sz w:val="32"/>
          <w:lang w:val="en-US" w:eastAsia="zh-CN"/>
        </w:rPr>
        <w:t>乙</w:t>
      </w:r>
      <w:r>
        <w:rPr>
          <w:rFonts w:hint="eastAsia" w:ascii="仿宋" w:hAnsi="仿宋" w:eastAsia="仿宋" w:cs="仿宋"/>
          <w:sz w:val="32"/>
        </w:rPr>
        <w:t>方：</w:t>
      </w:r>
    </w:p>
    <w:p w14:paraId="4D780F48">
      <w:pPr>
        <w:pStyle w:val="6"/>
        <w:spacing w:line="360" w:lineRule="auto"/>
        <w:rPr>
          <w:rFonts w:hint="eastAsia" w:ascii="仿宋" w:hAnsi="仿宋" w:eastAsia="仿宋" w:cs="仿宋"/>
          <w:sz w:val="32"/>
        </w:rPr>
      </w:pPr>
    </w:p>
    <w:p w14:paraId="37FF119A">
      <w:pPr>
        <w:pStyle w:val="6"/>
        <w:spacing w:line="360" w:lineRule="auto"/>
        <w:rPr>
          <w:rFonts w:hint="eastAsia" w:ascii="仿宋" w:hAnsi="仿宋" w:eastAsia="仿宋" w:cs="仿宋"/>
          <w:sz w:val="32"/>
        </w:rPr>
      </w:pPr>
    </w:p>
    <w:p w14:paraId="7831F832">
      <w:pPr>
        <w:pStyle w:val="6"/>
        <w:spacing w:line="360" w:lineRule="auto"/>
        <w:rPr>
          <w:rFonts w:hint="eastAsia" w:ascii="仿宋" w:hAnsi="仿宋" w:eastAsia="仿宋" w:cs="仿宋"/>
          <w:sz w:val="32"/>
        </w:rPr>
      </w:pPr>
    </w:p>
    <w:p w14:paraId="14B41952">
      <w:pPr>
        <w:spacing w:line="360" w:lineRule="auto"/>
        <w:jc w:val="center"/>
        <w:rPr>
          <w:rFonts w:hint="eastAsia" w:ascii="仿宋" w:hAnsi="仿宋" w:eastAsia="仿宋" w:cs="仿宋"/>
          <w:sz w:val="32"/>
        </w:rPr>
      </w:pPr>
      <w:r>
        <w:rPr>
          <w:rFonts w:hint="eastAsia" w:ascii="仿宋" w:hAnsi="仿宋" w:eastAsia="仿宋" w:cs="仿宋"/>
          <w:sz w:val="32"/>
        </w:rPr>
        <w:t>202</w:t>
      </w:r>
      <w:r>
        <w:rPr>
          <w:rFonts w:hint="eastAsia" w:ascii="仿宋" w:hAnsi="仿宋" w:eastAsia="仿宋" w:cs="仿宋"/>
          <w:sz w:val="32"/>
          <w:lang w:val="en-US" w:eastAsia="zh-CN"/>
        </w:rPr>
        <w:t>6</w:t>
      </w:r>
      <w:r>
        <w:rPr>
          <w:rFonts w:hint="eastAsia" w:ascii="仿宋" w:hAnsi="仿宋" w:eastAsia="仿宋" w:cs="仿宋"/>
          <w:sz w:val="32"/>
        </w:rPr>
        <w:t>年</w:t>
      </w:r>
      <w:r>
        <w:rPr>
          <w:rFonts w:hint="eastAsia" w:ascii="仿宋" w:hAnsi="仿宋" w:eastAsia="仿宋" w:cs="仿宋"/>
          <w:sz w:val="32"/>
          <w:lang w:val="en-US" w:eastAsia="zh-CN"/>
        </w:rPr>
        <w:t xml:space="preserve">  </w:t>
      </w:r>
      <w:r>
        <w:rPr>
          <w:rFonts w:hint="eastAsia" w:ascii="仿宋" w:hAnsi="仿宋" w:eastAsia="仿宋" w:cs="仿宋"/>
          <w:sz w:val="32"/>
        </w:rPr>
        <w:t>月</w:t>
      </w:r>
    </w:p>
    <w:p w14:paraId="1E06F44D">
      <w:pPr>
        <w:spacing w:line="360" w:lineRule="auto"/>
        <w:rPr>
          <w:rFonts w:hint="eastAsia" w:ascii="仿宋" w:hAnsi="仿宋" w:eastAsia="仿宋" w:cs="仿宋"/>
          <w:bCs/>
          <w:sz w:val="28"/>
          <w:szCs w:val="28"/>
        </w:rPr>
        <w:sectPr>
          <w:pgSz w:w="11906" w:h="16838"/>
          <w:pgMar w:top="1440" w:right="1800" w:bottom="1440" w:left="1800" w:header="851" w:footer="992" w:gutter="0"/>
          <w:pgNumType w:fmt="decimal"/>
          <w:cols w:space="425" w:num="1"/>
          <w:docGrid w:type="lines" w:linePitch="312" w:charSpace="0"/>
        </w:sectPr>
      </w:pPr>
    </w:p>
    <w:p w14:paraId="286D6FC2">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发包人（甲方）：中山大学孙逸仙纪念医院</w:t>
      </w:r>
    </w:p>
    <w:p w14:paraId="5D98F3B6">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承包人（乙方）：</w:t>
      </w:r>
    </w:p>
    <w:p w14:paraId="34C50B08">
      <w:pPr>
        <w:spacing w:line="360" w:lineRule="auto"/>
        <w:rPr>
          <w:rFonts w:hint="eastAsia" w:ascii="仿宋" w:hAnsi="仿宋" w:eastAsia="仿宋" w:cs="仿宋"/>
          <w:sz w:val="24"/>
        </w:rPr>
      </w:pPr>
      <w:r>
        <w:rPr>
          <w:rFonts w:hint="eastAsia" w:ascii="仿宋" w:hAnsi="仿宋" w:eastAsia="仿宋" w:cs="仿宋"/>
          <w:color w:val="000000"/>
          <w:sz w:val="24"/>
          <w:lang w:val="zh-CN"/>
        </w:rPr>
        <w:t xml:space="preserve">    依据《</w:t>
      </w:r>
      <w:r>
        <w:rPr>
          <w:rFonts w:hint="eastAsia" w:ascii="仿宋" w:hAnsi="仿宋" w:eastAsia="仿宋" w:cs="仿宋"/>
          <w:color w:val="000000"/>
          <w:sz w:val="24"/>
        </w:rPr>
        <w:t>中华人民共和国民法典》及</w:t>
      </w:r>
      <w:r>
        <w:rPr>
          <w:rFonts w:hint="eastAsia" w:ascii="仿宋" w:hAnsi="仿宋" w:eastAsia="仿宋" w:cs="仿宋"/>
          <w:color w:val="000000"/>
          <w:sz w:val="24"/>
          <w:lang w:val="zh-CN"/>
        </w:rPr>
        <w:t>国家</w:t>
      </w:r>
      <w:r>
        <w:rPr>
          <w:rFonts w:hint="eastAsia" w:ascii="仿宋" w:hAnsi="仿宋" w:eastAsia="仿宋" w:cs="仿宋"/>
          <w:color w:val="000000"/>
          <w:sz w:val="24"/>
        </w:rPr>
        <w:t>其他</w:t>
      </w:r>
      <w:r>
        <w:rPr>
          <w:rFonts w:hint="eastAsia" w:ascii="仿宋" w:hAnsi="仿宋" w:eastAsia="仿宋" w:cs="仿宋"/>
          <w:color w:val="000000"/>
          <w:sz w:val="24"/>
          <w:lang w:val="zh-CN"/>
        </w:rPr>
        <w:t>有关</w:t>
      </w:r>
      <w:r>
        <w:rPr>
          <w:rFonts w:hint="eastAsia" w:ascii="仿宋" w:hAnsi="仿宋" w:eastAsia="仿宋" w:cs="仿宋"/>
          <w:color w:val="000000"/>
          <w:sz w:val="24"/>
        </w:rPr>
        <w:t>法律</w:t>
      </w:r>
      <w:r>
        <w:rPr>
          <w:rFonts w:hint="eastAsia" w:ascii="仿宋" w:hAnsi="仿宋" w:eastAsia="仿宋" w:cs="仿宋"/>
          <w:color w:val="000000"/>
          <w:sz w:val="24"/>
          <w:lang w:val="zh-CN"/>
        </w:rPr>
        <w:t>，</w:t>
      </w:r>
      <w:r>
        <w:rPr>
          <w:rFonts w:hint="eastAsia" w:ascii="仿宋" w:hAnsi="仿宋" w:eastAsia="仿宋" w:cs="仿宋"/>
          <w:sz w:val="24"/>
        </w:rPr>
        <w:t>遵循平等、自愿、公平和诚实信用的原则，甲乙双方就本工程施工事项协商一致，并订立本合同。</w:t>
      </w:r>
    </w:p>
    <w:p w14:paraId="45344FF2">
      <w:pPr>
        <w:autoSpaceDE w:val="0"/>
        <w:autoSpaceDN w:val="0"/>
        <w:adjustRightInd w:val="0"/>
        <w:spacing w:line="360" w:lineRule="auto"/>
        <w:ind w:right="722" w:rightChars="344"/>
        <w:rPr>
          <w:rFonts w:hint="eastAsia" w:ascii="仿宋" w:hAnsi="仿宋" w:eastAsia="仿宋" w:cs="仿宋"/>
          <w:b/>
          <w:bCs/>
          <w:color w:val="000000"/>
          <w:sz w:val="28"/>
          <w:szCs w:val="28"/>
        </w:rPr>
      </w:pPr>
      <w:r>
        <w:rPr>
          <w:rFonts w:hint="eastAsia" w:ascii="仿宋" w:hAnsi="仿宋" w:eastAsia="仿宋" w:cs="仿宋"/>
          <w:color w:val="000000"/>
          <w:sz w:val="28"/>
          <w:szCs w:val="28"/>
          <w:lang w:val="zh-CN"/>
        </w:rPr>
        <w:t>一、</w:t>
      </w:r>
      <w:r>
        <w:rPr>
          <w:rFonts w:hint="eastAsia" w:ascii="仿宋" w:hAnsi="仿宋" w:eastAsia="仿宋" w:cs="仿宋"/>
          <w:b/>
          <w:bCs/>
          <w:color w:val="000000"/>
          <w:sz w:val="28"/>
          <w:szCs w:val="28"/>
          <w:lang w:val="zh-CN"/>
        </w:rPr>
        <w:t>工程概况</w:t>
      </w:r>
    </w:p>
    <w:p w14:paraId="38D14D36">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1、工程名称：</w:t>
      </w:r>
      <w:r>
        <w:rPr>
          <w:rFonts w:hint="eastAsia" w:ascii="仿宋" w:hAnsi="仿宋" w:eastAsia="仿宋" w:cs="仿宋"/>
          <w:color w:val="000000"/>
          <w:sz w:val="24"/>
          <w:szCs w:val="24"/>
          <w:lang w:val="zh-CN" w:eastAsia="zh-CN"/>
        </w:rPr>
        <w:t>南海制剂中心实验室废气排放管道和风机环评验收改造</w:t>
      </w:r>
      <w:r>
        <w:rPr>
          <w:rFonts w:hint="eastAsia" w:ascii="仿宋" w:hAnsi="仿宋" w:eastAsia="仿宋" w:cs="仿宋"/>
          <w:color w:val="000000"/>
          <w:sz w:val="24"/>
          <w:szCs w:val="24"/>
          <w:lang w:val="en-US" w:eastAsia="zh-CN"/>
        </w:rPr>
        <w:t>工程</w:t>
      </w:r>
      <w:r>
        <w:rPr>
          <w:rFonts w:hint="eastAsia" w:ascii="仿宋" w:hAnsi="仿宋" w:eastAsia="仿宋" w:cs="仿宋"/>
          <w:color w:val="000000"/>
          <w:sz w:val="24"/>
          <w:lang w:val="zh-CN"/>
        </w:rPr>
        <w:t>。</w:t>
      </w:r>
    </w:p>
    <w:p w14:paraId="4B5ACCCD">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2、工程地点：</w:t>
      </w:r>
      <w:r>
        <w:rPr>
          <w:rFonts w:hint="eastAsia" w:ascii="仿宋" w:hAnsi="仿宋" w:eastAsia="仿宋" w:cs="仿宋"/>
          <w:color w:val="000000"/>
          <w:kern w:val="2"/>
          <w:sz w:val="24"/>
          <w:szCs w:val="24"/>
          <w:u w:val="none"/>
          <w:lang w:val="zh-CN"/>
        </w:rPr>
        <w:t>佛山市南海区桂城街道石龙北路15号御堡国际商务中心一座</w:t>
      </w:r>
      <w:r>
        <w:rPr>
          <w:rFonts w:hint="eastAsia" w:ascii="仿宋" w:hAnsi="仿宋" w:eastAsia="仿宋" w:cs="仿宋"/>
          <w:color w:val="000000"/>
          <w:sz w:val="24"/>
          <w:lang w:val="en-US" w:eastAsia="zh-CN"/>
        </w:rPr>
        <w:t>。</w:t>
      </w:r>
    </w:p>
    <w:p w14:paraId="3B216133">
      <w:pPr>
        <w:spacing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3</w:t>
      </w:r>
      <w:r>
        <w:rPr>
          <w:rFonts w:hint="eastAsia" w:ascii="仿宋" w:hAnsi="仿宋" w:eastAsia="仿宋" w:cs="仿宋"/>
          <w:color w:val="000000"/>
          <w:sz w:val="24"/>
          <w:lang w:val="zh-CN"/>
        </w:rPr>
        <w:t>、工程合同暂定价：</w:t>
      </w:r>
      <w:r>
        <w:rPr>
          <w:rFonts w:hint="eastAsia" w:ascii="仿宋" w:hAnsi="仿宋" w:eastAsia="仿宋" w:cs="仿宋"/>
          <w:color w:val="000000"/>
          <w:sz w:val="24"/>
        </w:rPr>
        <w:t>人</w:t>
      </w:r>
      <w:r>
        <w:rPr>
          <w:rFonts w:hint="eastAsia" w:ascii="仿宋" w:hAnsi="仿宋" w:eastAsia="仿宋" w:cs="仿宋"/>
          <w:color w:val="000000"/>
          <w:sz w:val="24"/>
          <w:lang w:val="zh-CN"/>
        </w:rPr>
        <w:t>民币</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val="zh-CN"/>
        </w:rPr>
        <w:t>元，大写：</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val="zh-CN"/>
        </w:rPr>
        <w:t>。</w:t>
      </w:r>
    </w:p>
    <w:p w14:paraId="39E9BA74">
      <w:pPr>
        <w:pStyle w:val="11"/>
        <w:snapToGrid/>
        <w:spacing w:line="360" w:lineRule="auto"/>
        <w:ind w:firstLine="480" w:firstLineChars="200"/>
        <w:jc w:val="left"/>
        <w:outlineLvl w:val="0"/>
        <w:rPr>
          <w:rFonts w:hint="eastAsia" w:ascii="仿宋" w:hAnsi="仿宋" w:eastAsia="仿宋" w:cs="仿宋"/>
          <w:color w:val="000000"/>
          <w:sz w:val="24"/>
          <w:szCs w:val="24"/>
          <w:lang w:val="en-US" w:eastAsia="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工程</w:t>
      </w:r>
      <w:r>
        <w:rPr>
          <w:rFonts w:hint="eastAsia" w:ascii="仿宋" w:hAnsi="仿宋" w:eastAsia="仿宋" w:cs="仿宋"/>
          <w:color w:val="000000"/>
          <w:sz w:val="24"/>
        </w:rPr>
        <w:t>内</w:t>
      </w:r>
      <w:r>
        <w:rPr>
          <w:rFonts w:hint="eastAsia" w:ascii="仿宋" w:hAnsi="仿宋" w:eastAsia="仿宋" w:cs="仿宋"/>
          <w:color w:val="000000"/>
          <w:sz w:val="24"/>
          <w:szCs w:val="24"/>
          <w:lang w:val="zh-CN"/>
        </w:rPr>
        <w:t>容：</w:t>
      </w:r>
      <w:r>
        <w:rPr>
          <w:rFonts w:hint="eastAsia" w:ascii="仿宋" w:hAnsi="仿宋" w:eastAsia="仿宋" w:cs="仿宋"/>
          <w:color w:val="000000"/>
          <w:sz w:val="24"/>
          <w:szCs w:val="24"/>
          <w:lang w:val="en-US" w:eastAsia="zh-CN"/>
        </w:rPr>
        <w:t>位于广东省</w:t>
      </w:r>
      <w:r>
        <w:rPr>
          <w:rFonts w:hint="eastAsia" w:ascii="仿宋" w:hAnsi="仿宋" w:eastAsia="仿宋" w:cs="仿宋"/>
          <w:color w:val="000000"/>
          <w:kern w:val="2"/>
          <w:sz w:val="24"/>
          <w:szCs w:val="24"/>
          <w:u w:val="none"/>
          <w:lang w:val="en-US"/>
        </w:rPr>
        <w:t>佛山市南海区桂城街道石龙北路15号御堡国际商务中心一座</w:t>
      </w:r>
      <w:r>
        <w:rPr>
          <w:rFonts w:hint="eastAsia" w:ascii="仿宋" w:hAnsi="仿宋" w:eastAsia="仿宋" w:cs="仿宋"/>
          <w:color w:val="000000"/>
          <w:sz w:val="24"/>
          <w:szCs w:val="24"/>
          <w:lang w:val="en-US" w:eastAsia="zh-CN"/>
        </w:rPr>
        <w:t>中山大学孙逸仙纪念医院南海制剂中心实验室，</w:t>
      </w:r>
      <w:r>
        <w:rPr>
          <w:rFonts w:hint="eastAsia" w:ascii="仿宋" w:hAnsi="仿宋" w:eastAsia="仿宋" w:cs="仿宋"/>
          <w:color w:val="000000"/>
          <w:sz w:val="24"/>
          <w:szCs w:val="24"/>
          <w:vertAlign w:val="baseline"/>
          <w:lang w:val="en-US" w:eastAsia="zh-CN"/>
        </w:rPr>
        <w:t>南海制剂中心</w:t>
      </w:r>
      <w:r>
        <w:rPr>
          <w:rFonts w:hint="eastAsia" w:ascii="仿宋" w:hAnsi="仿宋" w:eastAsia="仿宋" w:cs="仿宋"/>
          <w:i w:val="0"/>
          <w:iCs w:val="0"/>
          <w:caps w:val="0"/>
          <w:color w:val="000000"/>
          <w:spacing w:val="0"/>
          <w:sz w:val="24"/>
          <w:szCs w:val="24"/>
          <w:shd w:val="clear" w:fill="auto"/>
          <w:lang w:val="en-US" w:eastAsia="zh-CN"/>
        </w:rPr>
        <w:t>4楼实验室6个万向罩接入新做的排风系统，外墙增加两条De160防腐蚀排风管通向天面废气处理系统，其余4个万向罩接入旧的排风系统。4楼风管内增加电动调节阀，能独立控制万向罩废气排放</w:t>
      </w:r>
      <w:r>
        <w:rPr>
          <w:rFonts w:hint="eastAsia" w:ascii="仿宋" w:hAnsi="仿宋" w:eastAsia="仿宋" w:cs="仿宋"/>
          <w:color w:val="000000"/>
          <w:sz w:val="24"/>
          <w:szCs w:val="24"/>
          <w:lang w:val="en-US" w:eastAsia="zh-CN"/>
        </w:rPr>
        <w:t>。</w:t>
      </w:r>
    </w:p>
    <w:p w14:paraId="11248540">
      <w:pPr>
        <w:pStyle w:val="11"/>
        <w:spacing w:line="360" w:lineRule="auto"/>
        <w:ind w:right="-42" w:firstLine="480" w:firstLineChars="200"/>
        <w:outlineLvl w:val="0"/>
        <w:rPr>
          <w:rFonts w:hint="eastAsia" w:ascii="仿宋" w:hAnsi="仿宋" w:eastAsia="仿宋" w:cs="仿宋"/>
          <w:color w:val="000000"/>
          <w:sz w:val="24"/>
          <w:szCs w:val="24"/>
        </w:rPr>
      </w:pPr>
      <w:r>
        <w:rPr>
          <w:rFonts w:hint="eastAsia" w:ascii="仿宋" w:hAnsi="仿宋" w:eastAsia="仿宋" w:cs="仿宋"/>
          <w:i w:val="0"/>
          <w:iCs w:val="0"/>
          <w:caps w:val="0"/>
          <w:color w:val="000000"/>
          <w:spacing w:val="0"/>
          <w:sz w:val="24"/>
          <w:szCs w:val="24"/>
          <w:shd w:val="clear"/>
          <w:lang w:val="en-US" w:eastAsia="zh-CN"/>
        </w:rPr>
        <w:t>另外，在</w:t>
      </w:r>
      <w:r>
        <w:rPr>
          <w:rFonts w:hint="eastAsia" w:ascii="仿宋" w:hAnsi="仿宋" w:eastAsia="仿宋" w:cs="仿宋"/>
          <w:i w:val="0"/>
          <w:iCs w:val="0"/>
          <w:caps w:val="0"/>
          <w:color w:val="000000"/>
          <w:spacing w:val="0"/>
          <w:sz w:val="24"/>
          <w:szCs w:val="24"/>
          <w:shd w:val="clear" w:fill="auto"/>
          <w:lang w:val="en-US" w:eastAsia="zh-CN"/>
        </w:rPr>
        <w:t>一座天面更换原来4楼实验室和中药提取车间的活性炭箱和风机，4楼实验室废气处理系统使用处理风量11000m³/h的800碘值活性炭吸附箱，中药提取车间使用处理风量5000m³/h的800碘值活性炭吸附箱。</w:t>
      </w:r>
      <w:r>
        <w:rPr>
          <w:rFonts w:hint="eastAsia" w:ascii="仿宋" w:hAnsi="仿宋" w:eastAsia="仿宋" w:cs="仿宋"/>
          <w:i w:val="0"/>
          <w:iCs w:val="0"/>
          <w:caps w:val="0"/>
          <w:color w:val="000000"/>
          <w:spacing w:val="0"/>
          <w:sz w:val="24"/>
          <w:szCs w:val="24"/>
          <w:shd w:val="clear"/>
          <w:lang w:val="en-US" w:eastAsia="zh-CN"/>
        </w:rPr>
        <w:t>其中，</w:t>
      </w:r>
      <w:r>
        <w:rPr>
          <w:rFonts w:hint="eastAsia" w:ascii="仿宋" w:hAnsi="仿宋" w:eastAsia="仿宋" w:cs="仿宋"/>
          <w:i w:val="0"/>
          <w:iCs w:val="0"/>
          <w:caps w:val="0"/>
          <w:color w:val="000000"/>
          <w:spacing w:val="0"/>
          <w:sz w:val="24"/>
          <w:szCs w:val="24"/>
          <w:shd w:val="clear" w:fill="auto"/>
          <w:lang w:val="en-US" w:eastAsia="zh-CN"/>
        </w:rPr>
        <w:t>风机选用变频玻璃钢离心风机，能通过控制器调节排风量</w:t>
      </w:r>
      <w:r>
        <w:rPr>
          <w:rFonts w:hint="eastAsia" w:ascii="仿宋" w:hAnsi="仿宋" w:eastAsia="仿宋" w:cs="仿宋"/>
          <w:i w:val="0"/>
          <w:iCs w:val="0"/>
          <w:caps w:val="0"/>
          <w:color w:val="000000"/>
          <w:spacing w:val="0"/>
          <w:sz w:val="24"/>
          <w:szCs w:val="24"/>
          <w:shd w:val="clear"/>
          <w:lang w:val="en-US" w:eastAsia="zh-CN"/>
        </w:rPr>
        <w:t>。</w:t>
      </w:r>
    </w:p>
    <w:p w14:paraId="5B447D20">
      <w:pPr>
        <w:pStyle w:val="11"/>
        <w:spacing w:line="360" w:lineRule="auto"/>
        <w:ind w:firstLine="480" w:firstLineChars="200"/>
        <w:jc w:val="left"/>
        <w:outlineLvl w:val="0"/>
        <w:rPr>
          <w:rFonts w:hint="eastAsia" w:ascii="仿宋" w:hAnsi="仿宋" w:eastAsia="仿宋" w:cs="仿宋"/>
          <w:color w:val="000000"/>
          <w:sz w:val="24"/>
          <w:lang w:val="zh-CN"/>
        </w:rPr>
      </w:pPr>
      <w:r>
        <w:rPr>
          <w:rFonts w:hint="eastAsia" w:ascii="仿宋" w:hAnsi="仿宋" w:eastAsia="仿宋" w:cs="仿宋"/>
          <w:color w:val="000000"/>
          <w:sz w:val="24"/>
          <w:szCs w:val="24"/>
        </w:rPr>
        <w:t>具体详细要求</w:t>
      </w:r>
      <w:r>
        <w:rPr>
          <w:rFonts w:hint="eastAsia" w:ascii="仿宋" w:hAnsi="仿宋" w:eastAsia="仿宋" w:cs="仿宋"/>
          <w:color w:val="000000"/>
          <w:sz w:val="24"/>
          <w:szCs w:val="24"/>
          <w:lang w:val="zh-CN"/>
        </w:rPr>
        <w:t>详见附件</w:t>
      </w:r>
      <w:r>
        <w:rPr>
          <w:rFonts w:hint="eastAsia" w:ascii="仿宋" w:hAnsi="仿宋" w:eastAsia="仿宋" w:cs="仿宋"/>
          <w:color w:val="000000"/>
          <w:sz w:val="24"/>
          <w:szCs w:val="24"/>
        </w:rPr>
        <w:t>1</w:t>
      </w:r>
      <w:r>
        <w:rPr>
          <w:rFonts w:hint="eastAsia" w:ascii="仿宋" w:hAnsi="仿宋" w:eastAsia="仿宋" w:cs="仿宋"/>
          <w:color w:val="000000"/>
          <w:sz w:val="24"/>
          <w:szCs w:val="24"/>
          <w:lang w:val="zh-CN"/>
        </w:rPr>
        <w:t>—</w:t>
      </w:r>
      <w:r>
        <w:rPr>
          <w:rFonts w:hint="eastAsia" w:ascii="仿宋" w:hAnsi="仿宋" w:eastAsia="仿宋" w:cs="仿宋"/>
          <w:color w:val="000000"/>
          <w:sz w:val="24"/>
          <w:szCs w:val="24"/>
          <w:lang w:val="zh-CN" w:eastAsia="zh-CN"/>
        </w:rPr>
        <w:t>南海制剂中心实验室废气排放管道和风机环评验收改造</w:t>
      </w:r>
      <w:r>
        <w:rPr>
          <w:rFonts w:hint="eastAsia" w:ascii="仿宋" w:hAnsi="仿宋" w:eastAsia="仿宋" w:cs="仿宋"/>
          <w:color w:val="000000"/>
          <w:sz w:val="24"/>
        </w:rPr>
        <w:t>项目</w:t>
      </w:r>
      <w:r>
        <w:rPr>
          <w:rFonts w:hint="eastAsia" w:ascii="仿宋" w:hAnsi="仿宋" w:eastAsia="仿宋" w:cs="仿宋"/>
          <w:color w:val="000000"/>
          <w:sz w:val="24"/>
          <w:szCs w:val="24"/>
          <w:lang w:val="zh-CN"/>
        </w:rPr>
        <w:t>工程量清单。</w:t>
      </w:r>
    </w:p>
    <w:p w14:paraId="6D812337">
      <w:pPr>
        <w:spacing w:line="360" w:lineRule="auto"/>
        <w:ind w:firstLine="480" w:firstLineChars="200"/>
        <w:rPr>
          <w:rFonts w:hint="eastAsia" w:ascii="仿宋" w:hAnsi="仿宋" w:eastAsia="仿宋" w:cs="仿宋"/>
          <w:b/>
          <w:bCs/>
          <w:color w:val="000000"/>
          <w:sz w:val="24"/>
          <w:lang w:eastAsia="zh-CN"/>
        </w:rPr>
      </w:pPr>
      <w:r>
        <w:rPr>
          <w:rFonts w:hint="eastAsia" w:ascii="仿宋" w:hAnsi="仿宋" w:eastAsia="仿宋" w:cs="仿宋"/>
          <w:color w:val="000000"/>
          <w:sz w:val="24"/>
        </w:rPr>
        <w:t>5、工期：</w:t>
      </w:r>
      <w:r>
        <w:rPr>
          <w:rFonts w:hint="eastAsia" w:ascii="仿宋" w:hAnsi="仿宋" w:eastAsia="仿宋" w:cs="仿宋"/>
          <w:color w:val="000000"/>
          <w:sz w:val="24"/>
          <w:lang w:val="en-US" w:eastAsia="zh-CN"/>
        </w:rPr>
        <w:t>30</w:t>
      </w:r>
      <w:r>
        <w:rPr>
          <w:rFonts w:hint="eastAsia" w:ascii="仿宋" w:hAnsi="仿宋" w:eastAsia="仿宋" w:cs="仿宋"/>
          <w:color w:val="000000"/>
          <w:sz w:val="24"/>
        </w:rPr>
        <w:t>日历天，此工期不包含因变更引起的工期顺延(备注：医院重大活动等要求不能施工的，工期进行顺延)</w:t>
      </w:r>
      <w:r>
        <w:rPr>
          <w:rFonts w:hint="eastAsia" w:ascii="仿宋" w:hAnsi="仿宋" w:eastAsia="仿宋" w:cs="仿宋"/>
          <w:color w:val="000000"/>
          <w:sz w:val="24"/>
          <w:lang w:eastAsia="zh-CN"/>
        </w:rPr>
        <w:t>。</w:t>
      </w:r>
    </w:p>
    <w:p w14:paraId="7AAC399C">
      <w:pPr>
        <w:spacing w:line="360" w:lineRule="auto"/>
        <w:ind w:firstLine="480" w:firstLineChars="200"/>
        <w:rPr>
          <w:rFonts w:hint="eastAsia" w:ascii="仿宋" w:hAnsi="仿宋" w:eastAsia="仿宋" w:cs="仿宋"/>
          <w:b/>
          <w:bCs/>
          <w:color w:val="000000"/>
          <w:sz w:val="24"/>
          <w:lang w:eastAsia="zh-CN"/>
        </w:rPr>
      </w:pPr>
      <w:r>
        <w:rPr>
          <w:rFonts w:hint="eastAsia" w:ascii="仿宋" w:hAnsi="仿宋" w:eastAsia="仿宋" w:cs="仿宋"/>
          <w:color w:val="000000"/>
          <w:sz w:val="24"/>
        </w:rPr>
        <w:t>6、工程质保期：</w:t>
      </w:r>
      <w:r>
        <w:rPr>
          <w:rFonts w:hint="eastAsia" w:ascii="仿宋" w:hAnsi="仿宋" w:eastAsia="仿宋" w:cs="仿宋"/>
          <w:sz w:val="24"/>
          <w:lang w:eastAsia="zh-CN"/>
        </w:rPr>
        <w:t>自工程竣工验收合格之日起算1年。</w:t>
      </w:r>
    </w:p>
    <w:p w14:paraId="05DC480A">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二、</w:t>
      </w:r>
      <w:r>
        <w:rPr>
          <w:rFonts w:hint="eastAsia" w:ascii="仿宋" w:hAnsi="仿宋" w:eastAsia="仿宋" w:cs="仿宋"/>
          <w:b/>
          <w:bCs/>
          <w:color w:val="000000"/>
          <w:sz w:val="28"/>
          <w:szCs w:val="28"/>
        </w:rPr>
        <w:t>工程承包范围</w:t>
      </w:r>
    </w:p>
    <w:p w14:paraId="6EC7B623">
      <w:pPr>
        <w:spacing w:line="360" w:lineRule="auto"/>
        <w:ind w:firstLine="480" w:firstLineChars="200"/>
        <w:rPr>
          <w:rFonts w:hint="default" w:ascii="仿宋" w:hAnsi="仿宋" w:eastAsia="仿宋" w:cs="仿宋"/>
          <w:color w:val="000000"/>
          <w:sz w:val="24"/>
          <w:lang w:val="en-US"/>
        </w:rPr>
      </w:pPr>
      <w:r>
        <w:rPr>
          <w:rFonts w:hint="eastAsia" w:ascii="仿宋" w:hAnsi="仿宋" w:eastAsia="仿宋" w:cs="仿宋"/>
          <w:color w:val="000000"/>
          <w:sz w:val="24"/>
        </w:rPr>
        <w:t>承包范围：本工程范围包工、包料、包工期、包质量、包安全、包文明施工、工程量按实结算。</w:t>
      </w:r>
    </w:p>
    <w:p w14:paraId="6ACEA0D4">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三、甲方工作及责任</w:t>
      </w:r>
    </w:p>
    <w:p w14:paraId="3B5E0711">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1、</w:t>
      </w:r>
      <w:r>
        <w:rPr>
          <w:rFonts w:hint="eastAsia" w:ascii="仿宋" w:hAnsi="仿宋" w:eastAsia="仿宋" w:cs="仿宋"/>
          <w:color w:val="000000"/>
          <w:sz w:val="24"/>
        </w:rPr>
        <w:t>协助乙方做好施工前准备工作；</w:t>
      </w:r>
    </w:p>
    <w:p w14:paraId="38F7D1DD">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2、施工期间协助乙方做好沟通协调</w:t>
      </w:r>
      <w:r>
        <w:rPr>
          <w:rFonts w:hint="eastAsia" w:ascii="仿宋" w:hAnsi="仿宋" w:eastAsia="仿宋" w:cs="仿宋"/>
          <w:color w:val="000000"/>
          <w:sz w:val="24"/>
          <w:lang w:eastAsia="zh-CN"/>
        </w:rPr>
        <w:t>；</w:t>
      </w:r>
    </w:p>
    <w:p w14:paraId="2A5DBCB1">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en-US" w:eastAsia="zh-CN"/>
        </w:rPr>
        <w:t>3、按照合同约定的方式支付工程款。</w:t>
      </w:r>
    </w:p>
    <w:p w14:paraId="4E667FE9">
      <w:pPr>
        <w:autoSpaceDE w:val="0"/>
        <w:autoSpaceDN w:val="0"/>
        <w:adjustRightInd w:val="0"/>
        <w:spacing w:line="360" w:lineRule="auto"/>
        <w:rPr>
          <w:rFonts w:hint="eastAsia" w:ascii="仿宋" w:hAnsi="仿宋" w:eastAsia="仿宋" w:cs="仿宋"/>
          <w:b/>
          <w:bCs/>
          <w:color w:val="000000"/>
          <w:sz w:val="28"/>
          <w:szCs w:val="28"/>
          <w:lang w:val="zh-CN"/>
        </w:rPr>
      </w:pPr>
      <w:r>
        <w:rPr>
          <w:rFonts w:hint="eastAsia" w:ascii="仿宋" w:hAnsi="仿宋" w:eastAsia="仿宋" w:cs="仿宋"/>
          <w:b/>
          <w:bCs/>
          <w:sz w:val="28"/>
          <w:szCs w:val="28"/>
        </w:rPr>
        <w:t>四</w:t>
      </w:r>
      <w:r>
        <w:rPr>
          <w:rFonts w:hint="eastAsia" w:ascii="仿宋" w:hAnsi="仿宋" w:eastAsia="仿宋" w:cs="仿宋"/>
          <w:b/>
          <w:bCs/>
          <w:color w:val="000000"/>
          <w:sz w:val="28"/>
          <w:szCs w:val="28"/>
          <w:lang w:val="zh-CN"/>
        </w:rPr>
        <w:t>、乙方工作及责任</w:t>
      </w:r>
    </w:p>
    <w:p w14:paraId="24472AF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1、工程项目开工前，</w:t>
      </w:r>
      <w:r>
        <w:rPr>
          <w:rFonts w:hint="eastAsia" w:ascii="仿宋" w:hAnsi="仿宋" w:eastAsia="仿宋" w:cs="仿宋"/>
          <w:color w:val="000000"/>
          <w:sz w:val="24"/>
          <w:lang w:val="en-US" w:eastAsia="zh-CN"/>
        </w:rPr>
        <w:t>乙方</w:t>
      </w:r>
      <w:r>
        <w:rPr>
          <w:rFonts w:hint="eastAsia" w:ascii="仿宋" w:hAnsi="仿宋" w:eastAsia="仿宋" w:cs="仿宋"/>
          <w:color w:val="000000"/>
          <w:sz w:val="24"/>
          <w:lang w:val="zh-CN"/>
        </w:rPr>
        <w:t>须将所有进场作业人员身份信息报送保卫科及主管科室备案留存备查，人员信息</w:t>
      </w:r>
      <w:r>
        <w:rPr>
          <w:rFonts w:hint="eastAsia" w:ascii="仿宋" w:hAnsi="仿宋" w:eastAsia="仿宋" w:cs="仿宋"/>
          <w:color w:val="000000"/>
          <w:sz w:val="24"/>
          <w:lang w:val="en-US" w:eastAsia="zh-CN"/>
        </w:rPr>
        <w:t>需</w:t>
      </w:r>
      <w:r>
        <w:rPr>
          <w:rFonts w:hint="eastAsia" w:ascii="仿宋" w:hAnsi="仿宋" w:eastAsia="仿宋" w:cs="仿宋"/>
          <w:color w:val="000000"/>
          <w:sz w:val="24"/>
          <w:lang w:val="zh-CN"/>
        </w:rPr>
        <w:t>经</w:t>
      </w:r>
      <w:r>
        <w:rPr>
          <w:rFonts w:hint="eastAsia" w:ascii="仿宋" w:hAnsi="仿宋" w:eastAsia="仿宋" w:cs="仿宋"/>
          <w:color w:val="000000"/>
          <w:sz w:val="24"/>
          <w:lang w:val="en-US" w:eastAsia="zh-CN"/>
        </w:rPr>
        <w:t>甲方</w:t>
      </w:r>
      <w:r>
        <w:rPr>
          <w:rFonts w:hint="eastAsia" w:ascii="仿宋" w:hAnsi="仿宋" w:eastAsia="仿宋" w:cs="仿宋"/>
          <w:color w:val="000000"/>
          <w:sz w:val="24"/>
          <w:lang w:val="zh-CN"/>
        </w:rPr>
        <w:t>审核通过后方可准许人员进场施工。</w:t>
      </w:r>
    </w:p>
    <w:p w14:paraId="0AB2A4A2">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同时，</w:t>
      </w:r>
      <w:r>
        <w:rPr>
          <w:rFonts w:hint="eastAsia" w:ascii="仿宋" w:hAnsi="仿宋" w:eastAsia="仿宋" w:cs="仿宋"/>
          <w:color w:val="000000"/>
          <w:sz w:val="24"/>
          <w:lang w:val="en-US" w:eastAsia="zh-CN"/>
        </w:rPr>
        <w:t>乙方</w:t>
      </w:r>
      <w:r>
        <w:rPr>
          <w:rFonts w:hint="eastAsia" w:ascii="仿宋" w:hAnsi="仿宋" w:eastAsia="仿宋" w:cs="仿宋"/>
          <w:color w:val="000000"/>
          <w:sz w:val="24"/>
          <w:lang w:val="zh-CN"/>
        </w:rPr>
        <w:t>需于开工前编制完整施工实施方案与施工进度计划并提交甲方，待甲方审核批复同意后，方可依照方案组织现场施工。</w:t>
      </w:r>
    </w:p>
    <w:p w14:paraId="411B7334">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eastAsia="zh-CN"/>
        </w:rPr>
        <w:t>进场前</w:t>
      </w:r>
      <w:r>
        <w:rPr>
          <w:rFonts w:hint="eastAsia" w:ascii="仿宋" w:hAnsi="仿宋" w:eastAsia="仿宋" w:cs="仿宋"/>
          <w:color w:val="000000"/>
          <w:sz w:val="24"/>
          <w:szCs w:val="24"/>
          <w:lang w:val="zh-CN" w:eastAsia="zh-CN"/>
        </w:rPr>
        <w:t>应提供施工人员身份证、特种行业操作证复印件，办理施工人员临时出入证。</w:t>
      </w:r>
    </w:p>
    <w:p w14:paraId="13F4F77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、按</w:t>
      </w:r>
      <w:r>
        <w:rPr>
          <w:rFonts w:hint="eastAsia" w:ascii="仿宋" w:hAnsi="仿宋" w:eastAsia="仿宋" w:cs="仿宋"/>
          <w:color w:val="000000"/>
          <w:sz w:val="24"/>
        </w:rPr>
        <w:t>合同</w:t>
      </w:r>
      <w:r>
        <w:rPr>
          <w:rFonts w:hint="eastAsia" w:ascii="仿宋" w:hAnsi="仿宋" w:eastAsia="仿宋" w:cs="仿宋"/>
          <w:color w:val="000000"/>
          <w:sz w:val="24"/>
          <w:lang w:val="zh-CN"/>
        </w:rPr>
        <w:t>要求组织施工，保质、保量、按期完成施工任务，解决由乙方负责的各项事宜。</w:t>
      </w:r>
    </w:p>
    <w:p w14:paraId="47FEAD7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、在施工过程中发生工伤事故和劳动纠纷等，由乙方自行承担。</w:t>
      </w:r>
    </w:p>
    <w:p w14:paraId="3EEB84C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、乙方应遵守工程建设安全生产有关管理规定，</w:t>
      </w:r>
      <w:r>
        <w:rPr>
          <w:rFonts w:hint="eastAsia" w:ascii="仿宋" w:hAnsi="仿宋" w:eastAsia="仿宋" w:cs="仿宋"/>
          <w:color w:val="000000"/>
          <w:sz w:val="24"/>
          <w:lang w:val="en-US" w:eastAsia="zh-CN"/>
        </w:rPr>
        <w:t>如涉及</w:t>
      </w:r>
      <w:r>
        <w:rPr>
          <w:rFonts w:hint="eastAsia" w:ascii="仿宋" w:hAnsi="仿宋" w:eastAsia="仿宋" w:cs="仿宋"/>
          <w:i w:val="0"/>
          <w:iCs w:val="0"/>
          <w:caps w:val="0"/>
          <w:color w:val="000000"/>
          <w:spacing w:val="0"/>
          <w:sz w:val="24"/>
          <w:szCs w:val="24"/>
          <w:shd w:val="clear" w:fill="auto"/>
        </w:rPr>
        <w:t>高空作业等危险工作</w:t>
      </w:r>
      <w:r>
        <w:rPr>
          <w:rFonts w:hint="eastAsia" w:ascii="仿宋" w:hAnsi="仿宋" w:eastAsia="仿宋" w:cs="仿宋"/>
          <w:i w:val="0"/>
          <w:iCs w:val="0"/>
          <w:caps w:val="0"/>
          <w:color w:val="000000"/>
          <w:spacing w:val="0"/>
          <w:sz w:val="24"/>
          <w:szCs w:val="24"/>
          <w:shd w:val="clear" w:fill="auto"/>
          <w:lang w:val="en-US" w:eastAsia="zh-CN"/>
        </w:rPr>
        <w:t>时，</w:t>
      </w:r>
      <w:r>
        <w:rPr>
          <w:rFonts w:hint="eastAsia" w:ascii="仿宋" w:hAnsi="仿宋" w:eastAsia="仿宋" w:cs="仿宋"/>
          <w:color w:val="000000"/>
          <w:sz w:val="24"/>
          <w:lang w:val="en-US" w:eastAsia="zh-CN"/>
        </w:rPr>
        <w:t>乙方在进场</w:t>
      </w:r>
      <w:r>
        <w:rPr>
          <w:rFonts w:hint="eastAsia" w:ascii="仿宋" w:hAnsi="仿宋" w:eastAsia="仿宋" w:cs="仿宋"/>
          <w:color w:val="000000"/>
          <w:sz w:val="24"/>
          <w:lang w:val="en-US"/>
        </w:rPr>
        <w:t>前应向甲方提供</w:t>
      </w:r>
      <w:r>
        <w:rPr>
          <w:rFonts w:hint="eastAsia" w:ascii="仿宋" w:hAnsi="仿宋" w:eastAsia="仿宋" w:cs="仿宋"/>
          <w:color w:val="000000"/>
          <w:sz w:val="24"/>
          <w:lang w:val="zh-CN"/>
        </w:rPr>
        <w:t>高空作业意外保险和第三方责任险证明文件，</w:t>
      </w:r>
      <w:r>
        <w:rPr>
          <w:rFonts w:hint="eastAsia" w:ascii="仿宋" w:hAnsi="仿宋" w:eastAsia="仿宋" w:cs="仿宋"/>
          <w:i w:val="0"/>
          <w:iCs w:val="0"/>
          <w:caps w:val="0"/>
          <w:color w:val="000000"/>
          <w:spacing w:val="0"/>
          <w:sz w:val="24"/>
          <w:szCs w:val="24"/>
          <w:shd w:val="clear" w:fill="auto"/>
        </w:rPr>
        <w:t>在保险生效后将保单复印件加盖公章后提交甲方备案</w:t>
      </w:r>
      <w:r>
        <w:rPr>
          <w:rFonts w:hint="eastAsia" w:ascii="仿宋" w:hAnsi="仿宋" w:eastAsia="仿宋" w:cs="仿宋"/>
          <w:i w:val="0"/>
          <w:iCs w:val="0"/>
          <w:caps w:val="0"/>
          <w:color w:val="000000"/>
          <w:spacing w:val="0"/>
          <w:sz w:val="24"/>
          <w:szCs w:val="24"/>
          <w:shd w:val="clear"/>
          <w:lang w:eastAsia="zh-CN"/>
        </w:rPr>
        <w:t>，</w:t>
      </w:r>
      <w:r>
        <w:rPr>
          <w:rFonts w:hint="eastAsia" w:ascii="仿宋" w:hAnsi="仿宋" w:eastAsia="仿宋" w:cs="仿宋"/>
          <w:color w:val="000000"/>
          <w:sz w:val="24"/>
          <w:lang w:val="zh-CN"/>
        </w:rPr>
        <w:t>并严格按安全标准组织施工，采取必要的安全防护措施，消除事故隐患。</w:t>
      </w:r>
    </w:p>
    <w:p w14:paraId="1833DA2C">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若乙方原因造成甲方、任何第三方人身和财产损害的，由乙方负责。乙方有义务维护本工程作业区域内的所有设施、设备的完好。</w:t>
      </w:r>
    </w:p>
    <w:p w14:paraId="15EC61A2">
      <w:pPr>
        <w:autoSpaceDE w:val="0"/>
        <w:autoSpaceDN w:val="0"/>
        <w:adjustRightInd w:val="0"/>
        <w:spacing w:line="360" w:lineRule="auto"/>
        <w:rPr>
          <w:rFonts w:hint="eastAsia" w:ascii="仿宋" w:hAnsi="仿宋" w:eastAsia="仿宋" w:cs="仿宋"/>
          <w:color w:val="000000"/>
          <w:sz w:val="28"/>
          <w:szCs w:val="28"/>
        </w:rPr>
      </w:pPr>
      <w:r>
        <w:rPr>
          <w:rFonts w:hint="eastAsia" w:ascii="仿宋" w:hAnsi="仿宋" w:eastAsia="仿宋" w:cs="仿宋"/>
          <w:b/>
          <w:bCs/>
          <w:color w:val="000000"/>
          <w:sz w:val="28"/>
          <w:szCs w:val="28"/>
          <w:lang w:val="zh-CN"/>
        </w:rPr>
        <w:t>五、</w:t>
      </w:r>
      <w:r>
        <w:rPr>
          <w:rFonts w:hint="eastAsia" w:ascii="仿宋" w:hAnsi="仿宋" w:eastAsia="仿宋" w:cs="仿宋"/>
          <w:b/>
          <w:bCs/>
          <w:color w:val="000000"/>
          <w:sz w:val="28"/>
          <w:szCs w:val="28"/>
        </w:rPr>
        <w:t>施工与设计变更</w:t>
      </w:r>
    </w:p>
    <w:p w14:paraId="2B72440C">
      <w:pPr>
        <w:spacing w:line="360" w:lineRule="auto"/>
        <w:ind w:right="-42"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color w:val="000000"/>
          <w:sz w:val="24"/>
          <w:lang w:eastAsia="zh-CN"/>
        </w:rPr>
        <w:t>乙方</w:t>
      </w:r>
      <w:r>
        <w:rPr>
          <w:rFonts w:hint="eastAsia" w:ascii="仿宋" w:hAnsi="仿宋" w:eastAsia="仿宋" w:cs="仿宋"/>
          <w:color w:val="000000"/>
          <w:sz w:val="24"/>
          <w:lang w:val="en-US" w:eastAsia="zh-CN"/>
        </w:rPr>
        <w:t>须</w:t>
      </w:r>
      <w:r>
        <w:rPr>
          <w:rFonts w:hint="eastAsia" w:ascii="仿宋" w:hAnsi="仿宋" w:eastAsia="仿宋" w:cs="仿宋"/>
          <w:color w:val="000000"/>
          <w:sz w:val="24"/>
        </w:rPr>
        <w:t>按本</w:t>
      </w:r>
      <w:r>
        <w:rPr>
          <w:rFonts w:hint="eastAsia" w:ascii="仿宋" w:hAnsi="仿宋" w:eastAsia="仿宋" w:cs="仿宋"/>
          <w:color w:val="000000"/>
          <w:sz w:val="24"/>
          <w:lang w:val="en-US" w:eastAsia="zh-CN"/>
        </w:rPr>
        <w:t>工程项目</w:t>
      </w:r>
      <w:r>
        <w:rPr>
          <w:rFonts w:hint="eastAsia" w:ascii="仿宋" w:hAnsi="仿宋" w:eastAsia="仿宋" w:cs="仿宋"/>
          <w:color w:val="000000"/>
          <w:sz w:val="24"/>
        </w:rPr>
        <w:t>采购要求和</w:t>
      </w:r>
      <w:r>
        <w:rPr>
          <w:rFonts w:hint="eastAsia" w:ascii="仿宋" w:hAnsi="仿宋" w:eastAsia="仿宋" w:cs="仿宋"/>
          <w:color w:val="000000"/>
          <w:sz w:val="24"/>
          <w:lang w:val="en-US" w:eastAsia="zh-CN"/>
        </w:rPr>
        <w:t>工程量</w:t>
      </w:r>
      <w:r>
        <w:rPr>
          <w:rFonts w:hint="eastAsia" w:ascii="仿宋" w:hAnsi="仿宋" w:eastAsia="仿宋" w:cs="仿宋"/>
          <w:color w:val="000000"/>
          <w:sz w:val="24"/>
        </w:rPr>
        <w:t>清单内容提供</w:t>
      </w:r>
      <w:r>
        <w:rPr>
          <w:rFonts w:hint="eastAsia" w:ascii="仿宋" w:hAnsi="仿宋" w:eastAsia="仿宋" w:cs="仿宋"/>
          <w:color w:val="000000"/>
          <w:sz w:val="24"/>
          <w:lang w:val="en-US" w:eastAsia="zh-CN"/>
        </w:rPr>
        <w:t>改造设计</w:t>
      </w:r>
      <w:r>
        <w:rPr>
          <w:rFonts w:hint="eastAsia" w:ascii="仿宋" w:hAnsi="仿宋" w:eastAsia="仿宋" w:cs="仿宋"/>
          <w:color w:val="000000"/>
          <w:sz w:val="24"/>
        </w:rPr>
        <w:t>图（达到施工图深度）；</w:t>
      </w:r>
    </w:p>
    <w:p w14:paraId="59A94E49">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w:t>
      </w:r>
      <w:r>
        <w:rPr>
          <w:rFonts w:hint="eastAsia" w:ascii="仿宋" w:hAnsi="仿宋" w:eastAsia="仿宋" w:cs="仿宋"/>
          <w:color w:val="000000"/>
          <w:sz w:val="24"/>
          <w:lang w:val="zh-CN"/>
        </w:rPr>
        <w:t>乙方</w:t>
      </w:r>
      <w:r>
        <w:rPr>
          <w:rFonts w:hint="eastAsia" w:ascii="仿宋" w:hAnsi="仿宋" w:eastAsia="仿宋" w:cs="仿宋"/>
          <w:color w:val="000000"/>
          <w:sz w:val="24"/>
        </w:rPr>
        <w:t>应按照合同内容约定施工，不得擅自修改实施方案；</w:t>
      </w:r>
    </w:p>
    <w:p w14:paraId="4F2D1CC3">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3、甲方因使用功能提出施工内容变更，甲方应于3个工作日内提交工程联系单，由</w:t>
      </w:r>
      <w:r>
        <w:rPr>
          <w:rFonts w:hint="eastAsia" w:ascii="仿宋" w:hAnsi="仿宋" w:eastAsia="仿宋" w:cs="仿宋"/>
          <w:color w:val="000000"/>
          <w:sz w:val="24"/>
          <w:lang w:eastAsia="zh-CN"/>
        </w:rPr>
        <w:t>乙方</w:t>
      </w:r>
      <w:r>
        <w:rPr>
          <w:rFonts w:hint="eastAsia" w:ascii="仿宋" w:hAnsi="仿宋" w:eastAsia="仿宋" w:cs="仿宋"/>
          <w:color w:val="000000"/>
          <w:sz w:val="24"/>
        </w:rPr>
        <w:t>计算出工程量及费用，由甲方确认签字后实施。</w:t>
      </w:r>
    </w:p>
    <w:p w14:paraId="6CC49B02">
      <w:pPr>
        <w:autoSpaceDE w:val="0"/>
        <w:autoSpaceDN w:val="0"/>
        <w:adjustRightInd w:val="0"/>
        <w:spacing w:line="360" w:lineRule="auto"/>
        <w:rPr>
          <w:rFonts w:hint="eastAsia" w:ascii="仿宋" w:hAnsi="仿宋" w:eastAsia="仿宋" w:cs="仿宋"/>
          <w:color w:val="000000"/>
          <w:sz w:val="24"/>
        </w:rPr>
      </w:pPr>
      <w:r>
        <w:rPr>
          <w:rFonts w:hint="eastAsia" w:ascii="仿宋" w:hAnsi="仿宋" w:eastAsia="仿宋" w:cs="仿宋"/>
          <w:b/>
          <w:bCs/>
          <w:color w:val="000000"/>
          <w:sz w:val="28"/>
          <w:szCs w:val="28"/>
          <w:lang w:val="zh-CN"/>
        </w:rPr>
        <w:t>六、工程质量及验收</w:t>
      </w:r>
    </w:p>
    <w:p w14:paraId="3203AEE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000000"/>
          <w:sz w:val="24"/>
        </w:rPr>
        <w:t>1</w:t>
      </w:r>
      <w:r>
        <w:rPr>
          <w:rFonts w:hint="eastAsia" w:ascii="仿宋" w:hAnsi="仿宋" w:eastAsia="仿宋" w:cs="仿宋"/>
          <w:color w:val="auto"/>
          <w:sz w:val="24"/>
        </w:rPr>
        <w:t>、</w:t>
      </w:r>
      <w:r>
        <w:rPr>
          <w:rFonts w:hint="eastAsia" w:ascii="仿宋" w:hAnsi="仿宋" w:eastAsia="仿宋" w:cs="仿宋"/>
          <w:color w:val="auto"/>
          <w:sz w:val="24"/>
          <w:lang w:val="en-US" w:eastAsia="zh-CN"/>
        </w:rPr>
        <w:t>本工程竣工后，</w:t>
      </w:r>
      <w:r>
        <w:rPr>
          <w:rFonts w:hint="eastAsia" w:ascii="仿宋" w:hAnsi="仿宋" w:eastAsia="仿宋" w:cs="仿宋"/>
          <w:color w:val="000000"/>
          <w:sz w:val="24"/>
          <w:szCs w:val="24"/>
          <w:lang w:val="zh-CN" w:eastAsia="zh-CN"/>
        </w:rPr>
        <w:t>南海制剂中心实验室</w:t>
      </w:r>
      <w:r>
        <w:rPr>
          <w:rFonts w:hint="eastAsia" w:ascii="仿宋" w:hAnsi="仿宋" w:eastAsia="仿宋" w:cs="仿宋"/>
          <w:color w:val="auto"/>
          <w:sz w:val="24"/>
          <w:szCs w:val="24"/>
          <w:lang w:val="zh-CN" w:eastAsia="zh-CN"/>
        </w:rPr>
        <w:t>废气排放</w:t>
      </w:r>
      <w:r>
        <w:rPr>
          <w:rFonts w:hint="eastAsia" w:ascii="仿宋" w:hAnsi="仿宋" w:eastAsia="仿宋" w:cs="仿宋"/>
          <w:color w:val="auto"/>
          <w:sz w:val="24"/>
          <w:lang w:val="en-US" w:eastAsia="zh-CN"/>
        </w:rPr>
        <w:t>需经甲方检测合格后，通过环评验收方可进行工程验收，废气经收集处理达标后通过排气筒高空排放。外排废气中的非甲烷总烃、甲醛、苯系物、氨、氯化氢执行《制药工业大气污染物排放标准》(GB37823-2019)表2大气污染物特别排放限值，硫酸雾、NOx参照执行广东省地方标准《大气污染排放限值》(DB44/27-2001)第二时段二级排放限值，臭气浓度执行国家《恶臭污染物排放标准》(GB14554-93)</w:t>
      </w:r>
      <w:r>
        <w:rPr>
          <w:rFonts w:hint="eastAsia" w:ascii="仿宋" w:hAnsi="仿宋" w:eastAsia="仿宋" w:cs="仿宋"/>
          <w:color w:val="auto"/>
          <w:sz w:val="24"/>
        </w:rPr>
        <w:t>；</w:t>
      </w:r>
    </w:p>
    <w:p w14:paraId="00DBB3AB">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2、甲方将</w:t>
      </w:r>
      <w:r>
        <w:rPr>
          <w:rFonts w:hint="eastAsia" w:ascii="仿宋" w:hAnsi="仿宋" w:eastAsia="仿宋" w:cs="仿宋"/>
          <w:color w:val="000000"/>
          <w:sz w:val="24"/>
          <w:lang w:eastAsia="zh-CN"/>
        </w:rPr>
        <w:t>乙方</w:t>
      </w:r>
      <w:r>
        <w:rPr>
          <w:rFonts w:hint="eastAsia" w:ascii="仿宋" w:hAnsi="仿宋" w:eastAsia="仿宋" w:cs="仿宋"/>
          <w:color w:val="000000"/>
          <w:sz w:val="24"/>
        </w:rPr>
        <w:t>提供的样板封存，验收</w:t>
      </w:r>
      <w:r>
        <w:rPr>
          <w:rFonts w:hint="eastAsia" w:ascii="仿宋" w:hAnsi="仿宋" w:eastAsia="仿宋" w:cs="仿宋"/>
          <w:color w:val="000000"/>
          <w:sz w:val="24"/>
          <w:lang w:eastAsia="zh-CN"/>
        </w:rPr>
        <w:t>时</w:t>
      </w:r>
      <w:r>
        <w:rPr>
          <w:rFonts w:hint="eastAsia" w:ascii="仿宋" w:hAnsi="仿宋" w:eastAsia="仿宋" w:cs="仿宋"/>
          <w:color w:val="000000"/>
          <w:sz w:val="24"/>
        </w:rPr>
        <w:t>参照</w:t>
      </w:r>
      <w:r>
        <w:rPr>
          <w:rFonts w:hint="eastAsia" w:ascii="仿宋" w:hAnsi="仿宋" w:eastAsia="仿宋" w:cs="仿宋"/>
          <w:color w:val="000000"/>
          <w:sz w:val="24"/>
          <w:lang w:eastAsia="zh-CN"/>
        </w:rPr>
        <w:t>乙方</w:t>
      </w:r>
      <w:r>
        <w:rPr>
          <w:rFonts w:hint="eastAsia" w:ascii="仿宋" w:hAnsi="仿宋" w:eastAsia="仿宋" w:cs="仿宋"/>
          <w:color w:val="000000"/>
          <w:sz w:val="24"/>
        </w:rPr>
        <w:t>提供的样板进行验收；</w:t>
      </w:r>
    </w:p>
    <w:p w14:paraId="07885C19">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3、工程具备竣工验收条件，</w:t>
      </w:r>
      <w:r>
        <w:rPr>
          <w:rFonts w:hint="eastAsia" w:ascii="仿宋" w:hAnsi="仿宋" w:eastAsia="仿宋" w:cs="仿宋"/>
          <w:color w:val="000000"/>
          <w:sz w:val="24"/>
          <w:lang w:eastAsia="zh-CN"/>
        </w:rPr>
        <w:t>乙方</w:t>
      </w:r>
      <w:r>
        <w:rPr>
          <w:rFonts w:hint="eastAsia" w:ascii="仿宋" w:hAnsi="仿宋" w:eastAsia="仿宋" w:cs="仿宋"/>
          <w:color w:val="000000"/>
          <w:sz w:val="24"/>
        </w:rPr>
        <w:t>按国家工程竣工验收有关规定，向甲方提供完整竣工资料及竣工验收报告（含竣工图、隐蔽工程签证和现场签证单等）。验收合格的，双方交接工程，验收不合格的，</w:t>
      </w:r>
      <w:r>
        <w:rPr>
          <w:rFonts w:hint="eastAsia" w:ascii="仿宋" w:hAnsi="仿宋" w:eastAsia="仿宋" w:cs="仿宋"/>
          <w:color w:val="000000"/>
          <w:sz w:val="24"/>
          <w:lang w:eastAsia="zh-CN"/>
        </w:rPr>
        <w:t>乙方</w:t>
      </w:r>
      <w:r>
        <w:rPr>
          <w:rFonts w:hint="eastAsia" w:ascii="仿宋" w:hAnsi="仿宋" w:eastAsia="仿宋" w:cs="仿宋"/>
          <w:color w:val="000000"/>
          <w:sz w:val="24"/>
        </w:rPr>
        <w:t>应及时返工整改，费用由</w:t>
      </w:r>
      <w:r>
        <w:rPr>
          <w:rFonts w:hint="eastAsia" w:ascii="仿宋" w:hAnsi="仿宋" w:eastAsia="仿宋" w:cs="仿宋"/>
          <w:color w:val="000000"/>
          <w:sz w:val="24"/>
          <w:lang w:eastAsia="zh-CN"/>
        </w:rPr>
        <w:t>乙方</w:t>
      </w:r>
      <w:r>
        <w:rPr>
          <w:rFonts w:hint="eastAsia" w:ascii="仿宋" w:hAnsi="仿宋" w:eastAsia="仿宋" w:cs="仿宋"/>
          <w:color w:val="000000"/>
          <w:sz w:val="24"/>
        </w:rPr>
        <w:t>自行承担，返工导致工期延误的，</w:t>
      </w:r>
      <w:r>
        <w:rPr>
          <w:rFonts w:hint="eastAsia" w:ascii="仿宋" w:hAnsi="仿宋" w:eastAsia="仿宋" w:cs="仿宋"/>
          <w:color w:val="000000"/>
          <w:sz w:val="24"/>
          <w:lang w:eastAsia="zh-CN"/>
        </w:rPr>
        <w:t>乙方</w:t>
      </w:r>
      <w:r>
        <w:rPr>
          <w:rFonts w:hint="eastAsia" w:ascii="仿宋" w:hAnsi="仿宋" w:eastAsia="仿宋" w:cs="仿宋"/>
          <w:color w:val="000000"/>
          <w:sz w:val="24"/>
        </w:rPr>
        <w:t>应承担相应的违约责任；</w:t>
      </w:r>
    </w:p>
    <w:p w14:paraId="1541EEAC">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4</w:t>
      </w:r>
      <w:r>
        <w:rPr>
          <w:rFonts w:hint="eastAsia" w:ascii="仿宋" w:hAnsi="仿宋" w:eastAsia="仿宋" w:cs="仿宋"/>
          <w:color w:val="000000"/>
          <w:sz w:val="24"/>
          <w:lang w:val="zh-CN"/>
        </w:rPr>
        <w:t>、工程质量</w:t>
      </w:r>
      <w:r>
        <w:rPr>
          <w:rFonts w:hint="eastAsia" w:ascii="仿宋" w:hAnsi="仿宋" w:eastAsia="仿宋" w:cs="仿宋"/>
          <w:color w:val="000000"/>
          <w:sz w:val="24"/>
        </w:rPr>
        <w:t>应符合</w:t>
      </w:r>
      <w:r>
        <w:rPr>
          <w:rFonts w:hint="eastAsia" w:ascii="仿宋" w:hAnsi="仿宋" w:eastAsia="仿宋" w:cs="仿宋"/>
          <w:color w:val="000000"/>
          <w:sz w:val="24"/>
          <w:lang w:val="zh-CN"/>
        </w:rPr>
        <w:t>《建设工程质量管理条例》、《建筑工程施工质量验收统一标准》等</w:t>
      </w:r>
      <w:r>
        <w:rPr>
          <w:rFonts w:hint="eastAsia" w:ascii="仿宋" w:hAnsi="仿宋" w:eastAsia="仿宋" w:cs="仿宋"/>
          <w:color w:val="000000"/>
          <w:sz w:val="24"/>
        </w:rPr>
        <w:t>国家及行业</w:t>
      </w:r>
      <w:r>
        <w:rPr>
          <w:rFonts w:hint="eastAsia" w:ascii="仿宋" w:hAnsi="仿宋" w:eastAsia="仿宋" w:cs="仿宋"/>
          <w:color w:val="000000"/>
          <w:sz w:val="24"/>
          <w:lang w:val="zh-CN"/>
        </w:rPr>
        <w:t>规定的合格工程标准，乙方采购的材料必须</w:t>
      </w:r>
      <w:r>
        <w:rPr>
          <w:rFonts w:hint="eastAsia" w:ascii="仿宋" w:hAnsi="仿宋" w:eastAsia="仿宋" w:cs="仿宋"/>
          <w:color w:val="000000"/>
          <w:sz w:val="24"/>
        </w:rPr>
        <w:t>三证齐全（生产许可证，产品质量合格证，检测报告），应符合国家规定，主要材料需提交样品供甲方留底查验。</w:t>
      </w:r>
    </w:p>
    <w:p w14:paraId="0271B3CC">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rPr>
        <w:t>七</w:t>
      </w:r>
      <w:r>
        <w:rPr>
          <w:rFonts w:hint="eastAsia" w:ascii="仿宋" w:hAnsi="仿宋" w:eastAsia="仿宋" w:cs="仿宋"/>
          <w:b/>
          <w:bCs/>
          <w:color w:val="000000"/>
          <w:sz w:val="28"/>
          <w:szCs w:val="28"/>
          <w:lang w:val="zh-CN"/>
        </w:rPr>
        <w:t>、关于工程款结算的约定</w:t>
      </w:r>
    </w:p>
    <w:p w14:paraId="330278D8">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lang w:val="zh-CN"/>
        </w:rPr>
        <w:t>1、</w:t>
      </w:r>
      <w:r>
        <w:rPr>
          <w:rFonts w:hint="eastAsia" w:ascii="仿宋" w:hAnsi="仿宋" w:eastAsia="仿宋" w:cs="仿宋"/>
          <w:i w:val="0"/>
          <w:iCs w:val="0"/>
          <w:caps w:val="0"/>
          <w:spacing w:val="0"/>
          <w:sz w:val="24"/>
          <w:szCs w:val="24"/>
          <w:shd w:val="clear"/>
        </w:rPr>
        <w:t>按实际完成工程量结算，项目单价执行合同附件</w:t>
      </w:r>
      <w:r>
        <w:rPr>
          <w:rFonts w:hint="eastAsia" w:ascii="仿宋" w:hAnsi="仿宋" w:eastAsia="仿宋" w:cs="仿宋"/>
          <w:b w:val="0"/>
          <w:bCs w:val="0"/>
          <w:color w:val="000000"/>
          <w:sz w:val="24"/>
          <w:szCs w:val="24"/>
          <w:lang w:val="en-US" w:eastAsia="zh-CN"/>
        </w:rPr>
        <w:t>工程量</w:t>
      </w:r>
      <w:r>
        <w:rPr>
          <w:rFonts w:hint="eastAsia" w:ascii="仿宋" w:hAnsi="仿宋" w:eastAsia="仿宋" w:cs="仿宋"/>
          <w:b w:val="0"/>
          <w:bCs w:val="0"/>
          <w:color w:val="000000"/>
          <w:sz w:val="24"/>
          <w:szCs w:val="24"/>
          <w:lang w:val="zh-CN" w:eastAsia="zh-CN"/>
        </w:rPr>
        <w:t>清单</w:t>
      </w:r>
      <w:r>
        <w:rPr>
          <w:rFonts w:hint="eastAsia" w:ascii="仿宋" w:hAnsi="仿宋" w:eastAsia="仿宋" w:cs="仿宋"/>
          <w:i w:val="0"/>
          <w:iCs w:val="0"/>
          <w:caps w:val="0"/>
          <w:spacing w:val="0"/>
          <w:sz w:val="24"/>
          <w:szCs w:val="24"/>
          <w:shd w:val="clear"/>
        </w:rPr>
        <w:t>相应子目单价。实际结算总价如超过合同暂定价的，在不改变合同其他条款的前提下，双方可以协商签订补充合同，但所有补充合同的采购金额不得超过原合同采购金额的10%，超出部分不予支付</w:t>
      </w:r>
      <w:r>
        <w:rPr>
          <w:rFonts w:hint="eastAsia" w:ascii="仿宋" w:hAnsi="仿宋" w:eastAsia="仿宋" w:cs="仿宋"/>
          <w:sz w:val="24"/>
        </w:rPr>
        <w:t>；</w:t>
      </w:r>
    </w:p>
    <w:p w14:paraId="4813F217">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rPr>
        <w:t>2、设计变更、现场签证必须经</w:t>
      </w:r>
      <w:r>
        <w:rPr>
          <w:rFonts w:hint="eastAsia" w:ascii="仿宋" w:hAnsi="仿宋" w:eastAsia="仿宋" w:cs="仿宋"/>
          <w:i w:val="0"/>
          <w:iCs w:val="0"/>
          <w:caps w:val="0"/>
          <w:spacing w:val="0"/>
          <w:sz w:val="24"/>
          <w:szCs w:val="24"/>
          <w:shd w:val="clear"/>
          <w:lang w:eastAsia="zh-CN"/>
        </w:rPr>
        <w:t>甲方</w:t>
      </w:r>
      <w:r>
        <w:rPr>
          <w:rFonts w:hint="eastAsia" w:ascii="仿宋" w:hAnsi="仿宋" w:eastAsia="仿宋" w:cs="仿宋"/>
          <w:i w:val="0"/>
          <w:iCs w:val="0"/>
          <w:caps w:val="0"/>
          <w:spacing w:val="0"/>
          <w:sz w:val="24"/>
          <w:szCs w:val="24"/>
          <w:shd w:val="clear"/>
        </w:rPr>
        <w:t>书面确认，否则在竣工结算时医院审计部门不予认可，施工期间使用的主要材料、设备品牌、规格、型号、质量等级必须经甲方书面确认。结算时变更单价执行《广东省通用安装工程综合定额2018》、《广东省房屋建筑与装饰工程综合定额201</w:t>
      </w:r>
      <w:r>
        <w:rPr>
          <w:rFonts w:hint="eastAsia" w:ascii="仿宋" w:hAnsi="仿宋" w:eastAsia="仿宋" w:cs="仿宋"/>
          <w:i w:val="0"/>
          <w:iCs w:val="0"/>
          <w:caps w:val="0"/>
          <w:spacing w:val="0"/>
          <w:sz w:val="24"/>
          <w:szCs w:val="24"/>
          <w:shd w:val="clear"/>
          <w:lang w:val="en-US" w:eastAsia="zh-CN"/>
        </w:rPr>
        <w:t>8</w:t>
      </w:r>
      <w:r>
        <w:rPr>
          <w:rFonts w:hint="eastAsia" w:ascii="仿宋" w:hAnsi="仿宋" w:eastAsia="仿宋" w:cs="仿宋"/>
          <w:i w:val="0"/>
          <w:iCs w:val="0"/>
          <w:caps w:val="0"/>
          <w:spacing w:val="0"/>
          <w:sz w:val="24"/>
          <w:szCs w:val="24"/>
          <w:shd w:val="clear"/>
        </w:rPr>
        <w:t>》定额，工程量按实结算。主材价首先按施工同期《广州地区建设工程常用材料综合价格》，没有的按《广州地区建设工程材料（设备）厂商价格信息》，都没有的按市场价，以甲方审定为准。若有本合同规定的违约情形，需在结算价中扣除相应违约金</w:t>
      </w:r>
      <w:r>
        <w:rPr>
          <w:rFonts w:hint="eastAsia" w:ascii="仿宋" w:hAnsi="仿宋" w:eastAsia="仿宋" w:cs="仿宋"/>
          <w:i w:val="0"/>
          <w:iCs w:val="0"/>
          <w:caps w:val="0"/>
          <w:spacing w:val="0"/>
          <w:sz w:val="24"/>
          <w:szCs w:val="24"/>
          <w:shd w:val="clear"/>
          <w:lang w:val="zh-CN"/>
        </w:rPr>
        <w:t>；</w:t>
      </w:r>
    </w:p>
    <w:p w14:paraId="64066C88">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rPr>
        <w:t>3</w:t>
      </w:r>
      <w:r>
        <w:rPr>
          <w:rFonts w:hint="eastAsia" w:ascii="仿宋" w:hAnsi="仿宋" w:eastAsia="仿宋" w:cs="仿宋"/>
          <w:i w:val="0"/>
          <w:iCs w:val="0"/>
          <w:caps w:val="0"/>
          <w:spacing w:val="0"/>
          <w:sz w:val="24"/>
          <w:szCs w:val="24"/>
          <w:shd w:val="clear"/>
          <w:lang w:val="zh-CN"/>
        </w:rPr>
        <w:t>、乙方组建材料、工人到现场施工，工程竣工验收合格后，乙方</w:t>
      </w:r>
      <w:r>
        <w:rPr>
          <w:rFonts w:hint="eastAsia" w:ascii="仿宋" w:hAnsi="仿宋" w:eastAsia="仿宋" w:cs="仿宋"/>
          <w:i w:val="0"/>
          <w:iCs w:val="0"/>
          <w:caps w:val="0"/>
          <w:spacing w:val="0"/>
          <w:sz w:val="24"/>
          <w:szCs w:val="24"/>
          <w:shd w:val="clear"/>
        </w:rPr>
        <w:t>应在15个工作日内按甲方要求</w:t>
      </w:r>
      <w:r>
        <w:rPr>
          <w:rFonts w:hint="eastAsia" w:ascii="仿宋" w:hAnsi="仿宋" w:eastAsia="仿宋" w:cs="仿宋"/>
          <w:i w:val="0"/>
          <w:iCs w:val="0"/>
          <w:caps w:val="0"/>
          <w:spacing w:val="0"/>
          <w:sz w:val="24"/>
          <w:szCs w:val="24"/>
          <w:shd w:val="clear"/>
          <w:lang w:val="zh-CN"/>
        </w:rPr>
        <w:t>提交</w:t>
      </w:r>
      <w:r>
        <w:rPr>
          <w:rFonts w:hint="eastAsia" w:ascii="仿宋" w:hAnsi="仿宋" w:eastAsia="仿宋" w:cs="仿宋"/>
          <w:i w:val="0"/>
          <w:iCs w:val="0"/>
          <w:caps w:val="0"/>
          <w:spacing w:val="0"/>
          <w:sz w:val="24"/>
          <w:szCs w:val="24"/>
          <w:shd w:val="clear"/>
        </w:rPr>
        <w:t>完整的竣工资料给甲方审计</w:t>
      </w:r>
      <w:r>
        <w:rPr>
          <w:rFonts w:hint="eastAsia" w:ascii="仿宋" w:hAnsi="仿宋" w:eastAsia="仿宋" w:cs="仿宋"/>
          <w:i w:val="0"/>
          <w:iCs w:val="0"/>
          <w:caps w:val="0"/>
          <w:spacing w:val="0"/>
          <w:sz w:val="24"/>
          <w:szCs w:val="24"/>
          <w:shd w:val="clear"/>
          <w:lang w:val="en-US" w:eastAsia="zh-CN"/>
        </w:rPr>
        <w:t>部门</w:t>
      </w:r>
      <w:r>
        <w:rPr>
          <w:rFonts w:hint="eastAsia" w:ascii="仿宋" w:hAnsi="仿宋" w:eastAsia="仿宋" w:cs="仿宋"/>
          <w:i w:val="0"/>
          <w:iCs w:val="0"/>
          <w:caps w:val="0"/>
          <w:spacing w:val="0"/>
          <w:sz w:val="24"/>
          <w:szCs w:val="24"/>
          <w:shd w:val="clear"/>
        </w:rPr>
        <w:t>；</w:t>
      </w:r>
    </w:p>
    <w:p w14:paraId="14CADFC4">
      <w:pPr>
        <w:spacing w:line="360" w:lineRule="auto"/>
        <w:ind w:firstLine="480" w:firstLineChars="200"/>
        <w:rPr>
          <w:rFonts w:hint="eastAsia" w:ascii="仿宋" w:hAnsi="仿宋" w:eastAsia="仿宋" w:cs="仿宋"/>
          <w:sz w:val="24"/>
          <w:lang w:val="zh-CN"/>
        </w:rPr>
      </w:pPr>
      <w:r>
        <w:rPr>
          <w:rFonts w:hint="eastAsia" w:ascii="仿宋" w:hAnsi="仿宋" w:eastAsia="仿宋" w:cs="仿宋"/>
          <w:i w:val="0"/>
          <w:iCs w:val="0"/>
          <w:caps w:val="0"/>
          <w:spacing w:val="0"/>
          <w:sz w:val="24"/>
          <w:szCs w:val="24"/>
          <w:shd w:val="clear"/>
          <w:lang w:val="en-US" w:eastAsia="zh-CN"/>
        </w:rPr>
        <w:t>4、</w:t>
      </w:r>
      <w:r>
        <w:rPr>
          <w:rFonts w:hint="eastAsia" w:ascii="仿宋" w:hAnsi="仿宋" w:eastAsia="仿宋" w:cs="仿宋"/>
          <w:i w:val="0"/>
          <w:iCs w:val="0"/>
          <w:caps w:val="0"/>
          <w:spacing w:val="0"/>
          <w:sz w:val="24"/>
          <w:szCs w:val="24"/>
          <w:shd w:val="clear"/>
          <w:lang w:val="zh-CN"/>
        </w:rPr>
        <w:t>工程结算经甲方审计部门审定后，在满足支付条件的前提下 30 个工作日内，甲方向乙方</w:t>
      </w:r>
      <w:r>
        <w:rPr>
          <w:rFonts w:hint="eastAsia" w:ascii="仿宋" w:hAnsi="仿宋" w:eastAsia="仿宋" w:cs="仿宋"/>
          <w:sz w:val="24"/>
          <w:lang w:val="zh-CN"/>
        </w:rPr>
        <w:t>支付结算款的97%，剩余结算款的3%作为质保金，待质保期过后且完成合同规定的质保义务后</w:t>
      </w:r>
      <w:r>
        <w:rPr>
          <w:rFonts w:hint="eastAsia" w:ascii="仿宋" w:hAnsi="仿宋" w:eastAsia="仿宋" w:cs="仿宋"/>
          <w:sz w:val="24"/>
          <w:lang w:val="en-US" w:eastAsia="zh-CN"/>
        </w:rPr>
        <w:t>30</w:t>
      </w:r>
      <w:r>
        <w:rPr>
          <w:rFonts w:hint="eastAsia" w:ascii="仿宋" w:hAnsi="仿宋" w:eastAsia="仿宋" w:cs="仿宋"/>
          <w:sz w:val="24"/>
          <w:lang w:val="zh-CN"/>
        </w:rPr>
        <w:t>个工作日内一次性无息付清。</w:t>
      </w:r>
    </w:p>
    <w:p w14:paraId="201E03A0">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rPr>
        <w:t>5、由甲方财务部门</w:t>
      </w:r>
      <w:r>
        <w:rPr>
          <w:rFonts w:hint="eastAsia" w:ascii="仿宋" w:hAnsi="仿宋" w:eastAsia="仿宋" w:cs="仿宋"/>
          <w:sz w:val="24"/>
          <w:lang w:val="zh-CN"/>
        </w:rPr>
        <w:t>按照</w:t>
      </w:r>
      <w:r>
        <w:rPr>
          <w:rFonts w:hint="eastAsia" w:ascii="仿宋" w:hAnsi="仿宋" w:eastAsia="仿宋" w:cs="仿宋"/>
          <w:sz w:val="24"/>
          <w:lang w:val="en-US" w:eastAsia="zh-CN"/>
        </w:rPr>
        <w:t>乙</w:t>
      </w:r>
      <w:r>
        <w:rPr>
          <w:rFonts w:hint="eastAsia" w:ascii="仿宋" w:hAnsi="仿宋" w:eastAsia="仿宋" w:cs="仿宋"/>
          <w:sz w:val="24"/>
          <w:lang w:val="zh-CN"/>
        </w:rPr>
        <w:t>方提供的银行账户支付货款后，因</w:t>
      </w:r>
      <w:r>
        <w:rPr>
          <w:rFonts w:hint="eastAsia" w:ascii="仿宋" w:hAnsi="仿宋" w:eastAsia="仿宋" w:cs="仿宋"/>
          <w:sz w:val="24"/>
          <w:lang w:val="en-US" w:eastAsia="zh-CN"/>
        </w:rPr>
        <w:t>乙</w:t>
      </w:r>
      <w:r>
        <w:rPr>
          <w:rFonts w:hint="eastAsia" w:ascii="仿宋" w:hAnsi="仿宋" w:eastAsia="仿宋" w:cs="仿宋"/>
          <w:sz w:val="24"/>
          <w:lang w:val="zh-CN"/>
        </w:rPr>
        <w:t>方提供账户或者账号相关信息遗漏、错误等原因所产生的后果由</w:t>
      </w:r>
      <w:r>
        <w:rPr>
          <w:rFonts w:hint="eastAsia" w:ascii="仿宋" w:hAnsi="仿宋" w:eastAsia="仿宋" w:cs="仿宋"/>
          <w:sz w:val="24"/>
          <w:lang w:val="en-US" w:eastAsia="zh-CN"/>
        </w:rPr>
        <w:t>乙</w:t>
      </w:r>
      <w:r>
        <w:rPr>
          <w:rFonts w:hint="eastAsia" w:ascii="仿宋" w:hAnsi="仿宋" w:eastAsia="仿宋" w:cs="仿宋"/>
          <w:sz w:val="24"/>
          <w:lang w:val="zh-CN"/>
        </w:rPr>
        <w:t>方自行承担：</w:t>
      </w:r>
    </w:p>
    <w:p w14:paraId="2017D0CA">
      <w:pPr>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sz w:val="24"/>
          <w:lang w:val="en-US" w:eastAsia="zh-CN"/>
        </w:rPr>
        <w:t>甲</w:t>
      </w:r>
      <w:r>
        <w:rPr>
          <w:rFonts w:hint="eastAsia" w:ascii="仿宋" w:hAnsi="仿宋" w:eastAsia="仿宋" w:cs="仿宋"/>
          <w:sz w:val="24"/>
          <w:lang w:val="zh-CN"/>
        </w:rPr>
        <w:t>方</w:t>
      </w:r>
      <w:r>
        <w:rPr>
          <w:rFonts w:hint="eastAsia" w:ascii="仿宋" w:hAnsi="仿宋" w:eastAsia="仿宋" w:cs="仿宋"/>
          <w:color w:val="auto"/>
          <w:sz w:val="24"/>
          <w:lang w:val="zh-CN"/>
        </w:rPr>
        <w:t>开票信息：名称：</w:t>
      </w:r>
      <w:r>
        <w:rPr>
          <w:rFonts w:hint="eastAsia" w:ascii="仿宋" w:hAnsi="仿宋" w:eastAsia="仿宋" w:cs="仿宋"/>
          <w:color w:val="auto"/>
          <w:sz w:val="24"/>
          <w:u w:val="single"/>
          <w:lang w:val="zh-CN"/>
        </w:rPr>
        <w:t>中山大学孙逸仙纪念医院</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zh-CN"/>
        </w:rPr>
        <w:t>，</w:t>
      </w:r>
    </w:p>
    <w:p w14:paraId="3A7DCD5E">
      <w:pPr>
        <w:spacing w:line="360" w:lineRule="auto"/>
        <w:ind w:firstLine="480" w:firstLineChars="200"/>
        <w:jc w:val="left"/>
        <w:rPr>
          <w:rFonts w:hint="eastAsia" w:ascii="仿宋" w:hAnsi="仿宋" w:eastAsia="仿宋" w:cs="仿宋"/>
          <w:sz w:val="24"/>
          <w:lang w:val="zh-CN"/>
        </w:rPr>
      </w:pPr>
      <w:r>
        <w:rPr>
          <w:rFonts w:hint="eastAsia" w:ascii="仿宋" w:hAnsi="仿宋" w:eastAsia="仿宋" w:cs="仿宋"/>
          <w:color w:val="auto"/>
          <w:sz w:val="24"/>
          <w:lang w:val="zh-CN"/>
        </w:rPr>
        <w:t>开户行：</w:t>
      </w:r>
      <w:r>
        <w:rPr>
          <w:rFonts w:hint="eastAsia" w:ascii="仿宋" w:hAnsi="仿宋" w:eastAsia="仿宋" w:cs="仿宋"/>
          <w:color w:val="auto"/>
          <w:sz w:val="24"/>
          <w:u w:val="single"/>
          <w:lang w:val="zh-CN"/>
        </w:rPr>
        <w:t>广州市工商银行第二支行</w:t>
      </w:r>
      <w:r>
        <w:rPr>
          <w:rFonts w:hint="eastAsia" w:ascii="仿宋" w:hAnsi="仿宋" w:eastAsia="仿宋" w:cs="仿宋"/>
          <w:color w:val="auto"/>
          <w:sz w:val="24"/>
          <w:lang w:val="zh-CN"/>
        </w:rPr>
        <w:t>，账号：</w:t>
      </w:r>
      <w:r>
        <w:rPr>
          <w:rFonts w:hint="eastAsia" w:ascii="仿宋" w:hAnsi="仿宋" w:eastAsia="仿宋" w:cs="仿宋"/>
          <w:color w:val="auto"/>
          <w:sz w:val="24"/>
          <w:u w:val="single"/>
          <w:lang w:val="zh-CN"/>
        </w:rPr>
        <w:t>3602000509000704422</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lang w:val="zh-CN"/>
        </w:rPr>
        <w:t>；</w:t>
      </w:r>
    </w:p>
    <w:p w14:paraId="03DEC39E">
      <w:pPr>
        <w:spacing w:line="360" w:lineRule="auto"/>
        <w:ind w:firstLine="480" w:firstLineChars="200"/>
        <w:jc w:val="left"/>
        <w:rPr>
          <w:rFonts w:ascii="仿宋" w:hAnsi="仿宋" w:eastAsia="仿宋" w:cs="仿宋"/>
          <w:sz w:val="24"/>
          <w:lang w:val="zh-CN"/>
        </w:rPr>
      </w:pPr>
      <w:r>
        <w:rPr>
          <w:rFonts w:hint="eastAsia" w:ascii="仿宋" w:hAnsi="仿宋" w:eastAsia="仿宋" w:cs="仿宋"/>
          <w:sz w:val="24"/>
        </w:rPr>
        <w:t>乙</w:t>
      </w:r>
      <w:r>
        <w:rPr>
          <w:rFonts w:hint="eastAsia" w:ascii="仿宋" w:hAnsi="仿宋" w:eastAsia="仿宋" w:cs="仿宋"/>
          <w:sz w:val="24"/>
          <w:lang w:val="zh-CN"/>
        </w:rPr>
        <w:t>方银行账户收取本项目款项：名称：</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w:t>
      </w:r>
    </w:p>
    <w:p w14:paraId="073C6A7D">
      <w:pPr>
        <w:spacing w:line="360" w:lineRule="auto"/>
        <w:ind w:firstLine="480" w:firstLineChars="200"/>
        <w:jc w:val="left"/>
        <w:rPr>
          <w:rFonts w:hint="eastAsia" w:ascii="仿宋" w:hAnsi="仿宋" w:eastAsia="仿宋" w:cs="仿宋"/>
          <w:sz w:val="24"/>
          <w:lang w:val="zh-CN"/>
        </w:rPr>
      </w:pPr>
      <w:r>
        <w:rPr>
          <w:rFonts w:hint="eastAsia" w:ascii="仿宋" w:hAnsi="仿宋" w:eastAsia="仿宋" w:cs="仿宋"/>
          <w:sz w:val="24"/>
          <w:lang w:val="zh-CN"/>
        </w:rPr>
        <w:t>开户行：</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，账号：</w:t>
      </w:r>
      <w:r>
        <w:rPr>
          <w:rFonts w:hint="eastAsia" w:ascii="仿宋" w:hAnsi="仿宋" w:eastAsia="仿宋" w:cs="仿宋"/>
          <w:sz w:val="24"/>
          <w:u w:val="single"/>
          <w:lang w:val="en-US" w:eastAsia="zh-CN"/>
        </w:rPr>
        <w:t xml:space="preserve">                 </w:t>
      </w:r>
      <w:r>
        <w:rPr>
          <w:rFonts w:hint="eastAsia" w:ascii="仿宋" w:hAnsi="仿宋" w:eastAsia="仿宋" w:cs="仿宋"/>
          <w:sz w:val="24"/>
          <w:lang w:val="zh-CN"/>
        </w:rPr>
        <w:t>。</w:t>
      </w:r>
    </w:p>
    <w:p w14:paraId="62B0813E">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八、质量保修</w:t>
      </w:r>
    </w:p>
    <w:p w14:paraId="6AC1A228">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1、本工程保修期</w:t>
      </w:r>
      <w:r>
        <w:rPr>
          <w:rFonts w:hint="eastAsia" w:ascii="仿宋" w:hAnsi="仿宋" w:eastAsia="仿宋" w:cs="仿宋"/>
          <w:i w:val="0"/>
          <w:iCs w:val="0"/>
          <w:caps w:val="0"/>
          <w:color w:val="auto"/>
          <w:spacing w:val="0"/>
          <w:sz w:val="24"/>
          <w:szCs w:val="24"/>
          <w:shd w:val="clear"/>
          <w:lang w:val="zh-CN"/>
        </w:rPr>
        <w:t>限为</w:t>
      </w:r>
      <w:r>
        <w:rPr>
          <w:rFonts w:hint="eastAsia" w:ascii="仿宋" w:hAnsi="仿宋" w:eastAsia="仿宋" w:cs="仿宋"/>
          <w:i w:val="0"/>
          <w:iCs w:val="0"/>
          <w:caps w:val="0"/>
          <w:color w:val="auto"/>
          <w:spacing w:val="0"/>
          <w:sz w:val="24"/>
          <w:szCs w:val="24"/>
          <w:shd w:val="clear"/>
          <w:lang w:val="en-US" w:eastAsia="zh-CN"/>
        </w:rPr>
        <w:t>1</w:t>
      </w:r>
      <w:r>
        <w:rPr>
          <w:rFonts w:hint="eastAsia" w:ascii="仿宋" w:hAnsi="仿宋" w:eastAsia="仿宋" w:cs="仿宋"/>
          <w:i w:val="0"/>
          <w:iCs w:val="0"/>
          <w:caps w:val="0"/>
          <w:color w:val="auto"/>
          <w:spacing w:val="0"/>
          <w:sz w:val="24"/>
          <w:szCs w:val="24"/>
          <w:shd w:val="clear"/>
          <w:lang w:val="zh-CN"/>
        </w:rPr>
        <w:t>年</w:t>
      </w:r>
      <w:r>
        <w:rPr>
          <w:rFonts w:hint="eastAsia" w:ascii="仿宋" w:hAnsi="仿宋" w:eastAsia="仿宋" w:cs="仿宋"/>
          <w:i w:val="0"/>
          <w:iCs w:val="0"/>
          <w:caps w:val="0"/>
          <w:spacing w:val="0"/>
          <w:sz w:val="24"/>
          <w:szCs w:val="24"/>
          <w:shd w:val="clear"/>
          <w:lang w:val="zh-CN"/>
        </w:rPr>
        <w:t>，自工程竣工验收合格起算；</w:t>
      </w:r>
    </w:p>
    <w:p w14:paraId="3B1163C2">
      <w:pPr>
        <w:spacing w:line="360" w:lineRule="auto"/>
        <w:ind w:firstLine="480" w:firstLineChars="200"/>
        <w:rPr>
          <w:rFonts w:hint="eastAsia" w:ascii="仿宋" w:hAnsi="仿宋" w:eastAsia="仿宋" w:cs="仿宋"/>
          <w:i w:val="0"/>
          <w:iCs w:val="0"/>
          <w:caps w:val="0"/>
          <w:spacing w:val="0"/>
          <w:sz w:val="24"/>
          <w:szCs w:val="24"/>
          <w:shd w:val="clear"/>
          <w:lang w:val="zh-CN" w:eastAsia="zh-CN"/>
        </w:rPr>
      </w:pPr>
      <w:r>
        <w:rPr>
          <w:rFonts w:hint="eastAsia" w:ascii="仿宋" w:hAnsi="仿宋" w:eastAsia="仿宋" w:cs="仿宋"/>
          <w:i w:val="0"/>
          <w:iCs w:val="0"/>
          <w:caps w:val="0"/>
          <w:spacing w:val="0"/>
          <w:sz w:val="24"/>
          <w:szCs w:val="24"/>
          <w:shd w:val="clear"/>
          <w:lang w:val="zh-CN"/>
        </w:rPr>
        <w:t>2、在保修期内，乙方在接到甲方维修通知后4小时内到达现场并及时处理；如乙方更换保修人员或联系电话，应及时通知甲方。若因乙方通讯不畅或故意不接，拖延推诿，甲方将视为乙方放弃保修责任，有权自行解决，本次维修费用</w:t>
      </w:r>
      <w:r>
        <w:rPr>
          <w:rFonts w:hint="eastAsia" w:ascii="仿宋" w:hAnsi="仿宋" w:eastAsia="仿宋" w:cs="仿宋"/>
          <w:i w:val="0"/>
          <w:iCs w:val="0"/>
          <w:caps w:val="0"/>
          <w:spacing w:val="0"/>
          <w:sz w:val="24"/>
          <w:szCs w:val="24"/>
          <w:shd w:val="clear"/>
          <w:lang w:val="en-US" w:eastAsia="zh-CN"/>
        </w:rPr>
        <w:t>从质证金中扣除，按2</w:t>
      </w:r>
      <w:r>
        <w:rPr>
          <w:rFonts w:hint="eastAsia" w:ascii="仿宋" w:hAnsi="仿宋" w:eastAsia="仿宋" w:cs="仿宋"/>
          <w:i w:val="0"/>
          <w:iCs w:val="0"/>
          <w:caps w:val="0"/>
          <w:spacing w:val="0"/>
          <w:sz w:val="24"/>
          <w:szCs w:val="24"/>
          <w:shd w:val="clear"/>
          <w:lang w:val="zh-CN"/>
        </w:rPr>
        <w:t>00%的维修费用</w:t>
      </w:r>
      <w:r>
        <w:rPr>
          <w:rFonts w:hint="eastAsia" w:ascii="仿宋" w:hAnsi="仿宋" w:eastAsia="仿宋" w:cs="仿宋"/>
          <w:i w:val="0"/>
          <w:iCs w:val="0"/>
          <w:caps w:val="0"/>
          <w:spacing w:val="0"/>
          <w:sz w:val="24"/>
          <w:szCs w:val="24"/>
          <w:shd w:val="clear"/>
          <w:lang w:val="en-US" w:eastAsia="zh-CN"/>
        </w:rPr>
        <w:t>扣罚，保证金不足抵扣的，乙方应在7日内补足差额。</w:t>
      </w:r>
    </w:p>
    <w:p w14:paraId="55984501">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zh-CN"/>
        </w:rPr>
        <w:t>乙方保修联系人：</w:t>
      </w:r>
      <w:r>
        <w:rPr>
          <w:rFonts w:hint="eastAsia" w:ascii="仿宋" w:hAnsi="仿宋" w:eastAsia="仿宋" w:cs="仿宋"/>
          <w:sz w:val="24"/>
          <w:u w:val="single"/>
          <w:lang w:val="en-US" w:eastAsia="zh-CN"/>
        </w:rPr>
        <w:t xml:space="preserve">       </w:t>
      </w:r>
      <w:r>
        <w:rPr>
          <w:rFonts w:hint="eastAsia" w:ascii="仿宋" w:hAnsi="仿宋" w:eastAsia="仿宋" w:cs="仿宋"/>
          <w:i w:val="0"/>
          <w:iCs w:val="0"/>
          <w:caps w:val="0"/>
          <w:spacing w:val="0"/>
          <w:sz w:val="24"/>
          <w:szCs w:val="24"/>
          <w:shd w:val="clear"/>
          <w:lang w:val="en-US" w:eastAsia="zh-CN"/>
        </w:rPr>
        <w:t>，</w:t>
      </w:r>
      <w:r>
        <w:rPr>
          <w:rFonts w:hint="eastAsia" w:ascii="仿宋" w:hAnsi="仿宋" w:eastAsia="仿宋" w:cs="仿宋"/>
          <w:i w:val="0"/>
          <w:iCs w:val="0"/>
          <w:caps w:val="0"/>
          <w:spacing w:val="0"/>
          <w:sz w:val="24"/>
          <w:szCs w:val="24"/>
          <w:shd w:val="clear"/>
          <w:lang w:val="zh-CN"/>
        </w:rPr>
        <w:t>联系电话：</w:t>
      </w:r>
      <w:r>
        <w:rPr>
          <w:rFonts w:hint="eastAsia" w:ascii="仿宋" w:hAnsi="仿宋" w:eastAsia="仿宋" w:cs="仿宋"/>
          <w:sz w:val="24"/>
          <w:u w:val="single"/>
          <w:lang w:val="en-US" w:eastAsia="zh-CN"/>
        </w:rPr>
        <w:t xml:space="preserve">             </w:t>
      </w:r>
      <w:r>
        <w:rPr>
          <w:rFonts w:hint="eastAsia" w:ascii="仿宋" w:hAnsi="仿宋" w:eastAsia="仿宋" w:cs="仿宋"/>
          <w:i w:val="0"/>
          <w:iCs w:val="0"/>
          <w:caps w:val="0"/>
          <w:spacing w:val="0"/>
          <w:sz w:val="24"/>
          <w:szCs w:val="24"/>
          <w:shd w:val="clear"/>
          <w:lang w:val="en-US" w:eastAsia="zh-CN"/>
        </w:rPr>
        <w:t>；</w:t>
      </w:r>
    </w:p>
    <w:p w14:paraId="2092EA29">
      <w:pPr>
        <w:spacing w:line="360" w:lineRule="auto"/>
        <w:ind w:firstLine="480" w:firstLineChars="200"/>
        <w:rPr>
          <w:rFonts w:ascii="仿宋" w:hAnsi="仿宋" w:eastAsia="仿宋" w:cs="仿宋"/>
          <w:sz w:val="24"/>
        </w:rPr>
      </w:pPr>
      <w:r>
        <w:rPr>
          <w:rFonts w:hint="eastAsia" w:ascii="仿宋" w:hAnsi="仿宋" w:eastAsia="仿宋" w:cs="仿宋"/>
          <w:i w:val="0"/>
          <w:iCs w:val="0"/>
          <w:caps w:val="0"/>
          <w:spacing w:val="0"/>
          <w:sz w:val="24"/>
          <w:szCs w:val="24"/>
          <w:shd w:val="clear"/>
          <w:lang w:val="zh-CN"/>
        </w:rPr>
        <w:t>3、</w:t>
      </w:r>
      <w:r>
        <w:rPr>
          <w:rFonts w:hint="eastAsia" w:ascii="仿宋" w:hAnsi="仿宋" w:eastAsia="仿宋" w:cs="仿宋"/>
          <w:i w:val="0"/>
          <w:iCs w:val="0"/>
          <w:caps w:val="0"/>
          <w:spacing w:val="0"/>
          <w:sz w:val="24"/>
          <w:szCs w:val="24"/>
          <w:shd w:val="clear"/>
          <w:lang w:val="en-US" w:eastAsia="zh-CN"/>
        </w:rPr>
        <w:t>质保期内</w:t>
      </w:r>
      <w:r>
        <w:rPr>
          <w:rFonts w:hint="eastAsia" w:ascii="仿宋" w:hAnsi="仿宋" w:eastAsia="仿宋" w:cs="仿宋"/>
          <w:sz w:val="24"/>
          <w:lang w:val="zh-CN"/>
        </w:rPr>
        <w:t>出现质量问题后，若乙方整改后仍出现类似问题，由乙方承担所有费用并处以结算金额百分之二点五罚款，如果质保金不足以承担维修费用的，乙方需要承担超出部分的费用，乙方不得有任何异议。</w:t>
      </w:r>
    </w:p>
    <w:p w14:paraId="7005321A">
      <w:pPr>
        <w:autoSpaceDE w:val="0"/>
        <w:autoSpaceDN w:val="0"/>
        <w:adjustRightInd w:val="0"/>
        <w:spacing w:line="360" w:lineRule="auto"/>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九</w:t>
      </w:r>
      <w:r>
        <w:rPr>
          <w:rFonts w:hint="eastAsia" w:ascii="仿宋" w:hAnsi="仿宋" w:eastAsia="仿宋" w:cs="仿宋"/>
          <w:b/>
          <w:bCs/>
          <w:color w:val="000000"/>
          <w:sz w:val="28"/>
          <w:szCs w:val="28"/>
          <w:lang w:val="zh-CN"/>
        </w:rPr>
        <w:t>、违约责任</w:t>
      </w:r>
    </w:p>
    <w:p w14:paraId="77D0D8F0">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因不可抗力的自然灾害所造成的突发性的损害，工期顺延。</w:t>
      </w:r>
    </w:p>
    <w:p w14:paraId="5DD5C002">
      <w:pPr>
        <w:spacing w:line="360" w:lineRule="auto"/>
        <w:ind w:firstLine="480" w:firstLineChars="200"/>
        <w:rPr>
          <w:rFonts w:hint="eastAsia" w:ascii="仿宋" w:hAnsi="仿宋" w:eastAsia="仿宋" w:cs="仿宋"/>
          <w:sz w:val="24"/>
          <w:lang w:val="zh-CN"/>
        </w:rPr>
      </w:pPr>
      <w:r>
        <w:rPr>
          <w:rFonts w:hint="eastAsia" w:ascii="仿宋" w:hAnsi="仿宋" w:eastAsia="仿宋" w:cs="仿宋"/>
          <w:color w:val="000000"/>
          <w:sz w:val="24"/>
        </w:rPr>
        <w:t>2、</w:t>
      </w:r>
      <w:r>
        <w:rPr>
          <w:rFonts w:hint="eastAsia" w:ascii="仿宋" w:hAnsi="仿宋" w:eastAsia="仿宋" w:cs="仿宋"/>
          <w:color w:val="000000"/>
          <w:sz w:val="24"/>
          <w:szCs w:val="24"/>
          <w:lang w:val="zh-CN"/>
        </w:rPr>
        <w:t>因乙方原因导致工程不能按期完工的，乙方应承担违约责任并赔偿甲方损失</w:t>
      </w:r>
      <w:r>
        <w:rPr>
          <w:rFonts w:hint="eastAsia" w:ascii="仿宋" w:hAnsi="仿宋" w:eastAsia="仿宋" w:cs="仿宋"/>
          <w:color w:val="auto"/>
          <w:sz w:val="24"/>
          <w:szCs w:val="24"/>
          <w:lang w:val="zh-CN"/>
        </w:rPr>
        <w:t>。每逾期一日按</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的0.5‰支付违约金，违约金总额不超过</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的10%。</w:t>
      </w:r>
      <w:r>
        <w:rPr>
          <w:rFonts w:hint="eastAsia" w:ascii="仿宋" w:hAnsi="仿宋" w:eastAsia="仿宋" w:cs="仿宋"/>
          <w:color w:val="000000"/>
          <w:sz w:val="24"/>
          <w:szCs w:val="24"/>
          <w:lang w:val="zh-CN"/>
        </w:rPr>
        <w:t>甲方有权在应付工程款中直接扣除相应违约金，乙方支付违约金后，仍应继续完成工程并承担质量保修责任</w:t>
      </w:r>
      <w:r>
        <w:rPr>
          <w:rFonts w:hint="eastAsia" w:ascii="仿宋" w:hAnsi="仿宋" w:eastAsia="仿宋" w:cs="仿宋"/>
          <w:sz w:val="24"/>
          <w:lang w:val="zh-CN"/>
        </w:rPr>
        <w:t>。</w:t>
      </w:r>
    </w:p>
    <w:p w14:paraId="1341A4A7">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sz w:val="24"/>
        </w:rPr>
        <w:t>3、</w:t>
      </w:r>
      <w:r>
        <w:rPr>
          <w:rFonts w:hint="eastAsia" w:ascii="仿宋" w:hAnsi="仿宋" w:eastAsia="仿宋" w:cs="仿宋"/>
          <w:sz w:val="24"/>
          <w:lang w:val="zh-CN"/>
        </w:rPr>
        <w:t>因甲方场地、设备和生产作业等原因造成乙方无法正常施工的</w:t>
      </w:r>
      <w:r>
        <w:rPr>
          <w:rFonts w:hint="eastAsia" w:ascii="仿宋" w:hAnsi="仿宋" w:eastAsia="仿宋" w:cs="仿宋"/>
          <w:color w:val="000000"/>
          <w:sz w:val="24"/>
          <w:lang w:val="zh-CN"/>
        </w:rPr>
        <w:t>，除施工工期顺延外，甲方不再作任何补偿。</w:t>
      </w:r>
    </w:p>
    <w:p w14:paraId="70318FDB">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rPr>
        <w:t>4、因乙方责任（如发生安全、质量事故）而导致项目不能继续施工的，</w:t>
      </w:r>
      <w:r>
        <w:rPr>
          <w:rFonts w:hint="eastAsia" w:ascii="仿宋" w:hAnsi="仿宋" w:eastAsia="仿宋" w:cs="仿宋"/>
          <w:sz w:val="24"/>
        </w:rPr>
        <w:t>或停工时间持续达15</w:t>
      </w:r>
      <w:r>
        <w:rPr>
          <w:rFonts w:hint="eastAsia" w:ascii="仿宋" w:hAnsi="仿宋" w:eastAsia="仿宋" w:cs="仿宋"/>
          <w:sz w:val="24"/>
          <w:lang w:val="en-US" w:eastAsia="zh-CN"/>
        </w:rPr>
        <w:t>个日历天</w:t>
      </w:r>
      <w:r>
        <w:rPr>
          <w:rFonts w:hint="eastAsia" w:ascii="仿宋" w:hAnsi="仿宋" w:eastAsia="仿宋" w:cs="仿宋"/>
          <w:sz w:val="24"/>
        </w:rPr>
        <w:t>的，</w:t>
      </w:r>
      <w:r>
        <w:rPr>
          <w:rFonts w:hint="eastAsia" w:ascii="仿宋" w:hAnsi="仿宋" w:eastAsia="仿宋" w:cs="仿宋"/>
          <w:color w:val="000000"/>
          <w:sz w:val="24"/>
        </w:rPr>
        <w:t>甲方有权终止合同，并由乙方赔偿经济损失</w:t>
      </w:r>
      <w:r>
        <w:rPr>
          <w:rFonts w:hint="eastAsia" w:ascii="仿宋" w:hAnsi="仿宋" w:eastAsia="仿宋" w:cs="仿宋"/>
          <w:color w:val="000000"/>
          <w:sz w:val="24"/>
          <w:lang w:eastAsia="zh-CN"/>
        </w:rPr>
        <w:t>。</w:t>
      </w:r>
    </w:p>
    <w:p w14:paraId="5E11A4C2">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5、</w:t>
      </w:r>
      <w:r>
        <w:rPr>
          <w:rFonts w:hint="eastAsia" w:ascii="仿宋" w:hAnsi="仿宋" w:eastAsia="仿宋" w:cs="仿宋"/>
          <w:sz w:val="24"/>
        </w:rPr>
        <w:t>任何一方无正当理由单方面解除本合同，应向对方支付违约金，金额为合同暂定价的10%。若因一方根本违约（包括但不限于乙方检测报告存在严重失实等）导致合同目的无法实现，守约方有权解除合同，并要求违约方赔偿实际损失，不受本款10%违约金上限的限制。</w:t>
      </w:r>
    </w:p>
    <w:p w14:paraId="6FCCAAD2">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lang w:val="en-US" w:eastAsia="zh-CN"/>
        </w:rPr>
      </w:pPr>
      <w:r>
        <w:rPr>
          <w:rFonts w:hint="eastAsia" w:ascii="仿宋" w:hAnsi="仿宋" w:eastAsia="仿宋" w:cs="仿宋"/>
          <w:b w:val="0"/>
          <w:bCs w:val="0"/>
          <w:i w:val="0"/>
          <w:iCs w:val="0"/>
          <w:caps w:val="0"/>
          <w:color w:val="auto"/>
          <w:spacing w:val="0"/>
          <w:sz w:val="24"/>
          <w:szCs w:val="24"/>
          <w:shd w:val="clear" w:fill="auto"/>
          <w:lang w:val="en-US" w:eastAsia="zh-CN"/>
        </w:rPr>
        <w:t>6、因一方违约导致诉讼的，违约方应承担守约方为维权所支出的合理费用（包括但不限于律师费、诉讼费、保全费等）。</w:t>
      </w:r>
    </w:p>
    <w:p w14:paraId="3AFB70BC">
      <w:pPr>
        <w:spacing w:line="360" w:lineRule="auto"/>
        <w:ind w:firstLine="480" w:firstLineChars="200"/>
        <w:rPr>
          <w:rFonts w:hint="eastAsia" w:ascii="仿宋" w:hAnsi="仿宋" w:eastAsia="仿宋" w:cs="仿宋"/>
        </w:rPr>
      </w:pPr>
      <w:r>
        <w:rPr>
          <w:rFonts w:hint="eastAsia" w:ascii="仿宋" w:hAnsi="仿宋" w:eastAsia="仿宋" w:cs="仿宋"/>
          <w:b w:val="0"/>
          <w:bCs w:val="0"/>
          <w:i w:val="0"/>
          <w:iCs w:val="0"/>
          <w:caps w:val="0"/>
          <w:color w:val="auto"/>
          <w:spacing w:val="0"/>
          <w:sz w:val="24"/>
          <w:szCs w:val="24"/>
          <w:shd w:val="clear" w:fill="auto"/>
          <w:lang w:val="en-US" w:eastAsia="zh-CN"/>
        </w:rPr>
        <w:t>7、乙方严禁以整体转包、拆分分包、挂靠施工等任何形式将本工程项目转交第三方实施，未经甲方书面许可，不得擅自分包任一施工内容。一经查实存在转包、违法分包行为，视为乙方根本性违约，甲方有权单方解除施工合同；乙方须按合同暂定价 20% 向甲方支付违约金，同时全额承担因转包、分包引发的工期延误、质量缺陷、安全隐患及甲方所有经济损失，由此产生的一切法律责任均由乙方自行承担。</w:t>
      </w:r>
      <w:r>
        <w:rPr>
          <w:rFonts w:hint="eastAsia" w:ascii="仿宋" w:hAnsi="仿宋" w:eastAsia="仿宋" w:cs="仿宋"/>
          <w:b w:val="0"/>
          <w:bCs w:val="0"/>
          <w:i w:val="0"/>
          <w:iCs w:val="0"/>
          <w:caps w:val="0"/>
          <w:color w:val="auto"/>
          <w:spacing w:val="0"/>
          <w:sz w:val="24"/>
          <w:szCs w:val="24"/>
          <w:shd w:val="clear" w:fill="auto"/>
          <w:lang w:val="en-US" w:eastAsia="zh-CN"/>
        </w:rPr>
        <w:tab/>
      </w:r>
      <w:r>
        <w:rPr>
          <w:rFonts w:hint="eastAsia" w:ascii="仿宋" w:hAnsi="仿宋" w:eastAsia="仿宋" w:cs="仿宋"/>
          <w:b w:val="0"/>
          <w:bCs w:val="0"/>
          <w:i w:val="0"/>
          <w:iCs w:val="0"/>
          <w:caps w:val="0"/>
          <w:color w:val="auto"/>
          <w:spacing w:val="0"/>
          <w:sz w:val="24"/>
          <w:szCs w:val="24"/>
          <w:shd w:val="clear" w:fill="auto"/>
          <w:lang w:val="en-US" w:eastAsia="zh-CN"/>
        </w:rPr>
        <w:tab/>
      </w:r>
    </w:p>
    <w:p w14:paraId="0FB25B50">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十</w:t>
      </w:r>
      <w:r>
        <w:rPr>
          <w:rFonts w:hint="eastAsia" w:ascii="仿宋" w:hAnsi="仿宋" w:eastAsia="仿宋" w:cs="仿宋"/>
          <w:b/>
          <w:bCs/>
          <w:color w:val="000000"/>
          <w:sz w:val="28"/>
          <w:szCs w:val="28"/>
          <w:lang w:val="zh-CN"/>
        </w:rPr>
        <w:t>、争议或纠纷处理</w:t>
      </w:r>
    </w:p>
    <w:p w14:paraId="7ED9647B">
      <w:pPr>
        <w:spacing w:line="360" w:lineRule="auto"/>
        <w:ind w:firstLine="480" w:firstLineChars="200"/>
        <w:jc w:val="left"/>
        <w:rPr>
          <w:rFonts w:hint="eastAsia" w:ascii="仿宋" w:hAnsi="仿宋" w:eastAsia="仿宋" w:cs="仿宋"/>
          <w:bCs/>
          <w:sz w:val="24"/>
          <w:szCs w:val="21"/>
        </w:rPr>
      </w:pPr>
      <w:r>
        <w:rPr>
          <w:rFonts w:hint="eastAsia" w:ascii="仿宋" w:hAnsi="仿宋" w:eastAsia="仿宋" w:cs="仿宋"/>
          <w:bCs/>
          <w:sz w:val="24"/>
          <w:szCs w:val="21"/>
        </w:rPr>
        <w:t>合同期间发生争议，由双方协商解决，如协商不成，可向甲方所在地有管辖权的人民法院提起诉讼，补充合同与附件均具备法律效应。</w:t>
      </w:r>
    </w:p>
    <w:p w14:paraId="46AC066C">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十一</w:t>
      </w:r>
      <w:r>
        <w:rPr>
          <w:rFonts w:hint="eastAsia" w:ascii="仿宋" w:hAnsi="仿宋" w:eastAsia="仿宋" w:cs="仿宋"/>
          <w:b/>
          <w:bCs/>
          <w:color w:val="000000"/>
          <w:sz w:val="28"/>
          <w:szCs w:val="28"/>
          <w:lang w:val="zh-CN"/>
        </w:rPr>
        <w:t>、附则</w:t>
      </w:r>
    </w:p>
    <w:p w14:paraId="2959E23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、本合同正本一式贰份，甲乙双方各执壹份；副本一式</w:t>
      </w:r>
      <w:r>
        <w:rPr>
          <w:rFonts w:hint="eastAsia" w:ascii="仿宋" w:hAnsi="仿宋" w:eastAsia="仿宋" w:cs="仿宋"/>
          <w:color w:val="000000"/>
          <w:sz w:val="24"/>
        </w:rPr>
        <w:t>陆</w:t>
      </w:r>
      <w:r>
        <w:rPr>
          <w:rFonts w:hint="eastAsia" w:ascii="仿宋" w:hAnsi="仿宋" w:eastAsia="仿宋" w:cs="仿宋"/>
          <w:color w:val="000000"/>
          <w:sz w:val="24"/>
          <w:lang w:val="zh-CN"/>
        </w:rPr>
        <w:t>份，乙方执贰份，甲方执肆份，正副本具有同等效力；</w:t>
      </w:r>
    </w:p>
    <w:p w14:paraId="765E02C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2</w:t>
      </w:r>
      <w:r>
        <w:rPr>
          <w:rFonts w:hint="eastAsia" w:ascii="仿宋" w:hAnsi="仿宋" w:eastAsia="仿宋" w:cs="仿宋"/>
          <w:color w:val="000000"/>
          <w:sz w:val="24"/>
          <w:lang w:val="zh-CN"/>
        </w:rPr>
        <w:t>、本合同自甲、乙双方法定代表人或授权代表签字并加盖公章之日起生效，以最后签署日为合同生效日期，本合同履行完后自动终止。</w:t>
      </w:r>
    </w:p>
    <w:p w14:paraId="447F5BB8">
      <w:pPr>
        <w:pStyle w:val="7"/>
        <w:rPr>
          <w:rFonts w:hint="eastAsia"/>
          <w:lang w:val="zh-CN"/>
        </w:rPr>
      </w:pPr>
    </w:p>
    <w:tbl>
      <w:tblPr>
        <w:tblStyle w:val="20"/>
        <w:tblW w:w="0" w:type="auto"/>
        <w:tblInd w:w="0" w:type="dxa"/>
        <w:tblLayout w:type="fixed"/>
        <w:tblCellMar>
          <w:top w:w="0" w:type="dxa"/>
          <w:left w:w="108" w:type="dxa"/>
          <w:bottom w:w="0" w:type="dxa"/>
          <w:right w:w="108" w:type="dxa"/>
        </w:tblCellMar>
      </w:tblPr>
      <w:tblGrid>
        <w:gridCol w:w="4371"/>
        <w:gridCol w:w="4145"/>
      </w:tblGrid>
      <w:tr w14:paraId="5E7CA3A1">
        <w:tblPrEx>
          <w:tblCellMar>
            <w:top w:w="0" w:type="dxa"/>
            <w:left w:w="108" w:type="dxa"/>
            <w:bottom w:w="0" w:type="dxa"/>
            <w:right w:w="108" w:type="dxa"/>
          </w:tblCellMar>
        </w:tblPrEx>
        <w:trPr>
          <w:trHeight w:val="340" w:hRule="atLeast"/>
        </w:trPr>
        <w:tc>
          <w:tcPr>
            <w:tcW w:w="4371" w:type="dxa"/>
            <w:noWrap/>
          </w:tcPr>
          <w:p w14:paraId="4503821F">
            <w:pPr>
              <w:spacing w:line="360" w:lineRule="auto"/>
              <w:rPr>
                <w:rFonts w:ascii="仿宋" w:hAnsi="仿宋" w:eastAsia="仿宋" w:cs="仿宋"/>
                <w:sz w:val="24"/>
                <w:szCs w:val="24"/>
              </w:rPr>
            </w:pPr>
            <w:r>
              <w:rPr>
                <w:rFonts w:hint="eastAsia" w:ascii="仿宋" w:hAnsi="仿宋" w:eastAsia="仿宋" w:cs="仿宋"/>
                <w:sz w:val="24"/>
                <w:szCs w:val="24"/>
              </w:rPr>
              <w:t>甲方：中山大学孙逸仙纪念医院</w:t>
            </w:r>
          </w:p>
          <w:p w14:paraId="576325A1">
            <w:pPr>
              <w:pStyle w:val="6"/>
              <w:rPr>
                <w:sz w:val="24"/>
                <w:szCs w:val="24"/>
              </w:rPr>
            </w:pPr>
          </w:p>
        </w:tc>
        <w:tc>
          <w:tcPr>
            <w:tcW w:w="4145" w:type="dxa"/>
            <w:noWrap/>
          </w:tcPr>
          <w:p w14:paraId="3684B7B0">
            <w:pPr>
              <w:spacing w:line="360" w:lineRule="auto"/>
              <w:rPr>
                <w:rFonts w:ascii="仿宋" w:hAnsi="仿宋" w:eastAsia="仿宋" w:cs="仿宋"/>
                <w:sz w:val="24"/>
                <w:szCs w:val="24"/>
              </w:rPr>
            </w:pPr>
            <w:r>
              <w:rPr>
                <w:rFonts w:hint="eastAsia" w:ascii="仿宋" w:hAnsi="仿宋" w:eastAsia="仿宋" w:cs="仿宋"/>
                <w:sz w:val="24"/>
                <w:szCs w:val="24"/>
              </w:rPr>
              <w:t>乙方：</w:t>
            </w:r>
          </w:p>
        </w:tc>
      </w:tr>
      <w:tr w14:paraId="494FFA12">
        <w:tblPrEx>
          <w:tblCellMar>
            <w:top w:w="0" w:type="dxa"/>
            <w:left w:w="108" w:type="dxa"/>
            <w:bottom w:w="0" w:type="dxa"/>
            <w:right w:w="108" w:type="dxa"/>
          </w:tblCellMar>
        </w:tblPrEx>
        <w:trPr>
          <w:trHeight w:val="340" w:hRule="atLeast"/>
        </w:trPr>
        <w:tc>
          <w:tcPr>
            <w:tcW w:w="4371" w:type="dxa"/>
            <w:noWrap/>
          </w:tcPr>
          <w:p w14:paraId="0232AF59">
            <w:pPr>
              <w:pStyle w:val="6"/>
              <w:spacing w:line="360" w:lineRule="auto"/>
              <w:rPr>
                <w:rFonts w:hint="eastAsia" w:eastAsia="宋体"/>
                <w:sz w:val="24"/>
                <w:szCs w:val="24"/>
                <w:lang w:val="en-US" w:eastAsia="zh-CN"/>
              </w:rPr>
            </w:pPr>
            <w:r>
              <w:rPr>
                <w:rFonts w:hint="eastAsia" w:ascii="仿宋" w:hAnsi="仿宋" w:eastAsia="仿宋" w:cs="仿宋"/>
                <w:sz w:val="24"/>
                <w:szCs w:val="24"/>
                <w:lang w:val="en-US" w:eastAsia="zh-CN"/>
              </w:rPr>
              <w:t>地址：</w:t>
            </w:r>
            <w:r>
              <w:rPr>
                <w:rFonts w:hint="eastAsia" w:ascii="仿宋" w:hAnsi="仿宋" w:eastAsia="仿宋" w:cs="仿宋"/>
                <w:kern w:val="2"/>
                <w:sz w:val="24"/>
              </w:rPr>
              <w:t>广州市越秀区沿江西路107号</w:t>
            </w:r>
          </w:p>
        </w:tc>
        <w:tc>
          <w:tcPr>
            <w:tcW w:w="4145" w:type="dxa"/>
            <w:noWrap/>
          </w:tcPr>
          <w:p w14:paraId="50553426">
            <w:pPr>
              <w:pStyle w:val="6"/>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地址：</w:t>
            </w:r>
          </w:p>
        </w:tc>
      </w:tr>
      <w:tr w14:paraId="007364D7">
        <w:tblPrEx>
          <w:tblCellMar>
            <w:top w:w="0" w:type="dxa"/>
            <w:left w:w="108" w:type="dxa"/>
            <w:bottom w:w="0" w:type="dxa"/>
            <w:right w:w="108" w:type="dxa"/>
          </w:tblCellMar>
        </w:tblPrEx>
        <w:trPr>
          <w:trHeight w:val="340" w:hRule="atLeast"/>
        </w:trPr>
        <w:tc>
          <w:tcPr>
            <w:tcW w:w="4371" w:type="dxa"/>
            <w:shd w:val="clear" w:color="auto" w:fill="auto"/>
            <w:noWrap/>
            <w:vAlign w:val="top"/>
          </w:tcPr>
          <w:p w14:paraId="11ADC805">
            <w:pPr>
              <w:spacing w:line="360" w:lineRule="auto"/>
              <w:rPr>
                <w:rFonts w:ascii="仿宋" w:hAnsi="仿宋" w:eastAsia="仿宋" w:cs="仿宋"/>
                <w:sz w:val="24"/>
                <w:szCs w:val="24"/>
              </w:rPr>
            </w:pPr>
            <w:r>
              <w:rPr>
                <w:rFonts w:hint="eastAsia" w:ascii="仿宋" w:hAnsi="仿宋" w:eastAsia="仿宋" w:cs="仿宋"/>
                <w:sz w:val="24"/>
                <w:szCs w:val="24"/>
              </w:rPr>
              <w:t>法定代表人：</w:t>
            </w:r>
          </w:p>
          <w:p w14:paraId="055D9770">
            <w:pPr>
              <w:pStyle w:val="6"/>
              <w:rPr>
                <w:rFonts w:ascii="Times New Roman" w:hAnsi="Times New Roman" w:eastAsia="宋体" w:cs="Times New Roman"/>
                <w:kern w:val="2"/>
                <w:sz w:val="24"/>
                <w:szCs w:val="24"/>
                <w:lang w:val="en-US" w:eastAsia="zh-CN" w:bidi="ar-SA"/>
              </w:rPr>
            </w:pPr>
          </w:p>
        </w:tc>
        <w:tc>
          <w:tcPr>
            <w:tcW w:w="4145" w:type="dxa"/>
            <w:shd w:val="clear" w:color="auto" w:fill="auto"/>
            <w:noWrap/>
            <w:vAlign w:val="top"/>
          </w:tcPr>
          <w:p w14:paraId="4431A3D7">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法定代表人：</w:t>
            </w:r>
          </w:p>
        </w:tc>
      </w:tr>
      <w:tr w14:paraId="7C488673">
        <w:tblPrEx>
          <w:tblCellMar>
            <w:top w:w="0" w:type="dxa"/>
            <w:left w:w="108" w:type="dxa"/>
            <w:bottom w:w="0" w:type="dxa"/>
            <w:right w:w="108" w:type="dxa"/>
          </w:tblCellMar>
        </w:tblPrEx>
        <w:trPr>
          <w:trHeight w:val="340" w:hRule="atLeast"/>
        </w:trPr>
        <w:tc>
          <w:tcPr>
            <w:tcW w:w="4371" w:type="dxa"/>
            <w:shd w:val="clear" w:color="auto" w:fill="auto"/>
            <w:noWrap/>
            <w:vAlign w:val="top"/>
          </w:tcPr>
          <w:p w14:paraId="1ACF1FBB">
            <w:pPr>
              <w:spacing w:line="360" w:lineRule="auto"/>
              <w:rPr>
                <w:rFonts w:ascii="仿宋" w:hAnsi="仿宋" w:eastAsia="仿宋" w:cs="仿宋"/>
                <w:sz w:val="24"/>
                <w:szCs w:val="24"/>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p w14:paraId="3A72D8A4">
            <w:pPr>
              <w:pStyle w:val="6"/>
              <w:rPr>
                <w:rFonts w:ascii="Times New Roman" w:hAnsi="Times New Roman" w:eastAsia="宋体" w:cs="Times New Roman"/>
                <w:kern w:val="2"/>
                <w:sz w:val="24"/>
                <w:szCs w:val="24"/>
                <w:lang w:val="en-US" w:eastAsia="zh-CN" w:bidi="ar-SA"/>
              </w:rPr>
            </w:pPr>
          </w:p>
        </w:tc>
        <w:tc>
          <w:tcPr>
            <w:tcW w:w="4145" w:type="dxa"/>
            <w:shd w:val="clear" w:color="auto" w:fill="auto"/>
            <w:noWrap/>
            <w:vAlign w:val="top"/>
          </w:tcPr>
          <w:p w14:paraId="77BF34F0">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tc>
      </w:tr>
      <w:tr w14:paraId="050911CD">
        <w:tblPrEx>
          <w:tblCellMar>
            <w:top w:w="0" w:type="dxa"/>
            <w:left w:w="108" w:type="dxa"/>
            <w:bottom w:w="0" w:type="dxa"/>
            <w:right w:w="108" w:type="dxa"/>
          </w:tblCellMar>
        </w:tblPrEx>
        <w:trPr>
          <w:trHeight w:val="340" w:hRule="atLeast"/>
        </w:trPr>
        <w:tc>
          <w:tcPr>
            <w:tcW w:w="4371" w:type="dxa"/>
            <w:shd w:val="clear" w:color="auto" w:fill="auto"/>
            <w:noWrap/>
            <w:vAlign w:val="top"/>
          </w:tcPr>
          <w:p w14:paraId="38F43A3C">
            <w:pPr>
              <w:spacing w:line="360" w:lineRule="auto"/>
              <w:rPr>
                <w:rFonts w:ascii="宋体" w:hAnsi="宋体" w:cs="SimSun-Identity-H"/>
                <w:kern w:val="0"/>
                <w:sz w:val="24"/>
                <w:szCs w:val="24"/>
              </w:rPr>
            </w:pPr>
            <w:r>
              <w:rPr>
                <w:rFonts w:hint="eastAsia" w:ascii="仿宋" w:hAnsi="仿宋" w:eastAsia="仿宋" w:cs="仿宋"/>
                <w:sz w:val="24"/>
                <w:szCs w:val="24"/>
              </w:rPr>
              <w:t>联系人</w:t>
            </w:r>
            <w:r>
              <w:rPr>
                <w:rFonts w:hint="eastAsia" w:ascii="宋体" w:hAnsi="宋体" w:cs="SimSun-Identity-H"/>
                <w:kern w:val="0"/>
                <w:sz w:val="24"/>
                <w:szCs w:val="24"/>
              </w:rPr>
              <w:t>：</w:t>
            </w:r>
          </w:p>
          <w:p w14:paraId="1383D440">
            <w:pPr>
              <w:pStyle w:val="6"/>
              <w:rPr>
                <w:rFonts w:hint="default" w:ascii="Times New Roman" w:hAnsi="Times New Roman" w:eastAsia="宋体" w:cs="Times New Roman"/>
                <w:kern w:val="2"/>
                <w:sz w:val="24"/>
                <w:szCs w:val="24"/>
                <w:lang w:val="en-US" w:eastAsia="zh-CN" w:bidi="ar-SA"/>
              </w:rPr>
            </w:pPr>
          </w:p>
        </w:tc>
        <w:tc>
          <w:tcPr>
            <w:tcW w:w="4145" w:type="dxa"/>
            <w:shd w:val="clear" w:color="auto" w:fill="auto"/>
            <w:noWrap/>
            <w:vAlign w:val="top"/>
          </w:tcPr>
          <w:p w14:paraId="1BEB1E6C">
            <w:pPr>
              <w:spacing w:line="360" w:lineRule="auto"/>
              <w:rPr>
                <w:rFonts w:hint="eastAsia" w:ascii="仿宋" w:hAnsi="仿宋" w:eastAsia="宋体" w:cs="仿宋"/>
                <w:kern w:val="2"/>
                <w:sz w:val="24"/>
                <w:szCs w:val="24"/>
                <w:lang w:val="en-US" w:eastAsia="zh-CN" w:bidi="ar-SA"/>
              </w:rPr>
            </w:pPr>
            <w:r>
              <w:rPr>
                <w:rFonts w:hint="eastAsia" w:ascii="仿宋" w:hAnsi="仿宋" w:eastAsia="仿宋" w:cs="仿宋"/>
                <w:sz w:val="24"/>
                <w:szCs w:val="24"/>
              </w:rPr>
              <w:t>联系人</w:t>
            </w:r>
            <w:r>
              <w:rPr>
                <w:rFonts w:hint="eastAsia" w:ascii="宋体" w:hAnsi="宋体" w:cs="SimSun-Identity-H"/>
                <w:kern w:val="0"/>
                <w:sz w:val="24"/>
                <w:szCs w:val="24"/>
              </w:rPr>
              <w:t>：</w:t>
            </w:r>
          </w:p>
        </w:tc>
      </w:tr>
      <w:tr w14:paraId="4A28A5CE">
        <w:tblPrEx>
          <w:tblCellMar>
            <w:top w:w="0" w:type="dxa"/>
            <w:left w:w="108" w:type="dxa"/>
            <w:bottom w:w="0" w:type="dxa"/>
            <w:right w:w="108" w:type="dxa"/>
          </w:tblCellMar>
        </w:tblPrEx>
        <w:trPr>
          <w:trHeight w:val="340" w:hRule="atLeast"/>
        </w:trPr>
        <w:tc>
          <w:tcPr>
            <w:tcW w:w="4371" w:type="dxa"/>
            <w:shd w:val="clear" w:color="auto" w:fill="auto"/>
            <w:noWrap/>
            <w:vAlign w:val="top"/>
          </w:tcPr>
          <w:p w14:paraId="62263CD0">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020-81332161</w:t>
            </w:r>
          </w:p>
        </w:tc>
        <w:tc>
          <w:tcPr>
            <w:tcW w:w="4145" w:type="dxa"/>
            <w:shd w:val="clear" w:color="auto" w:fill="auto"/>
            <w:noWrap/>
            <w:vAlign w:val="top"/>
          </w:tcPr>
          <w:p w14:paraId="6C20E022">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联系电话：</w:t>
            </w:r>
          </w:p>
        </w:tc>
      </w:tr>
      <w:tr w14:paraId="3143E937">
        <w:tblPrEx>
          <w:tblCellMar>
            <w:top w:w="0" w:type="dxa"/>
            <w:left w:w="108" w:type="dxa"/>
            <w:bottom w:w="0" w:type="dxa"/>
            <w:right w:w="108" w:type="dxa"/>
          </w:tblCellMar>
        </w:tblPrEx>
        <w:trPr>
          <w:trHeight w:val="340" w:hRule="atLeast"/>
        </w:trPr>
        <w:tc>
          <w:tcPr>
            <w:tcW w:w="4371" w:type="dxa"/>
            <w:shd w:val="clear" w:color="auto" w:fill="auto"/>
            <w:noWrap/>
            <w:vAlign w:val="top"/>
          </w:tcPr>
          <w:p w14:paraId="6F79B63D">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 xml:space="preserve">开户银行：广州市工商银行第二支行 </w:t>
            </w:r>
          </w:p>
        </w:tc>
        <w:tc>
          <w:tcPr>
            <w:tcW w:w="4145" w:type="dxa"/>
            <w:shd w:val="clear" w:color="auto" w:fill="auto"/>
            <w:noWrap/>
            <w:vAlign w:val="top"/>
          </w:tcPr>
          <w:p w14:paraId="3A79C971">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开户银行</w:t>
            </w:r>
            <w:r>
              <w:rPr>
                <w:rFonts w:hint="eastAsia" w:ascii="仿宋" w:hAnsi="仿宋" w:eastAsia="仿宋" w:cs="仿宋"/>
                <w:kern w:val="2"/>
                <w:sz w:val="24"/>
                <w:lang w:eastAsia="zh-CN"/>
              </w:rPr>
              <w:t>：</w:t>
            </w:r>
          </w:p>
        </w:tc>
      </w:tr>
      <w:tr w14:paraId="4EE45EBE">
        <w:tblPrEx>
          <w:tblCellMar>
            <w:top w:w="0" w:type="dxa"/>
            <w:left w:w="108" w:type="dxa"/>
            <w:bottom w:w="0" w:type="dxa"/>
            <w:right w:w="108" w:type="dxa"/>
          </w:tblCellMar>
        </w:tblPrEx>
        <w:trPr>
          <w:trHeight w:val="340" w:hRule="atLeast"/>
        </w:trPr>
        <w:tc>
          <w:tcPr>
            <w:tcW w:w="4371" w:type="dxa"/>
            <w:shd w:val="clear" w:color="auto" w:fill="auto"/>
            <w:noWrap/>
            <w:vAlign w:val="top"/>
          </w:tcPr>
          <w:p w14:paraId="0A31CBDC">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账号：</w:t>
            </w:r>
            <w:r>
              <w:rPr>
                <w:rFonts w:hint="eastAsia" w:ascii="仿宋" w:hAnsi="仿宋" w:eastAsia="仿宋" w:cs="仿宋"/>
                <w:kern w:val="2"/>
                <w:sz w:val="24"/>
              </w:rPr>
              <w:t>3602000509000704422</w:t>
            </w:r>
          </w:p>
        </w:tc>
        <w:tc>
          <w:tcPr>
            <w:tcW w:w="4145" w:type="dxa"/>
            <w:shd w:val="clear" w:color="auto" w:fill="auto"/>
            <w:noWrap/>
            <w:vAlign w:val="top"/>
          </w:tcPr>
          <w:p w14:paraId="3FFB7183">
            <w:pPr>
              <w:spacing w:line="360" w:lineRule="auto"/>
              <w:rPr>
                <w:rFonts w:hint="eastAsia" w:ascii="仿宋" w:hAnsi="仿宋" w:eastAsia="仿宋" w:cs="仿宋"/>
                <w:b/>
                <w:bCs/>
                <w:kern w:val="2"/>
                <w:sz w:val="24"/>
                <w:szCs w:val="24"/>
                <w:lang w:val="en-US" w:eastAsia="zh-CN" w:bidi="ar-SA"/>
              </w:rPr>
            </w:pPr>
            <w:r>
              <w:rPr>
                <w:rFonts w:hint="eastAsia" w:ascii="仿宋" w:hAnsi="仿宋" w:eastAsia="仿宋" w:cs="仿宋"/>
                <w:kern w:val="2"/>
                <w:sz w:val="24"/>
                <w:szCs w:val="24"/>
                <w:lang w:val="en-US" w:eastAsia="zh-CN" w:bidi="ar-SA"/>
              </w:rPr>
              <w:t>账号：</w:t>
            </w:r>
          </w:p>
        </w:tc>
      </w:tr>
      <w:tr w14:paraId="72DDC7C4">
        <w:tblPrEx>
          <w:tblCellMar>
            <w:top w:w="0" w:type="dxa"/>
            <w:left w:w="108" w:type="dxa"/>
            <w:bottom w:w="0" w:type="dxa"/>
            <w:right w:w="108" w:type="dxa"/>
          </w:tblCellMar>
        </w:tblPrEx>
        <w:trPr>
          <w:trHeight w:val="340" w:hRule="atLeast"/>
        </w:trPr>
        <w:tc>
          <w:tcPr>
            <w:tcW w:w="4371" w:type="dxa"/>
            <w:shd w:val="clear" w:color="auto" w:fill="auto"/>
            <w:noWrap/>
            <w:vAlign w:val="top"/>
          </w:tcPr>
          <w:p w14:paraId="0AA05027">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邮政编码：510120</w:t>
            </w:r>
          </w:p>
        </w:tc>
        <w:tc>
          <w:tcPr>
            <w:tcW w:w="4145" w:type="dxa"/>
            <w:shd w:val="clear" w:color="auto" w:fill="auto"/>
            <w:noWrap/>
            <w:vAlign w:val="top"/>
          </w:tcPr>
          <w:p w14:paraId="1CE59F2F">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w:t>
            </w:r>
          </w:p>
        </w:tc>
      </w:tr>
      <w:tr w14:paraId="585EDAC4">
        <w:tblPrEx>
          <w:tblCellMar>
            <w:top w:w="0" w:type="dxa"/>
            <w:left w:w="108" w:type="dxa"/>
            <w:bottom w:w="0" w:type="dxa"/>
            <w:right w:w="108" w:type="dxa"/>
          </w:tblCellMar>
        </w:tblPrEx>
        <w:trPr>
          <w:trHeight w:val="340" w:hRule="atLeast"/>
        </w:trPr>
        <w:tc>
          <w:tcPr>
            <w:tcW w:w="4371" w:type="dxa"/>
            <w:noWrap/>
          </w:tcPr>
          <w:p w14:paraId="71B59C0A">
            <w:pPr>
              <w:spacing w:line="360" w:lineRule="auto"/>
              <w:jc w:val="left"/>
              <w:rPr>
                <w:rFonts w:hint="eastAsia" w:ascii="仿宋" w:hAnsi="仿宋" w:eastAsia="仿宋" w:cs="仿宋"/>
                <w:sz w:val="24"/>
                <w:szCs w:val="24"/>
              </w:rPr>
            </w:pPr>
            <w:r>
              <w:rPr>
                <w:rFonts w:hint="eastAsia" w:ascii="仿宋" w:hAnsi="仿宋" w:eastAsia="仿宋" w:cs="仿宋"/>
                <w:kern w:val="2"/>
                <w:sz w:val="24"/>
              </w:rPr>
              <w:t xml:space="preserve">电子邮箱: sysmhjjk@mail.sysu.edu.cn </w:t>
            </w:r>
          </w:p>
        </w:tc>
        <w:tc>
          <w:tcPr>
            <w:tcW w:w="4145" w:type="dxa"/>
            <w:noWrap/>
          </w:tcPr>
          <w:p w14:paraId="70A84A72">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p>
        </w:tc>
      </w:tr>
      <w:tr w14:paraId="50C730A5">
        <w:tblPrEx>
          <w:tblCellMar>
            <w:top w:w="0" w:type="dxa"/>
            <w:left w:w="108" w:type="dxa"/>
            <w:bottom w:w="0" w:type="dxa"/>
            <w:right w:w="108" w:type="dxa"/>
          </w:tblCellMar>
        </w:tblPrEx>
        <w:trPr>
          <w:trHeight w:val="340" w:hRule="atLeast"/>
        </w:trPr>
        <w:tc>
          <w:tcPr>
            <w:tcW w:w="4371" w:type="dxa"/>
            <w:shd w:val="clear" w:color="auto" w:fill="auto"/>
            <w:noWrap/>
            <w:vAlign w:val="top"/>
          </w:tcPr>
          <w:p w14:paraId="0A5B9645">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c>
          <w:tcPr>
            <w:tcW w:w="4145" w:type="dxa"/>
            <w:shd w:val="clear" w:color="auto" w:fill="auto"/>
            <w:noWrap/>
            <w:vAlign w:val="top"/>
          </w:tcPr>
          <w:p w14:paraId="5AA4F469">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r>
    </w:tbl>
    <w:p w14:paraId="1C03D553">
      <w:pPr>
        <w:pStyle w:val="10"/>
        <w:spacing w:line="360" w:lineRule="auto"/>
        <w:jc w:val="both"/>
        <w:rPr>
          <w:rFonts w:hint="eastAsia" w:ascii="仿宋" w:hAnsi="仿宋" w:eastAsia="仿宋" w:cs="仿宋"/>
          <w:i/>
          <w:iCs/>
          <w:sz w:val="24"/>
          <w:szCs w:val="40"/>
          <w:lang w:bidi="zh-CN"/>
        </w:rPr>
      </w:pPr>
    </w:p>
    <w:p w14:paraId="694A52AB">
      <w:pPr>
        <w:pStyle w:val="10"/>
        <w:spacing w:line="360" w:lineRule="auto"/>
        <w:jc w:val="both"/>
        <w:rPr>
          <w:rFonts w:hint="eastAsia" w:ascii="仿宋" w:hAnsi="仿宋" w:eastAsia="仿宋" w:cs="仿宋"/>
          <w:i/>
          <w:iCs/>
          <w:sz w:val="24"/>
          <w:szCs w:val="40"/>
          <w:lang w:bidi="zh-CN"/>
        </w:rPr>
      </w:pPr>
    </w:p>
    <w:p w14:paraId="7D3DE324">
      <w:pPr>
        <w:pStyle w:val="10"/>
        <w:spacing w:line="360" w:lineRule="auto"/>
        <w:jc w:val="both"/>
        <w:rPr>
          <w:rFonts w:hint="eastAsia" w:ascii="仿宋" w:hAnsi="仿宋" w:eastAsia="仿宋" w:cs="仿宋"/>
          <w:i/>
          <w:iCs/>
          <w:sz w:val="24"/>
          <w:szCs w:val="40"/>
          <w:lang w:bidi="zh-CN"/>
        </w:rPr>
      </w:pPr>
    </w:p>
    <w:p w14:paraId="6B3DCF95">
      <w:pPr>
        <w:spacing w:line="360" w:lineRule="auto"/>
        <w:rPr>
          <w:rFonts w:hint="eastAsia" w:ascii="宋体" w:hAnsi="宋体" w:eastAsia="宋体" w:cs="宋体"/>
          <w:b/>
          <w:bCs/>
          <w:sz w:val="24"/>
          <w:szCs w:val="24"/>
        </w:rPr>
      </w:pPr>
    </w:p>
    <w:sectPr>
      <w:headerReference r:id="rId8" w:type="first"/>
      <w:footerReference r:id="rId10" w:type="first"/>
      <w:headerReference r:id="rId7" w:type="default"/>
      <w:footerReference r:id="rId9"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C9137">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05C9137">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6D0EC">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A86D0EC">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4ED59">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4ED59">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DDD6C">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12DDD6C">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2"/>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2"/>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2"/>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2"/>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543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250C48"/>
    <w:rsid w:val="01413D41"/>
    <w:rsid w:val="019F5AA9"/>
    <w:rsid w:val="01E249E5"/>
    <w:rsid w:val="021D1B47"/>
    <w:rsid w:val="02203B3A"/>
    <w:rsid w:val="022B2BE0"/>
    <w:rsid w:val="02365741"/>
    <w:rsid w:val="02381EFC"/>
    <w:rsid w:val="025D5E45"/>
    <w:rsid w:val="0281282A"/>
    <w:rsid w:val="02B62D45"/>
    <w:rsid w:val="02B7449E"/>
    <w:rsid w:val="02D877C3"/>
    <w:rsid w:val="02ED7EC0"/>
    <w:rsid w:val="031374C5"/>
    <w:rsid w:val="03202CAB"/>
    <w:rsid w:val="034076C4"/>
    <w:rsid w:val="034D6575"/>
    <w:rsid w:val="035000AB"/>
    <w:rsid w:val="03783724"/>
    <w:rsid w:val="03800D34"/>
    <w:rsid w:val="038507CB"/>
    <w:rsid w:val="03B14CF2"/>
    <w:rsid w:val="03B85FA3"/>
    <w:rsid w:val="03D1389E"/>
    <w:rsid w:val="03F20AEB"/>
    <w:rsid w:val="041B2525"/>
    <w:rsid w:val="04493917"/>
    <w:rsid w:val="04702B56"/>
    <w:rsid w:val="047210F8"/>
    <w:rsid w:val="048515FE"/>
    <w:rsid w:val="04936FA6"/>
    <w:rsid w:val="04970029"/>
    <w:rsid w:val="049C2AB3"/>
    <w:rsid w:val="04FC6AE0"/>
    <w:rsid w:val="05464D81"/>
    <w:rsid w:val="0561184A"/>
    <w:rsid w:val="05616943"/>
    <w:rsid w:val="057B1162"/>
    <w:rsid w:val="05807D72"/>
    <w:rsid w:val="059B12C3"/>
    <w:rsid w:val="059B6C35"/>
    <w:rsid w:val="05E530D0"/>
    <w:rsid w:val="06097792"/>
    <w:rsid w:val="0613528B"/>
    <w:rsid w:val="0617479A"/>
    <w:rsid w:val="06275F54"/>
    <w:rsid w:val="063E5882"/>
    <w:rsid w:val="06446A75"/>
    <w:rsid w:val="065D35AE"/>
    <w:rsid w:val="068E5516"/>
    <w:rsid w:val="069C0C3F"/>
    <w:rsid w:val="06BF3F2A"/>
    <w:rsid w:val="06C24A28"/>
    <w:rsid w:val="06F270BC"/>
    <w:rsid w:val="07470B0F"/>
    <w:rsid w:val="074F30F9"/>
    <w:rsid w:val="07783917"/>
    <w:rsid w:val="079808BF"/>
    <w:rsid w:val="079B18F7"/>
    <w:rsid w:val="07B84598"/>
    <w:rsid w:val="083B4F6F"/>
    <w:rsid w:val="0880401A"/>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AED5BDD"/>
    <w:rsid w:val="0AFC38CC"/>
    <w:rsid w:val="0B1A381C"/>
    <w:rsid w:val="0B281DB2"/>
    <w:rsid w:val="0B753148"/>
    <w:rsid w:val="0BE70273"/>
    <w:rsid w:val="0BF56037"/>
    <w:rsid w:val="0BF64289"/>
    <w:rsid w:val="0C7F277E"/>
    <w:rsid w:val="0CD72091"/>
    <w:rsid w:val="0D22155F"/>
    <w:rsid w:val="0D24790C"/>
    <w:rsid w:val="0D4D6BBA"/>
    <w:rsid w:val="0D5C46FB"/>
    <w:rsid w:val="0D8643A8"/>
    <w:rsid w:val="0DAE1CD4"/>
    <w:rsid w:val="0DB37F58"/>
    <w:rsid w:val="0DCD6884"/>
    <w:rsid w:val="0E0E4AD3"/>
    <w:rsid w:val="0E11094F"/>
    <w:rsid w:val="0E114DF1"/>
    <w:rsid w:val="0E216CB2"/>
    <w:rsid w:val="0E3D7C28"/>
    <w:rsid w:val="0E47674E"/>
    <w:rsid w:val="0E4E40A3"/>
    <w:rsid w:val="0E6C09F1"/>
    <w:rsid w:val="0E9D4F53"/>
    <w:rsid w:val="0EAE1C6E"/>
    <w:rsid w:val="0ECE2D17"/>
    <w:rsid w:val="0EDC6D10"/>
    <w:rsid w:val="0F06712A"/>
    <w:rsid w:val="0F1F3AF7"/>
    <w:rsid w:val="0F276DBA"/>
    <w:rsid w:val="0F490B74"/>
    <w:rsid w:val="0F4A3109"/>
    <w:rsid w:val="0F693ECA"/>
    <w:rsid w:val="0F6B30A6"/>
    <w:rsid w:val="0F7B5503"/>
    <w:rsid w:val="0FAD6F41"/>
    <w:rsid w:val="0FD37F53"/>
    <w:rsid w:val="0FEE7136"/>
    <w:rsid w:val="10007D45"/>
    <w:rsid w:val="1004205B"/>
    <w:rsid w:val="10136929"/>
    <w:rsid w:val="10250CCD"/>
    <w:rsid w:val="106F1535"/>
    <w:rsid w:val="109575E1"/>
    <w:rsid w:val="10B05DB1"/>
    <w:rsid w:val="10CB6B56"/>
    <w:rsid w:val="10F36D78"/>
    <w:rsid w:val="11163ADF"/>
    <w:rsid w:val="11175575"/>
    <w:rsid w:val="1128487D"/>
    <w:rsid w:val="115405C6"/>
    <w:rsid w:val="11590DA4"/>
    <w:rsid w:val="11597426"/>
    <w:rsid w:val="116A3294"/>
    <w:rsid w:val="117B6FDE"/>
    <w:rsid w:val="119B4F8B"/>
    <w:rsid w:val="11C82A90"/>
    <w:rsid w:val="12062B4E"/>
    <w:rsid w:val="124205ED"/>
    <w:rsid w:val="12617517"/>
    <w:rsid w:val="12671431"/>
    <w:rsid w:val="127C4DBC"/>
    <w:rsid w:val="1288550F"/>
    <w:rsid w:val="129867C5"/>
    <w:rsid w:val="12C10A21"/>
    <w:rsid w:val="12C36875"/>
    <w:rsid w:val="131566FB"/>
    <w:rsid w:val="133F1F60"/>
    <w:rsid w:val="134639A2"/>
    <w:rsid w:val="136235F4"/>
    <w:rsid w:val="13837C04"/>
    <w:rsid w:val="13857CA0"/>
    <w:rsid w:val="139B227B"/>
    <w:rsid w:val="139F5206"/>
    <w:rsid w:val="13C17C01"/>
    <w:rsid w:val="13D84582"/>
    <w:rsid w:val="14401CC0"/>
    <w:rsid w:val="144F398A"/>
    <w:rsid w:val="1457163D"/>
    <w:rsid w:val="1461070D"/>
    <w:rsid w:val="147A44EB"/>
    <w:rsid w:val="14891A12"/>
    <w:rsid w:val="14927AB3"/>
    <w:rsid w:val="14A32547"/>
    <w:rsid w:val="14EA425F"/>
    <w:rsid w:val="14ED768B"/>
    <w:rsid w:val="14F46542"/>
    <w:rsid w:val="15436065"/>
    <w:rsid w:val="15640AA1"/>
    <w:rsid w:val="15A06AEA"/>
    <w:rsid w:val="15CE39AC"/>
    <w:rsid w:val="15D12747"/>
    <w:rsid w:val="15FE0B70"/>
    <w:rsid w:val="160866B9"/>
    <w:rsid w:val="16287735"/>
    <w:rsid w:val="162A0342"/>
    <w:rsid w:val="16320961"/>
    <w:rsid w:val="163651A5"/>
    <w:rsid w:val="16555CD5"/>
    <w:rsid w:val="165B118D"/>
    <w:rsid w:val="16707AF8"/>
    <w:rsid w:val="16916448"/>
    <w:rsid w:val="16A6065A"/>
    <w:rsid w:val="16D76A65"/>
    <w:rsid w:val="17306E6C"/>
    <w:rsid w:val="17594C02"/>
    <w:rsid w:val="17654071"/>
    <w:rsid w:val="17712A16"/>
    <w:rsid w:val="17832749"/>
    <w:rsid w:val="17AB10BD"/>
    <w:rsid w:val="17B172B6"/>
    <w:rsid w:val="17B42DE1"/>
    <w:rsid w:val="17B54F74"/>
    <w:rsid w:val="17B63710"/>
    <w:rsid w:val="17C50FB3"/>
    <w:rsid w:val="17ED1616"/>
    <w:rsid w:val="17F05D1B"/>
    <w:rsid w:val="18193641"/>
    <w:rsid w:val="182B3D01"/>
    <w:rsid w:val="18B467D6"/>
    <w:rsid w:val="18BA4D45"/>
    <w:rsid w:val="18CB41F5"/>
    <w:rsid w:val="18E408BA"/>
    <w:rsid w:val="19011D1D"/>
    <w:rsid w:val="19090525"/>
    <w:rsid w:val="191A17B3"/>
    <w:rsid w:val="19DE36A1"/>
    <w:rsid w:val="1A3D7527"/>
    <w:rsid w:val="1A483F2C"/>
    <w:rsid w:val="1A641286"/>
    <w:rsid w:val="1AA97150"/>
    <w:rsid w:val="1AC61A77"/>
    <w:rsid w:val="1B1E076D"/>
    <w:rsid w:val="1B3A3A66"/>
    <w:rsid w:val="1B3D0FC9"/>
    <w:rsid w:val="1B876A10"/>
    <w:rsid w:val="1B8C2514"/>
    <w:rsid w:val="1BA86C22"/>
    <w:rsid w:val="1BB52C4D"/>
    <w:rsid w:val="1BBB5A25"/>
    <w:rsid w:val="1BC27142"/>
    <w:rsid w:val="1C2E3933"/>
    <w:rsid w:val="1C3E5F02"/>
    <w:rsid w:val="1C651DCF"/>
    <w:rsid w:val="1C725FC6"/>
    <w:rsid w:val="1C735BE1"/>
    <w:rsid w:val="1C877EA9"/>
    <w:rsid w:val="1CA15CD3"/>
    <w:rsid w:val="1CCD447A"/>
    <w:rsid w:val="1CEC6F00"/>
    <w:rsid w:val="1CF547D5"/>
    <w:rsid w:val="1D5E77B5"/>
    <w:rsid w:val="1D6F5C49"/>
    <w:rsid w:val="1D8B05A9"/>
    <w:rsid w:val="1DAE0558"/>
    <w:rsid w:val="1DC55869"/>
    <w:rsid w:val="1DF21940"/>
    <w:rsid w:val="1E6257AE"/>
    <w:rsid w:val="1E6C3E2E"/>
    <w:rsid w:val="1E6E5F01"/>
    <w:rsid w:val="1E815B99"/>
    <w:rsid w:val="1ED43161"/>
    <w:rsid w:val="1F112126"/>
    <w:rsid w:val="1F3C059C"/>
    <w:rsid w:val="1F5570C1"/>
    <w:rsid w:val="1F7E4DCC"/>
    <w:rsid w:val="1FBC274D"/>
    <w:rsid w:val="1FD051E8"/>
    <w:rsid w:val="20087C8F"/>
    <w:rsid w:val="206E3B70"/>
    <w:rsid w:val="209150AE"/>
    <w:rsid w:val="20B6593D"/>
    <w:rsid w:val="20BA729B"/>
    <w:rsid w:val="20F6197C"/>
    <w:rsid w:val="20FB77F4"/>
    <w:rsid w:val="21505B06"/>
    <w:rsid w:val="21614CBF"/>
    <w:rsid w:val="2187519D"/>
    <w:rsid w:val="21901F20"/>
    <w:rsid w:val="2191195B"/>
    <w:rsid w:val="21AE4421"/>
    <w:rsid w:val="21E70C05"/>
    <w:rsid w:val="21EA09A9"/>
    <w:rsid w:val="21F71429"/>
    <w:rsid w:val="22140B6D"/>
    <w:rsid w:val="221438A4"/>
    <w:rsid w:val="22287E9A"/>
    <w:rsid w:val="223034F5"/>
    <w:rsid w:val="227370FA"/>
    <w:rsid w:val="228C06EB"/>
    <w:rsid w:val="229B3A5D"/>
    <w:rsid w:val="22AE2B61"/>
    <w:rsid w:val="22C95EC0"/>
    <w:rsid w:val="22E425D9"/>
    <w:rsid w:val="22F015DA"/>
    <w:rsid w:val="23204F7A"/>
    <w:rsid w:val="23681D14"/>
    <w:rsid w:val="23685C7C"/>
    <w:rsid w:val="23767DBC"/>
    <w:rsid w:val="237F3A2D"/>
    <w:rsid w:val="2390002F"/>
    <w:rsid w:val="23946411"/>
    <w:rsid w:val="23B1063E"/>
    <w:rsid w:val="23DE6754"/>
    <w:rsid w:val="23FF75FB"/>
    <w:rsid w:val="24302856"/>
    <w:rsid w:val="24303C58"/>
    <w:rsid w:val="24415E66"/>
    <w:rsid w:val="2450541A"/>
    <w:rsid w:val="247748A6"/>
    <w:rsid w:val="249035C8"/>
    <w:rsid w:val="249A328C"/>
    <w:rsid w:val="249F5100"/>
    <w:rsid w:val="24BB5A33"/>
    <w:rsid w:val="24D52A7D"/>
    <w:rsid w:val="24FE1558"/>
    <w:rsid w:val="25010A26"/>
    <w:rsid w:val="25087398"/>
    <w:rsid w:val="251D41DD"/>
    <w:rsid w:val="251E1CAD"/>
    <w:rsid w:val="255147C0"/>
    <w:rsid w:val="25D575A4"/>
    <w:rsid w:val="25DA0320"/>
    <w:rsid w:val="25ED1E01"/>
    <w:rsid w:val="26530B7F"/>
    <w:rsid w:val="266C262D"/>
    <w:rsid w:val="2685203A"/>
    <w:rsid w:val="268E38A0"/>
    <w:rsid w:val="26E3376C"/>
    <w:rsid w:val="2716334E"/>
    <w:rsid w:val="276032C4"/>
    <w:rsid w:val="276F7789"/>
    <w:rsid w:val="279E3C38"/>
    <w:rsid w:val="28137B19"/>
    <w:rsid w:val="281A4E53"/>
    <w:rsid w:val="285F5EEC"/>
    <w:rsid w:val="28622142"/>
    <w:rsid w:val="287B352D"/>
    <w:rsid w:val="28B659B6"/>
    <w:rsid w:val="292D69B8"/>
    <w:rsid w:val="293F27CA"/>
    <w:rsid w:val="294D1295"/>
    <w:rsid w:val="295E440C"/>
    <w:rsid w:val="29A80F84"/>
    <w:rsid w:val="29B97BE1"/>
    <w:rsid w:val="29BE4BA0"/>
    <w:rsid w:val="29C015DB"/>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BD2F7E"/>
    <w:rsid w:val="2BC1720F"/>
    <w:rsid w:val="2C114842"/>
    <w:rsid w:val="2C163734"/>
    <w:rsid w:val="2C374E11"/>
    <w:rsid w:val="2C7E421C"/>
    <w:rsid w:val="2CB90C8F"/>
    <w:rsid w:val="2CC35BA7"/>
    <w:rsid w:val="2CE00904"/>
    <w:rsid w:val="2CE101E6"/>
    <w:rsid w:val="2D3037AE"/>
    <w:rsid w:val="2D435803"/>
    <w:rsid w:val="2D4A3018"/>
    <w:rsid w:val="2D510EC7"/>
    <w:rsid w:val="2D83274D"/>
    <w:rsid w:val="2DA140C7"/>
    <w:rsid w:val="2DA14432"/>
    <w:rsid w:val="2E0A5087"/>
    <w:rsid w:val="2E492358"/>
    <w:rsid w:val="2E7110F5"/>
    <w:rsid w:val="2E870919"/>
    <w:rsid w:val="2ED718A0"/>
    <w:rsid w:val="2ED743AA"/>
    <w:rsid w:val="2EDE3FFD"/>
    <w:rsid w:val="2EE003B6"/>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A361A8"/>
    <w:rsid w:val="32BA3997"/>
    <w:rsid w:val="32F026BC"/>
    <w:rsid w:val="330702CB"/>
    <w:rsid w:val="330A787A"/>
    <w:rsid w:val="3329706C"/>
    <w:rsid w:val="33792F26"/>
    <w:rsid w:val="338C391E"/>
    <w:rsid w:val="338D077F"/>
    <w:rsid w:val="338D472C"/>
    <w:rsid w:val="338E1A3C"/>
    <w:rsid w:val="339746F7"/>
    <w:rsid w:val="33D834CC"/>
    <w:rsid w:val="33DC1707"/>
    <w:rsid w:val="33E97A6D"/>
    <w:rsid w:val="340F718B"/>
    <w:rsid w:val="341A7ED6"/>
    <w:rsid w:val="341E1D1F"/>
    <w:rsid w:val="34303DD0"/>
    <w:rsid w:val="343461CA"/>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290394"/>
    <w:rsid w:val="38515D3D"/>
    <w:rsid w:val="386D0B7F"/>
    <w:rsid w:val="38CD3410"/>
    <w:rsid w:val="38E43605"/>
    <w:rsid w:val="38F01AA4"/>
    <w:rsid w:val="39040108"/>
    <w:rsid w:val="390F3856"/>
    <w:rsid w:val="392A081F"/>
    <w:rsid w:val="397275DF"/>
    <w:rsid w:val="39822E1E"/>
    <w:rsid w:val="398626BC"/>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8E6ED3"/>
    <w:rsid w:val="3C94542C"/>
    <w:rsid w:val="3CBD15CF"/>
    <w:rsid w:val="3CC46897"/>
    <w:rsid w:val="3D0658D8"/>
    <w:rsid w:val="3D123AC2"/>
    <w:rsid w:val="3D3B3666"/>
    <w:rsid w:val="3D9C2FA3"/>
    <w:rsid w:val="3DD97A46"/>
    <w:rsid w:val="3E083824"/>
    <w:rsid w:val="3E1C72D0"/>
    <w:rsid w:val="3E3F2FCC"/>
    <w:rsid w:val="3E462845"/>
    <w:rsid w:val="3E5668B2"/>
    <w:rsid w:val="3E693727"/>
    <w:rsid w:val="3E75253C"/>
    <w:rsid w:val="3E8804C1"/>
    <w:rsid w:val="3E8C6495"/>
    <w:rsid w:val="3E9637B5"/>
    <w:rsid w:val="3EFD0EAF"/>
    <w:rsid w:val="3F317F68"/>
    <w:rsid w:val="3F80388E"/>
    <w:rsid w:val="3FA370D9"/>
    <w:rsid w:val="3FB13F2F"/>
    <w:rsid w:val="3FE71217"/>
    <w:rsid w:val="3FF22376"/>
    <w:rsid w:val="400350EF"/>
    <w:rsid w:val="40061FE5"/>
    <w:rsid w:val="4012695A"/>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6D00FA"/>
    <w:rsid w:val="4287580F"/>
    <w:rsid w:val="428C60A6"/>
    <w:rsid w:val="429472F4"/>
    <w:rsid w:val="42A830C5"/>
    <w:rsid w:val="42B307CB"/>
    <w:rsid w:val="42D26859"/>
    <w:rsid w:val="42EA174A"/>
    <w:rsid w:val="42F10102"/>
    <w:rsid w:val="43517CBA"/>
    <w:rsid w:val="436C2B91"/>
    <w:rsid w:val="439B47F3"/>
    <w:rsid w:val="43AD1BA4"/>
    <w:rsid w:val="43FD779D"/>
    <w:rsid w:val="4412227B"/>
    <w:rsid w:val="44170B63"/>
    <w:rsid w:val="44503CE1"/>
    <w:rsid w:val="445C0786"/>
    <w:rsid w:val="447C6D47"/>
    <w:rsid w:val="44877480"/>
    <w:rsid w:val="44D62DC2"/>
    <w:rsid w:val="44F22952"/>
    <w:rsid w:val="45091C30"/>
    <w:rsid w:val="455424E1"/>
    <w:rsid w:val="455F1375"/>
    <w:rsid w:val="457F2C83"/>
    <w:rsid w:val="45C67B21"/>
    <w:rsid w:val="46004DE1"/>
    <w:rsid w:val="462907DC"/>
    <w:rsid w:val="463659F7"/>
    <w:rsid w:val="466C6A21"/>
    <w:rsid w:val="466F0AD9"/>
    <w:rsid w:val="46815F57"/>
    <w:rsid w:val="46845629"/>
    <w:rsid w:val="468F1A0A"/>
    <w:rsid w:val="46E55ABB"/>
    <w:rsid w:val="46F95559"/>
    <w:rsid w:val="47112D95"/>
    <w:rsid w:val="474271A0"/>
    <w:rsid w:val="47432D8A"/>
    <w:rsid w:val="4760647F"/>
    <w:rsid w:val="47AB6FCE"/>
    <w:rsid w:val="47B42327"/>
    <w:rsid w:val="47FC1F79"/>
    <w:rsid w:val="4882187E"/>
    <w:rsid w:val="48897310"/>
    <w:rsid w:val="48A3770E"/>
    <w:rsid w:val="48CC544E"/>
    <w:rsid w:val="48CF0379"/>
    <w:rsid w:val="48D37B45"/>
    <w:rsid w:val="48E903F5"/>
    <w:rsid w:val="48FD1ECC"/>
    <w:rsid w:val="4941358B"/>
    <w:rsid w:val="499747D0"/>
    <w:rsid w:val="4A136301"/>
    <w:rsid w:val="4A195A59"/>
    <w:rsid w:val="4A2C22C6"/>
    <w:rsid w:val="4A724E9E"/>
    <w:rsid w:val="4A757FAF"/>
    <w:rsid w:val="4A8D1239"/>
    <w:rsid w:val="4AA368A3"/>
    <w:rsid w:val="4AA46CC4"/>
    <w:rsid w:val="4BB83B29"/>
    <w:rsid w:val="4BD54E32"/>
    <w:rsid w:val="4BDC1C70"/>
    <w:rsid w:val="4C2757BD"/>
    <w:rsid w:val="4C292770"/>
    <w:rsid w:val="4C43185C"/>
    <w:rsid w:val="4C575977"/>
    <w:rsid w:val="4C693860"/>
    <w:rsid w:val="4C84387E"/>
    <w:rsid w:val="4C8B7324"/>
    <w:rsid w:val="4CAC5CC3"/>
    <w:rsid w:val="4CB608EF"/>
    <w:rsid w:val="4CB811A5"/>
    <w:rsid w:val="4D0A226B"/>
    <w:rsid w:val="4D0D4A26"/>
    <w:rsid w:val="4D2A1C24"/>
    <w:rsid w:val="4D3B0DF4"/>
    <w:rsid w:val="4D502AF2"/>
    <w:rsid w:val="4D602AE2"/>
    <w:rsid w:val="4DA05D3E"/>
    <w:rsid w:val="4DD54BE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4FE17A31"/>
    <w:rsid w:val="50131D9D"/>
    <w:rsid w:val="502344EE"/>
    <w:rsid w:val="504F345C"/>
    <w:rsid w:val="50591CBD"/>
    <w:rsid w:val="50800F93"/>
    <w:rsid w:val="508C7AEB"/>
    <w:rsid w:val="50CA33A4"/>
    <w:rsid w:val="50D43E40"/>
    <w:rsid w:val="50E3057E"/>
    <w:rsid w:val="510C493E"/>
    <w:rsid w:val="510C673D"/>
    <w:rsid w:val="51204589"/>
    <w:rsid w:val="513204B4"/>
    <w:rsid w:val="51374703"/>
    <w:rsid w:val="51556929"/>
    <w:rsid w:val="5162343C"/>
    <w:rsid w:val="51BC393B"/>
    <w:rsid w:val="51CF7D67"/>
    <w:rsid w:val="51F7271A"/>
    <w:rsid w:val="521D6D1B"/>
    <w:rsid w:val="52546CFC"/>
    <w:rsid w:val="525F5585"/>
    <w:rsid w:val="52636A33"/>
    <w:rsid w:val="528257B0"/>
    <w:rsid w:val="52A00F51"/>
    <w:rsid w:val="52C31D1E"/>
    <w:rsid w:val="52C804A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D6A8B"/>
    <w:rsid w:val="54993992"/>
    <w:rsid w:val="54FC6E52"/>
    <w:rsid w:val="552E13B2"/>
    <w:rsid w:val="554C74C9"/>
    <w:rsid w:val="55882507"/>
    <w:rsid w:val="55943798"/>
    <w:rsid w:val="55A44CE8"/>
    <w:rsid w:val="55BC0B98"/>
    <w:rsid w:val="55C909B1"/>
    <w:rsid w:val="55E53FF3"/>
    <w:rsid w:val="55FB7CF2"/>
    <w:rsid w:val="566367A5"/>
    <w:rsid w:val="56874E26"/>
    <w:rsid w:val="569752EE"/>
    <w:rsid w:val="56F00EA2"/>
    <w:rsid w:val="56F419FE"/>
    <w:rsid w:val="57233025"/>
    <w:rsid w:val="57251F40"/>
    <w:rsid w:val="57265B36"/>
    <w:rsid w:val="573021C6"/>
    <w:rsid w:val="574727AC"/>
    <w:rsid w:val="57492C25"/>
    <w:rsid w:val="5755403F"/>
    <w:rsid w:val="57566F57"/>
    <w:rsid w:val="577949F3"/>
    <w:rsid w:val="57E24C8E"/>
    <w:rsid w:val="58066A28"/>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738CB"/>
    <w:rsid w:val="5A8B6F17"/>
    <w:rsid w:val="5A904D92"/>
    <w:rsid w:val="5AA434AE"/>
    <w:rsid w:val="5AA47266"/>
    <w:rsid w:val="5AC42461"/>
    <w:rsid w:val="5AC95C92"/>
    <w:rsid w:val="5B254CC0"/>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E2E84"/>
    <w:rsid w:val="5CFF3BED"/>
    <w:rsid w:val="5D0D0354"/>
    <w:rsid w:val="5D0E5BDE"/>
    <w:rsid w:val="5D4A1228"/>
    <w:rsid w:val="5D4B41A7"/>
    <w:rsid w:val="5D5932FD"/>
    <w:rsid w:val="5E2751A9"/>
    <w:rsid w:val="5E4D0988"/>
    <w:rsid w:val="5E766130"/>
    <w:rsid w:val="5E86168A"/>
    <w:rsid w:val="5EBA426F"/>
    <w:rsid w:val="5EBA601D"/>
    <w:rsid w:val="5EC836C0"/>
    <w:rsid w:val="5F0402CC"/>
    <w:rsid w:val="5F0B6879"/>
    <w:rsid w:val="5F0C439F"/>
    <w:rsid w:val="5F6B1A0F"/>
    <w:rsid w:val="5F814D8D"/>
    <w:rsid w:val="5FA82133"/>
    <w:rsid w:val="5FA82319"/>
    <w:rsid w:val="5FD54160"/>
    <w:rsid w:val="60037CFD"/>
    <w:rsid w:val="60313C0F"/>
    <w:rsid w:val="60854409"/>
    <w:rsid w:val="60DF7F71"/>
    <w:rsid w:val="60F90953"/>
    <w:rsid w:val="61021EFD"/>
    <w:rsid w:val="61404053"/>
    <w:rsid w:val="61471854"/>
    <w:rsid w:val="614F48DB"/>
    <w:rsid w:val="61546909"/>
    <w:rsid w:val="617701F5"/>
    <w:rsid w:val="619F6EAB"/>
    <w:rsid w:val="61CB73F0"/>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39116E0"/>
    <w:rsid w:val="64095351"/>
    <w:rsid w:val="641641AC"/>
    <w:rsid w:val="646B46D2"/>
    <w:rsid w:val="64845033"/>
    <w:rsid w:val="64897A59"/>
    <w:rsid w:val="64A06802"/>
    <w:rsid w:val="64A11A3C"/>
    <w:rsid w:val="64CC26CC"/>
    <w:rsid w:val="65027FDF"/>
    <w:rsid w:val="65085608"/>
    <w:rsid w:val="650A5824"/>
    <w:rsid w:val="65420B1A"/>
    <w:rsid w:val="65612E46"/>
    <w:rsid w:val="65A01822"/>
    <w:rsid w:val="65A34F63"/>
    <w:rsid w:val="65E05BD0"/>
    <w:rsid w:val="662365B2"/>
    <w:rsid w:val="66270AA3"/>
    <w:rsid w:val="662976FB"/>
    <w:rsid w:val="66482351"/>
    <w:rsid w:val="66524A62"/>
    <w:rsid w:val="665C20B0"/>
    <w:rsid w:val="6662369D"/>
    <w:rsid w:val="668D1C9F"/>
    <w:rsid w:val="66DC5058"/>
    <w:rsid w:val="66E92868"/>
    <w:rsid w:val="67065B78"/>
    <w:rsid w:val="670C1B0F"/>
    <w:rsid w:val="67204E8B"/>
    <w:rsid w:val="675B0B16"/>
    <w:rsid w:val="67BD0A07"/>
    <w:rsid w:val="67CC0761"/>
    <w:rsid w:val="67E97C88"/>
    <w:rsid w:val="6807524B"/>
    <w:rsid w:val="68573C08"/>
    <w:rsid w:val="68680898"/>
    <w:rsid w:val="68694610"/>
    <w:rsid w:val="68B86D73"/>
    <w:rsid w:val="68C46FB3"/>
    <w:rsid w:val="68CF6B69"/>
    <w:rsid w:val="68E14D7D"/>
    <w:rsid w:val="69020CEC"/>
    <w:rsid w:val="690D7691"/>
    <w:rsid w:val="69201173"/>
    <w:rsid w:val="692864A6"/>
    <w:rsid w:val="692A1985"/>
    <w:rsid w:val="692D19E3"/>
    <w:rsid w:val="694B4786"/>
    <w:rsid w:val="694B58F4"/>
    <w:rsid w:val="69625712"/>
    <w:rsid w:val="696B06B6"/>
    <w:rsid w:val="696B2F3E"/>
    <w:rsid w:val="69990F25"/>
    <w:rsid w:val="69AD5E63"/>
    <w:rsid w:val="69B664CA"/>
    <w:rsid w:val="69EF22E8"/>
    <w:rsid w:val="6A0F56A4"/>
    <w:rsid w:val="6A3C022E"/>
    <w:rsid w:val="6A53112C"/>
    <w:rsid w:val="6A734C34"/>
    <w:rsid w:val="6A7C687C"/>
    <w:rsid w:val="6B1C3BBC"/>
    <w:rsid w:val="6B1E2019"/>
    <w:rsid w:val="6B2A0087"/>
    <w:rsid w:val="6B361121"/>
    <w:rsid w:val="6B5920C1"/>
    <w:rsid w:val="6B790EAD"/>
    <w:rsid w:val="6BAB0046"/>
    <w:rsid w:val="6BB67B6C"/>
    <w:rsid w:val="6BCD02EE"/>
    <w:rsid w:val="6BF65984"/>
    <w:rsid w:val="6C1A634D"/>
    <w:rsid w:val="6C5437BD"/>
    <w:rsid w:val="6CE626D3"/>
    <w:rsid w:val="6D1758B3"/>
    <w:rsid w:val="6D4F4B5D"/>
    <w:rsid w:val="6D785A21"/>
    <w:rsid w:val="6D981C1F"/>
    <w:rsid w:val="6DC94B6E"/>
    <w:rsid w:val="6DFA18E3"/>
    <w:rsid w:val="6E005AB1"/>
    <w:rsid w:val="6E0472B5"/>
    <w:rsid w:val="6E0E1EE1"/>
    <w:rsid w:val="6E3D33F0"/>
    <w:rsid w:val="6E677844"/>
    <w:rsid w:val="6E7E54CF"/>
    <w:rsid w:val="6EFD5AB2"/>
    <w:rsid w:val="6F0B01CF"/>
    <w:rsid w:val="6F0B4673"/>
    <w:rsid w:val="6F27305D"/>
    <w:rsid w:val="6F7D5F0D"/>
    <w:rsid w:val="6F986D13"/>
    <w:rsid w:val="6FB33EA2"/>
    <w:rsid w:val="6FCA251E"/>
    <w:rsid w:val="70147557"/>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212C5"/>
    <w:rsid w:val="73435C36"/>
    <w:rsid w:val="73886EC9"/>
    <w:rsid w:val="73A11102"/>
    <w:rsid w:val="73A840F5"/>
    <w:rsid w:val="73E01C2A"/>
    <w:rsid w:val="73FB4CB6"/>
    <w:rsid w:val="741555D7"/>
    <w:rsid w:val="741B4A7A"/>
    <w:rsid w:val="7420122A"/>
    <w:rsid w:val="744D3038"/>
    <w:rsid w:val="74651A02"/>
    <w:rsid w:val="74A70A1A"/>
    <w:rsid w:val="74BA6E18"/>
    <w:rsid w:val="74CF355E"/>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7B49C5"/>
    <w:rsid w:val="78800318"/>
    <w:rsid w:val="78950BD3"/>
    <w:rsid w:val="78B52EF6"/>
    <w:rsid w:val="78EB356F"/>
    <w:rsid w:val="78EC1071"/>
    <w:rsid w:val="79027FF1"/>
    <w:rsid w:val="79514E48"/>
    <w:rsid w:val="79564B0A"/>
    <w:rsid w:val="796055BB"/>
    <w:rsid w:val="79BF78EF"/>
    <w:rsid w:val="79C318FE"/>
    <w:rsid w:val="79DA66F5"/>
    <w:rsid w:val="79E77ABC"/>
    <w:rsid w:val="79FC53E1"/>
    <w:rsid w:val="7A120583"/>
    <w:rsid w:val="7A541F06"/>
    <w:rsid w:val="7A884099"/>
    <w:rsid w:val="7A8C2A1A"/>
    <w:rsid w:val="7AB94F83"/>
    <w:rsid w:val="7AE4541C"/>
    <w:rsid w:val="7B0459B3"/>
    <w:rsid w:val="7B103C6E"/>
    <w:rsid w:val="7B1E74DC"/>
    <w:rsid w:val="7B3A2568"/>
    <w:rsid w:val="7B4A2BD9"/>
    <w:rsid w:val="7B4A7A78"/>
    <w:rsid w:val="7B4C229B"/>
    <w:rsid w:val="7B4C4E84"/>
    <w:rsid w:val="7B6B15E4"/>
    <w:rsid w:val="7B7A6E08"/>
    <w:rsid w:val="7B8F74E8"/>
    <w:rsid w:val="7BAA5A8F"/>
    <w:rsid w:val="7BBD356E"/>
    <w:rsid w:val="7BC07527"/>
    <w:rsid w:val="7C43369E"/>
    <w:rsid w:val="7C4E22B2"/>
    <w:rsid w:val="7CB71554"/>
    <w:rsid w:val="7CE427BB"/>
    <w:rsid w:val="7CED6CB8"/>
    <w:rsid w:val="7CF21BF9"/>
    <w:rsid w:val="7CFE0C47"/>
    <w:rsid w:val="7D0A7D18"/>
    <w:rsid w:val="7D0B74BD"/>
    <w:rsid w:val="7D0F17D2"/>
    <w:rsid w:val="7D2D2E78"/>
    <w:rsid w:val="7D3905FD"/>
    <w:rsid w:val="7D5938D3"/>
    <w:rsid w:val="7D5F2F6D"/>
    <w:rsid w:val="7D5F50CC"/>
    <w:rsid w:val="7D9A2F09"/>
    <w:rsid w:val="7DAF0AC7"/>
    <w:rsid w:val="7DBB54B6"/>
    <w:rsid w:val="7DDF16F3"/>
    <w:rsid w:val="7DF13E34"/>
    <w:rsid w:val="7E2929E7"/>
    <w:rsid w:val="7E2968C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annotation text"/>
    <w:basedOn w:val="1"/>
    <w:autoRedefine/>
    <w:semiHidden/>
    <w:unhideWhenUsed/>
    <w:qFormat/>
    <w:uiPriority w:val="99"/>
    <w:pPr>
      <w:jc w:val="left"/>
    </w:pPr>
  </w:style>
  <w:style w:type="paragraph" w:styleId="6">
    <w:name w:val="Body Text"/>
    <w:basedOn w:val="1"/>
    <w:next w:val="7"/>
    <w:link w:val="37"/>
    <w:autoRedefine/>
    <w:semiHidden/>
    <w:unhideWhenUsed/>
    <w:qFormat/>
    <w:uiPriority w:val="99"/>
    <w:pPr>
      <w:spacing w:after="120"/>
    </w:pPr>
  </w:style>
  <w:style w:type="paragraph" w:styleId="7">
    <w:name w:val="Body Text Indent"/>
    <w:basedOn w:val="1"/>
    <w:autoRedefine/>
    <w:qFormat/>
    <w:uiPriority w:val="0"/>
    <w:pPr>
      <w:spacing w:after="120"/>
      <w:ind w:left="420" w:leftChars="200"/>
    </w:pPr>
    <w:rPr>
      <w:rFonts w:asciiTheme="minorHAnsi" w:hAnsiTheme="minorHAnsi" w:cstheme="minorBidi"/>
    </w:rPr>
  </w:style>
  <w:style w:type="paragraph" w:styleId="8">
    <w:name w:val="Plain Text"/>
    <w:basedOn w:val="1"/>
    <w:link w:val="36"/>
    <w:autoRedefine/>
    <w:qFormat/>
    <w:uiPriority w:val="99"/>
    <w:rPr>
      <w:rFonts w:ascii="宋体" w:hAnsi="Courier New"/>
      <w:szCs w:val="24"/>
    </w:rPr>
  </w:style>
  <w:style w:type="paragraph" w:styleId="9">
    <w:name w:val="Balloon Text"/>
    <w:basedOn w:val="1"/>
    <w:link w:val="32"/>
    <w:autoRedefine/>
    <w:unhideWhenUsed/>
    <w:qFormat/>
    <w:uiPriority w:val="99"/>
    <w:rPr>
      <w:sz w:val="18"/>
      <w:szCs w:val="18"/>
    </w:rPr>
  </w:style>
  <w:style w:type="paragraph" w:styleId="10">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envelope return"/>
    <w:basedOn w:val="1"/>
    <w:qFormat/>
    <w:uiPriority w:val="0"/>
    <w:pPr>
      <w:snapToGrid w:val="0"/>
    </w:pPr>
    <w:rPr>
      <w:rFonts w:ascii="Arial" w:hAnsi="Arial" w:cs="Arial"/>
      <w:szCs w:val="20"/>
    </w:rPr>
  </w:style>
  <w:style w:type="paragraph" w:styleId="12">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autoRedefine/>
    <w:qFormat/>
    <w:uiPriority w:val="99"/>
  </w:style>
  <w:style w:type="paragraph" w:styleId="14">
    <w:name w:val="toc 2"/>
    <w:basedOn w:val="1"/>
    <w:next w:val="1"/>
    <w:autoRedefine/>
    <w:qFormat/>
    <w:uiPriority w:val="39"/>
    <w:pPr>
      <w:tabs>
        <w:tab w:val="right" w:leader="dot" w:pos="8296"/>
      </w:tabs>
      <w:ind w:left="420" w:leftChars="200"/>
    </w:pPr>
  </w:style>
  <w:style w:type="paragraph" w:styleId="15">
    <w:name w:val="Body Text 2"/>
    <w:basedOn w:val="1"/>
    <w:link w:val="34"/>
    <w:autoRedefine/>
    <w:qFormat/>
    <w:uiPriority w:val="0"/>
    <w:rPr>
      <w:rFonts w:ascii="宋体" w:hAnsi="宋体" w:eastAsiaTheme="minorEastAsia" w:cstheme="minorBidi"/>
      <w:szCs w:val="24"/>
      <w:u w:val="single"/>
    </w:rPr>
  </w:style>
  <w:style w:type="paragraph" w:styleId="16">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7">
    <w:name w:val="Title"/>
    <w:basedOn w:val="1"/>
    <w:next w:val="7"/>
    <w:qFormat/>
    <w:uiPriority w:val="0"/>
    <w:pPr>
      <w:spacing w:before="240" w:after="60"/>
      <w:jc w:val="center"/>
      <w:outlineLvl w:val="0"/>
    </w:pPr>
    <w:rPr>
      <w:rFonts w:ascii="Cambria" w:hAnsi="Cambria" w:cs="Times New Roman"/>
      <w:b/>
      <w:bCs/>
      <w:sz w:val="32"/>
      <w:szCs w:val="32"/>
    </w:rPr>
  </w:style>
  <w:style w:type="paragraph" w:styleId="18">
    <w:name w:val="Body Text First Indent"/>
    <w:basedOn w:val="6"/>
    <w:link w:val="38"/>
    <w:autoRedefine/>
    <w:semiHidden/>
    <w:unhideWhenUsed/>
    <w:qFormat/>
    <w:uiPriority w:val="99"/>
    <w:pPr>
      <w:ind w:firstLine="420" w:firstLineChars="100"/>
    </w:pPr>
  </w:style>
  <w:style w:type="paragraph" w:styleId="19">
    <w:name w:val="Body Text First Indent 2"/>
    <w:basedOn w:val="7"/>
    <w:autoRedefine/>
    <w:qFormat/>
    <w:uiPriority w:val="0"/>
    <w:pPr>
      <w:ind w:firstLine="420"/>
    </w:pPr>
  </w:style>
  <w:style w:type="table" w:styleId="21">
    <w:name w:val="Table Grid"/>
    <w:basedOn w:val="20"/>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basedOn w:val="22"/>
    <w:autoRedefine/>
    <w:qFormat/>
    <w:uiPriority w:val="99"/>
  </w:style>
  <w:style w:type="character" w:styleId="25">
    <w:name w:val="Emphasis"/>
    <w:basedOn w:val="22"/>
    <w:autoRedefine/>
    <w:qFormat/>
    <w:uiPriority w:val="0"/>
    <w:rPr>
      <w:i/>
    </w:rPr>
  </w:style>
  <w:style w:type="character" w:styleId="26">
    <w:name w:val="Hyperlink"/>
    <w:basedOn w:val="22"/>
    <w:autoRedefine/>
    <w:semiHidden/>
    <w:unhideWhenUsed/>
    <w:qFormat/>
    <w:uiPriority w:val="99"/>
    <w:rPr>
      <w:color w:val="0000FF"/>
      <w:u w:val="single"/>
    </w:rPr>
  </w:style>
  <w:style w:type="character" w:styleId="27">
    <w:name w:val="annotation reference"/>
    <w:basedOn w:val="22"/>
    <w:autoRedefine/>
    <w:semiHidden/>
    <w:unhideWhenUsed/>
    <w:qFormat/>
    <w:uiPriority w:val="99"/>
    <w:rPr>
      <w:sz w:val="21"/>
      <w:szCs w:val="21"/>
    </w:rPr>
  </w:style>
  <w:style w:type="paragraph" w:customStyle="1" w:styleId="28">
    <w:name w:val="_Style 3"/>
    <w:basedOn w:val="1"/>
    <w:autoRedefine/>
    <w:qFormat/>
    <w:uiPriority w:val="0"/>
    <w:pPr>
      <w:ind w:firstLine="420" w:firstLineChars="200"/>
    </w:pPr>
    <w:rPr>
      <w:sz w:val="20"/>
    </w:rPr>
  </w:style>
  <w:style w:type="character" w:customStyle="1" w:styleId="29">
    <w:name w:val="页眉 Char"/>
    <w:basedOn w:val="22"/>
    <w:link w:val="12"/>
    <w:autoRedefine/>
    <w:qFormat/>
    <w:uiPriority w:val="0"/>
    <w:rPr>
      <w:sz w:val="18"/>
      <w:szCs w:val="18"/>
    </w:rPr>
  </w:style>
  <w:style w:type="character" w:customStyle="1" w:styleId="30">
    <w:name w:val="页脚 Char"/>
    <w:basedOn w:val="22"/>
    <w:link w:val="10"/>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2"/>
    <w:link w:val="9"/>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2"/>
    <w:link w:val="15"/>
    <w:autoRedefine/>
    <w:qFormat/>
    <w:uiPriority w:val="0"/>
    <w:rPr>
      <w:rFonts w:ascii="宋体" w:hAnsi="宋体"/>
      <w:kern w:val="2"/>
      <w:sz w:val="21"/>
      <w:szCs w:val="24"/>
      <w:u w:val="single"/>
    </w:rPr>
  </w:style>
  <w:style w:type="character" w:customStyle="1" w:styleId="35">
    <w:name w:val="纯文本 Char"/>
    <w:basedOn w:val="22"/>
    <w:link w:val="8"/>
    <w:autoRedefine/>
    <w:semiHidden/>
    <w:qFormat/>
    <w:uiPriority w:val="99"/>
    <w:rPr>
      <w:rFonts w:ascii="宋体" w:hAnsi="Courier New" w:eastAsia="宋体" w:cs="Courier New"/>
      <w:kern w:val="2"/>
      <w:sz w:val="21"/>
      <w:szCs w:val="21"/>
    </w:rPr>
  </w:style>
  <w:style w:type="character" w:customStyle="1" w:styleId="36">
    <w:name w:val="纯文本 Char1"/>
    <w:link w:val="8"/>
    <w:autoRedefine/>
    <w:qFormat/>
    <w:uiPriority w:val="99"/>
    <w:rPr>
      <w:rFonts w:ascii="宋体" w:hAnsi="Courier New" w:eastAsia="宋体" w:cs="Times New Roman"/>
      <w:kern w:val="2"/>
      <w:sz w:val="21"/>
      <w:szCs w:val="24"/>
    </w:rPr>
  </w:style>
  <w:style w:type="character" w:customStyle="1" w:styleId="37">
    <w:name w:val="正文文本 Char"/>
    <w:basedOn w:val="22"/>
    <w:link w:val="6"/>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8"/>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2"/>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 w:type="character" w:customStyle="1" w:styleId="45">
    <w:name w:val="font71"/>
    <w:basedOn w:val="22"/>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3196</Words>
  <Characters>3408</Characters>
  <Lines>24</Lines>
  <Paragraphs>7</Paragraphs>
  <TotalTime>4</TotalTime>
  <ScaleCrop>false</ScaleCrop>
  <LinksUpToDate>false</LinksUpToDate>
  <CharactersWithSpaces>4183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2026-08-12T06:40:02Z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