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553920">
      <w:pPr>
        <w:keepNext w:val="0"/>
        <w:keepLines w:val="0"/>
        <w:pageBreakBefore w:val="0"/>
        <w:widowControl w:val="0"/>
        <w:kinsoku/>
        <w:wordWrap/>
        <w:overflowPunct/>
        <w:topLinePunct w:val="0"/>
        <w:autoSpaceDE/>
        <w:autoSpaceDN/>
        <w:bidi w:val="0"/>
        <w:adjustRightInd w:val="0"/>
        <w:snapToGrid w:val="0"/>
        <w:spacing w:before="156" w:beforeLines="50" w:after="156" w:afterLines="50" w:line="240" w:lineRule="auto"/>
        <w:jc w:val="center"/>
        <w:textAlignment w:val="auto"/>
        <w:rPr>
          <w:rFonts w:hint="eastAsia" w:ascii="华文中宋" w:hAnsi="华文中宋" w:eastAsia="华文中宋" w:cs="华文中宋"/>
          <w:b/>
          <w:bCs/>
          <w:color w:val="000000"/>
          <w:kern w:val="44"/>
          <w:sz w:val="32"/>
          <w:szCs w:val="32"/>
        </w:rPr>
      </w:pPr>
      <w:r>
        <w:rPr>
          <w:rFonts w:hint="eastAsia" w:ascii="华文中宋" w:hAnsi="华文中宋" w:eastAsia="华文中宋" w:cs="华文中宋"/>
          <w:b/>
          <w:bCs/>
          <w:color w:val="000000"/>
          <w:kern w:val="44"/>
          <w:sz w:val="32"/>
          <w:szCs w:val="32"/>
        </w:rPr>
        <w:t>中山大学孙逸仙纪念医院</w:t>
      </w:r>
    </w:p>
    <w:p w14:paraId="6058B335">
      <w:pPr>
        <w:keepNext w:val="0"/>
        <w:keepLines w:val="0"/>
        <w:pageBreakBefore w:val="0"/>
        <w:widowControl w:val="0"/>
        <w:kinsoku/>
        <w:wordWrap/>
        <w:overflowPunct/>
        <w:topLinePunct w:val="0"/>
        <w:autoSpaceDE/>
        <w:autoSpaceDN/>
        <w:bidi w:val="0"/>
        <w:adjustRightInd w:val="0"/>
        <w:snapToGrid w:val="0"/>
        <w:spacing w:before="156" w:beforeLines="50" w:after="156" w:afterLines="50" w:line="240" w:lineRule="auto"/>
        <w:jc w:val="center"/>
        <w:textAlignment w:val="auto"/>
        <w:rPr>
          <w:rFonts w:hint="eastAsia" w:ascii="宋体" w:hAnsi="宋体" w:cs="宋体"/>
          <w:b/>
          <w:bCs/>
          <w:color w:val="000000"/>
          <w:sz w:val="32"/>
          <w:szCs w:val="32"/>
        </w:rPr>
      </w:pPr>
      <w:r>
        <w:rPr>
          <w:rFonts w:hint="eastAsia" w:ascii="华文中宋" w:hAnsi="华文中宋" w:eastAsia="华文中宋" w:cs="华文中宋"/>
          <w:b/>
          <w:bCs/>
          <w:color w:val="000000"/>
          <w:kern w:val="44"/>
          <w:sz w:val="32"/>
          <w:szCs w:val="32"/>
        </w:rPr>
        <w:t>北院区生活垃圾收运处置服务用户需求书</w:t>
      </w:r>
    </w:p>
    <w:p w14:paraId="029CC72D">
      <w:pPr>
        <w:keepNext w:val="0"/>
        <w:keepLines w:val="0"/>
        <w:pageBreakBefore w:val="0"/>
        <w:widowControl/>
        <w:kinsoku/>
        <w:wordWrap/>
        <w:overflowPunct/>
        <w:topLinePunct w:val="0"/>
        <w:autoSpaceDE/>
        <w:autoSpaceDN/>
        <w:bidi w:val="0"/>
        <w:spacing w:line="360" w:lineRule="exact"/>
        <w:ind w:firstLine="562" w:firstLineChars="200"/>
        <w:jc w:val="left"/>
        <w:rPr>
          <w:rFonts w:hint="eastAsia" w:ascii="仿宋" w:hAnsi="仿宋" w:eastAsia="仿宋" w:cs="仿宋"/>
          <w:color w:val="000000"/>
          <w:sz w:val="28"/>
          <w:szCs w:val="28"/>
        </w:rPr>
      </w:pPr>
      <w:r>
        <w:rPr>
          <w:rFonts w:hint="eastAsia" w:ascii="仿宋" w:hAnsi="仿宋" w:eastAsia="仿宋" w:cs="仿宋"/>
          <w:b/>
          <w:bCs/>
          <w:color w:val="000000"/>
          <w:kern w:val="0"/>
          <w:sz w:val="28"/>
          <w:szCs w:val="28"/>
        </w:rPr>
        <w:t xml:space="preserve">说明： </w:t>
      </w:r>
    </w:p>
    <w:p w14:paraId="0094457E">
      <w:pPr>
        <w:keepNext w:val="0"/>
        <w:keepLines w:val="0"/>
        <w:pageBreakBefore w:val="0"/>
        <w:widowControl/>
        <w:kinsoku/>
        <w:wordWrap/>
        <w:overflowPunct/>
        <w:topLinePunct w:val="0"/>
        <w:autoSpaceDE/>
        <w:autoSpaceDN/>
        <w:bidi w:val="0"/>
        <w:spacing w:line="360" w:lineRule="exact"/>
        <w:ind w:firstLine="562" w:firstLineChars="200"/>
        <w:jc w:val="left"/>
        <w:rPr>
          <w:rFonts w:hint="eastAsia" w:ascii="仿宋" w:hAnsi="仿宋" w:eastAsia="仿宋" w:cs="仿宋"/>
          <w:color w:val="000000"/>
          <w:sz w:val="28"/>
          <w:szCs w:val="28"/>
        </w:rPr>
      </w:pPr>
      <w:r>
        <w:rPr>
          <w:rFonts w:hint="eastAsia" w:ascii="仿宋" w:hAnsi="仿宋" w:eastAsia="仿宋" w:cs="仿宋"/>
          <w:b/>
          <w:bCs/>
          <w:color w:val="000000"/>
          <w:kern w:val="0"/>
          <w:sz w:val="28"/>
          <w:szCs w:val="28"/>
        </w:rPr>
        <w:t xml:space="preserve">1.响应人须对本项目所有标的物进行整体响应，任何只对其中一部分内容进行的响应都被视为无效响应。 </w:t>
      </w:r>
    </w:p>
    <w:p w14:paraId="7C8B4C34">
      <w:pPr>
        <w:keepNext w:val="0"/>
        <w:keepLines w:val="0"/>
        <w:pageBreakBefore w:val="0"/>
        <w:widowControl/>
        <w:kinsoku/>
        <w:wordWrap/>
        <w:overflowPunct/>
        <w:topLinePunct w:val="0"/>
        <w:autoSpaceDE/>
        <w:autoSpaceDN/>
        <w:bidi w:val="0"/>
        <w:spacing w:line="360" w:lineRule="exact"/>
        <w:ind w:firstLine="562" w:firstLineChars="200"/>
        <w:jc w:val="left"/>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 xml:space="preserve">2.《用户需求书》中标注有“★”号的条款为不可负偏离条款，响应人要特别加以注意，必须对此作出一一响应。任一项未响应或不满足要求的，将导致响应无效。 </w:t>
      </w:r>
    </w:p>
    <w:p w14:paraId="479C02A2">
      <w:pPr>
        <w:keepNext w:val="0"/>
        <w:keepLines w:val="0"/>
        <w:pageBreakBefore w:val="0"/>
        <w:widowControl/>
        <w:kinsoku/>
        <w:wordWrap/>
        <w:overflowPunct/>
        <w:topLinePunct w:val="0"/>
        <w:autoSpaceDE/>
        <w:autoSpaceDN/>
        <w:bidi w:val="0"/>
        <w:spacing w:line="360" w:lineRule="exact"/>
        <w:ind w:firstLine="562" w:firstLineChars="200"/>
        <w:jc w:val="left"/>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3.《用户需求书》中标注有“▲”号的条款为重要条款要求，如不满足将导致严重扣分，但不作为无效响应处理。</w:t>
      </w:r>
    </w:p>
    <w:p w14:paraId="259E0D7B">
      <w:pPr>
        <w:keepNext w:val="0"/>
        <w:keepLines w:val="0"/>
        <w:pageBreakBefore w:val="0"/>
        <w:widowControl/>
        <w:kinsoku/>
        <w:wordWrap/>
        <w:overflowPunct/>
        <w:topLinePunct w:val="0"/>
        <w:autoSpaceDE/>
        <w:autoSpaceDN/>
        <w:bidi w:val="0"/>
        <w:spacing w:line="360" w:lineRule="exact"/>
        <w:ind w:firstLine="562" w:firstLineChars="200"/>
        <w:jc w:val="left"/>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4.响应人在响应详细内容中必须列出具体数值或作出具体承诺。如果响应人只注明“正偏离”或“无偏离”，将可能被视为“负偏离”，从而可能导致严重影响评分结果。</w:t>
      </w:r>
    </w:p>
    <w:p w14:paraId="1F732DC1">
      <w:pPr>
        <w:keepNext w:val="0"/>
        <w:keepLines w:val="0"/>
        <w:pageBreakBefore w:val="0"/>
        <w:widowControl/>
        <w:kinsoku/>
        <w:wordWrap/>
        <w:overflowPunct/>
        <w:topLinePunct w:val="0"/>
        <w:autoSpaceDE/>
        <w:autoSpaceDN/>
        <w:bidi w:val="0"/>
        <w:spacing w:line="360" w:lineRule="exact"/>
        <w:ind w:firstLine="562" w:firstLineChars="200"/>
        <w:jc w:val="left"/>
        <w:rPr>
          <w:rFonts w:hint="eastAsia" w:ascii="仿宋" w:hAnsi="仿宋" w:eastAsia="仿宋" w:cs="仿宋"/>
          <w:b/>
          <w:bCs/>
          <w:color w:val="000000"/>
          <w:kern w:val="0"/>
          <w:sz w:val="28"/>
          <w:szCs w:val="28"/>
        </w:rPr>
      </w:pPr>
    </w:p>
    <w:p w14:paraId="70BE7CB1">
      <w:pPr>
        <w:pStyle w:val="2"/>
        <w:keepNext w:val="0"/>
        <w:keepLines w:val="0"/>
        <w:pageBreakBefore w:val="0"/>
        <w:kinsoku/>
        <w:wordWrap/>
        <w:overflowPunct/>
        <w:topLinePunct w:val="0"/>
        <w:autoSpaceDE/>
        <w:autoSpaceDN/>
        <w:bidi w:val="0"/>
        <w:adjustRightInd w:val="0"/>
        <w:snapToGrid w:val="0"/>
        <w:spacing w:line="360" w:lineRule="exact"/>
        <w:ind w:firstLine="562" w:firstLineChars="200"/>
        <w:jc w:val="left"/>
        <w:rPr>
          <w:rFonts w:hint="eastAsia" w:ascii="仿宋" w:hAnsi="仿宋" w:eastAsia="仿宋" w:cs="仿宋"/>
          <w:b/>
          <w:bCs/>
          <w:color w:val="000000"/>
          <w:sz w:val="28"/>
          <w:szCs w:val="28"/>
        </w:rPr>
      </w:pPr>
      <w:r>
        <w:rPr>
          <w:rFonts w:hint="eastAsia" w:ascii="仿宋" w:hAnsi="仿宋" w:eastAsia="仿宋" w:cs="仿宋"/>
          <w:b/>
          <w:bCs/>
          <w:color w:val="000000"/>
          <w:sz w:val="28"/>
          <w:szCs w:val="28"/>
        </w:rPr>
        <w:t>供应商资质要求</w:t>
      </w:r>
    </w:p>
    <w:p w14:paraId="73EC87A5">
      <w:pPr>
        <w:pStyle w:val="5"/>
        <w:keepNext w:val="0"/>
        <w:keepLines w:val="0"/>
        <w:pageBreakBefore w:val="0"/>
        <w:kinsoku/>
        <w:wordWrap/>
        <w:overflowPunct/>
        <w:topLinePunct w:val="0"/>
        <w:autoSpaceDE/>
        <w:autoSpaceDN/>
        <w:bidi w:val="0"/>
        <w:adjustRightInd w:val="0"/>
        <w:snapToGrid w:val="0"/>
        <w:spacing w:line="360" w:lineRule="exact"/>
        <w:ind w:firstLine="480"/>
        <w:jc w:val="left"/>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1.</w:t>
      </w:r>
      <w:r>
        <w:rPr>
          <w:rFonts w:hint="eastAsia" w:ascii="仿宋" w:hAnsi="仿宋" w:eastAsia="仿宋" w:cs="仿宋"/>
          <w:color w:val="000000"/>
          <w:sz w:val="28"/>
          <w:szCs w:val="28"/>
        </w:rPr>
        <w:t>供应商应具备以下条件：</w:t>
      </w:r>
    </w:p>
    <w:p w14:paraId="5A7371D7">
      <w:pPr>
        <w:pStyle w:val="5"/>
        <w:keepNext w:val="0"/>
        <w:keepLines w:val="0"/>
        <w:pageBreakBefore w:val="0"/>
        <w:kinsoku/>
        <w:wordWrap/>
        <w:overflowPunct/>
        <w:topLinePunct w:val="0"/>
        <w:autoSpaceDE/>
        <w:autoSpaceDN/>
        <w:bidi w:val="0"/>
        <w:adjustRightInd w:val="0"/>
        <w:snapToGrid w:val="0"/>
        <w:spacing w:line="360" w:lineRule="exact"/>
        <w:ind w:firstLine="480"/>
        <w:jc w:val="left"/>
        <w:rPr>
          <w:rFonts w:hint="eastAsia" w:ascii="仿宋" w:hAnsi="仿宋" w:eastAsia="仿宋" w:cs="仿宋"/>
          <w:color w:val="000000"/>
          <w:sz w:val="28"/>
          <w:szCs w:val="28"/>
        </w:rPr>
      </w:pPr>
      <w:r>
        <w:rPr>
          <w:rFonts w:hint="eastAsia" w:ascii="仿宋" w:hAnsi="仿宋" w:eastAsia="仿宋" w:cs="仿宋"/>
          <w:color w:val="000000"/>
          <w:sz w:val="28"/>
          <w:szCs w:val="28"/>
        </w:rPr>
        <w:t>（1）具有良好的商业信誉和健全的财务会计制度；</w:t>
      </w:r>
    </w:p>
    <w:p w14:paraId="4F7E998B">
      <w:pPr>
        <w:pStyle w:val="5"/>
        <w:keepNext w:val="0"/>
        <w:keepLines w:val="0"/>
        <w:pageBreakBefore w:val="0"/>
        <w:kinsoku/>
        <w:wordWrap/>
        <w:overflowPunct/>
        <w:topLinePunct w:val="0"/>
        <w:autoSpaceDE/>
        <w:autoSpaceDN/>
        <w:bidi w:val="0"/>
        <w:adjustRightInd w:val="0"/>
        <w:snapToGrid w:val="0"/>
        <w:spacing w:line="360" w:lineRule="exact"/>
        <w:ind w:firstLine="480"/>
        <w:jc w:val="left"/>
        <w:rPr>
          <w:rFonts w:hint="eastAsia" w:ascii="仿宋" w:hAnsi="仿宋" w:eastAsia="仿宋" w:cs="仿宋"/>
          <w:color w:val="000000"/>
          <w:sz w:val="28"/>
          <w:szCs w:val="28"/>
        </w:rPr>
      </w:pPr>
      <w:r>
        <w:rPr>
          <w:rFonts w:hint="eastAsia" w:ascii="仿宋" w:hAnsi="仿宋" w:eastAsia="仿宋" w:cs="仿宋"/>
          <w:color w:val="000000"/>
          <w:sz w:val="28"/>
          <w:szCs w:val="28"/>
        </w:rPr>
        <w:t>（2）有依法缴纳税收和社会保障资金的良好记录；</w:t>
      </w:r>
    </w:p>
    <w:p w14:paraId="708E3566">
      <w:pPr>
        <w:pStyle w:val="5"/>
        <w:keepNext w:val="0"/>
        <w:keepLines w:val="0"/>
        <w:pageBreakBefore w:val="0"/>
        <w:kinsoku/>
        <w:wordWrap/>
        <w:overflowPunct/>
        <w:topLinePunct w:val="0"/>
        <w:autoSpaceDE/>
        <w:autoSpaceDN/>
        <w:bidi w:val="0"/>
        <w:adjustRightInd w:val="0"/>
        <w:snapToGrid w:val="0"/>
        <w:spacing w:line="360" w:lineRule="exact"/>
        <w:ind w:firstLine="480"/>
        <w:jc w:val="left"/>
        <w:rPr>
          <w:rFonts w:hint="eastAsia" w:ascii="仿宋" w:hAnsi="仿宋" w:eastAsia="仿宋" w:cs="仿宋"/>
          <w:color w:val="000000"/>
          <w:sz w:val="28"/>
          <w:szCs w:val="28"/>
        </w:rPr>
      </w:pPr>
      <w:r>
        <w:rPr>
          <w:rFonts w:hint="eastAsia" w:ascii="仿宋" w:hAnsi="仿宋" w:eastAsia="仿宋" w:cs="仿宋"/>
          <w:color w:val="000000"/>
          <w:sz w:val="28"/>
          <w:szCs w:val="28"/>
        </w:rPr>
        <w:t>（3）具备履行合同所必需的设备和专业技术能力；</w:t>
      </w:r>
    </w:p>
    <w:p w14:paraId="69EB53F7">
      <w:pPr>
        <w:pStyle w:val="5"/>
        <w:keepNext w:val="0"/>
        <w:keepLines w:val="0"/>
        <w:pageBreakBefore w:val="0"/>
        <w:kinsoku/>
        <w:wordWrap/>
        <w:overflowPunct/>
        <w:topLinePunct w:val="0"/>
        <w:autoSpaceDE/>
        <w:autoSpaceDN/>
        <w:bidi w:val="0"/>
        <w:adjustRightInd w:val="0"/>
        <w:snapToGrid w:val="0"/>
        <w:spacing w:line="360" w:lineRule="exact"/>
        <w:ind w:firstLine="480"/>
        <w:jc w:val="left"/>
        <w:rPr>
          <w:rFonts w:hint="eastAsia" w:ascii="仿宋" w:hAnsi="仿宋" w:eastAsia="仿宋" w:cs="仿宋"/>
          <w:color w:val="000000"/>
          <w:sz w:val="28"/>
          <w:szCs w:val="28"/>
        </w:rPr>
      </w:pPr>
      <w:r>
        <w:rPr>
          <w:rFonts w:hint="eastAsia" w:ascii="仿宋" w:hAnsi="仿宋" w:eastAsia="仿宋" w:cs="仿宋"/>
          <w:color w:val="000000"/>
          <w:sz w:val="28"/>
          <w:szCs w:val="28"/>
        </w:rPr>
        <w:t>（4）参加本次采购活动前三年内，在经营活动中没有重大违法记录。</w:t>
      </w:r>
    </w:p>
    <w:p w14:paraId="5EEE514D">
      <w:pPr>
        <w:pStyle w:val="5"/>
        <w:keepNext w:val="0"/>
        <w:keepLines w:val="0"/>
        <w:pageBreakBefore w:val="0"/>
        <w:kinsoku/>
        <w:wordWrap/>
        <w:overflowPunct/>
        <w:topLinePunct w:val="0"/>
        <w:autoSpaceDE/>
        <w:autoSpaceDN/>
        <w:bidi w:val="0"/>
        <w:adjustRightInd w:val="0"/>
        <w:snapToGrid w:val="0"/>
        <w:spacing w:line="360" w:lineRule="exact"/>
        <w:ind w:firstLine="480"/>
        <w:jc w:val="left"/>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2.</w:t>
      </w:r>
      <w:r>
        <w:rPr>
          <w:rFonts w:hint="eastAsia" w:ascii="仿宋" w:hAnsi="仿宋" w:eastAsia="仿宋" w:cs="仿宋"/>
          <w:color w:val="000000"/>
          <w:sz w:val="28"/>
          <w:szCs w:val="28"/>
        </w:rPr>
        <w:t>被“信用中国”网站列入失信被执行人和重大税收违法失信主体的、被“中国政府采购网”网站列入政府采购严重违法失信行为记录名单（处罚期限尚未届满的）的供应商，不得参与本项目的采购活动。</w:t>
      </w:r>
    </w:p>
    <w:p w14:paraId="17D16F7F">
      <w:pPr>
        <w:pStyle w:val="5"/>
        <w:keepNext w:val="0"/>
        <w:keepLines w:val="0"/>
        <w:pageBreakBefore w:val="0"/>
        <w:kinsoku/>
        <w:wordWrap/>
        <w:overflowPunct/>
        <w:topLinePunct w:val="0"/>
        <w:autoSpaceDE/>
        <w:autoSpaceDN/>
        <w:bidi w:val="0"/>
        <w:adjustRightInd w:val="0"/>
        <w:snapToGrid w:val="0"/>
        <w:spacing w:line="360" w:lineRule="exact"/>
        <w:ind w:firstLine="480"/>
        <w:jc w:val="left"/>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3.</w:t>
      </w:r>
      <w:r>
        <w:rPr>
          <w:rFonts w:hint="eastAsia" w:ascii="仿宋" w:hAnsi="仿宋" w:eastAsia="仿宋" w:cs="仿宋"/>
          <w:color w:val="000000"/>
          <w:sz w:val="28"/>
          <w:szCs w:val="28"/>
        </w:rPr>
        <w:t>法定代表人或单位负责人为同一人或者存在直接控股、管理关系的不同响应单位，不得参加同一合同项下的采购活动。</w:t>
      </w:r>
    </w:p>
    <w:p w14:paraId="68D60AB7">
      <w:pPr>
        <w:pStyle w:val="5"/>
        <w:keepNext w:val="0"/>
        <w:keepLines w:val="0"/>
        <w:pageBreakBefore w:val="0"/>
        <w:kinsoku/>
        <w:wordWrap/>
        <w:overflowPunct/>
        <w:topLinePunct w:val="0"/>
        <w:autoSpaceDE/>
        <w:autoSpaceDN/>
        <w:bidi w:val="0"/>
        <w:adjustRightInd w:val="0"/>
        <w:snapToGrid w:val="0"/>
        <w:spacing w:line="360" w:lineRule="exact"/>
        <w:ind w:firstLine="480"/>
        <w:jc w:val="left"/>
        <w:rPr>
          <w:rFonts w:hint="eastAsia" w:ascii="仿宋" w:hAnsi="仿宋" w:eastAsia="仿宋" w:cs="仿宋"/>
          <w:sz w:val="28"/>
          <w:szCs w:val="28"/>
        </w:rPr>
      </w:pPr>
      <w:r>
        <w:rPr>
          <w:rFonts w:hint="eastAsia" w:ascii="仿宋" w:hAnsi="仿宋" w:eastAsia="仿宋" w:cs="仿宋"/>
          <w:sz w:val="28"/>
          <w:szCs w:val="28"/>
          <w:lang w:eastAsia="zh-CN"/>
        </w:rPr>
        <w:t>4.</w:t>
      </w:r>
      <w:r>
        <w:rPr>
          <w:rFonts w:hint="eastAsia" w:ascii="仿宋" w:hAnsi="仿宋" w:eastAsia="仿宋" w:cs="仿宋"/>
          <w:sz w:val="28"/>
          <w:szCs w:val="28"/>
        </w:rPr>
        <w:t>为本采购项目提供过整体设计、规范编制或者项目管理、监理、检测等服务的供应商及其附属机构，不得再参加本采购项目的响应。</w:t>
      </w:r>
    </w:p>
    <w:p w14:paraId="76B8CC9F">
      <w:pPr>
        <w:pStyle w:val="5"/>
        <w:keepNext w:val="0"/>
        <w:keepLines w:val="0"/>
        <w:pageBreakBefore w:val="0"/>
        <w:kinsoku/>
        <w:wordWrap/>
        <w:overflowPunct/>
        <w:topLinePunct w:val="0"/>
        <w:autoSpaceDE/>
        <w:autoSpaceDN/>
        <w:bidi w:val="0"/>
        <w:adjustRightInd w:val="0"/>
        <w:snapToGrid w:val="0"/>
        <w:spacing w:line="360" w:lineRule="exact"/>
        <w:ind w:firstLine="480"/>
        <w:jc w:val="left"/>
        <w:rPr>
          <w:rFonts w:hint="eastAsia" w:ascii="仿宋" w:hAnsi="仿宋" w:eastAsia="仿宋" w:cs="仿宋"/>
          <w:sz w:val="28"/>
          <w:szCs w:val="28"/>
        </w:rPr>
      </w:pPr>
      <w:r>
        <w:rPr>
          <w:rFonts w:hint="eastAsia" w:ascii="仿宋" w:hAnsi="仿宋" w:eastAsia="仿宋" w:cs="仿宋"/>
          <w:sz w:val="28"/>
          <w:szCs w:val="28"/>
          <w:lang w:eastAsia="zh-CN"/>
        </w:rPr>
        <w:t>5.</w:t>
      </w:r>
      <w:r>
        <w:rPr>
          <w:rFonts w:hint="eastAsia" w:ascii="仿宋" w:hAnsi="仿宋" w:eastAsia="仿宋" w:cs="仿宋"/>
          <w:sz w:val="28"/>
          <w:szCs w:val="28"/>
        </w:rPr>
        <w:t>供应商必须是具有独立承担民事责任能力的在中华人民共和国境内注册的法人或其他组织。提供有效的营业执照（或事业法人登记证或身份证等相关证明）副本复印件，如非“三证合一”证照，同时提供税务登记证副本复印件</w:t>
      </w:r>
      <w:r>
        <w:rPr>
          <w:rFonts w:hint="eastAsia" w:ascii="仿宋" w:hAnsi="仿宋" w:eastAsia="仿宋" w:cs="仿宋"/>
          <w:sz w:val="28"/>
          <w:szCs w:val="28"/>
          <w:lang w:eastAsia="zh-CN"/>
        </w:rPr>
        <w:t>，</w:t>
      </w:r>
      <w:r>
        <w:rPr>
          <w:rFonts w:hint="eastAsia" w:ascii="仿宋" w:hAnsi="仿宋" w:eastAsia="仿宋" w:cs="仿宋"/>
          <w:sz w:val="28"/>
          <w:szCs w:val="28"/>
        </w:rPr>
        <w:t>加盖公章；如为分公司报名，必须同时提供总公司的营业执照副本复印件及总公司授权书。</w:t>
      </w:r>
    </w:p>
    <w:p w14:paraId="239AC855">
      <w:pPr>
        <w:pStyle w:val="5"/>
        <w:keepNext w:val="0"/>
        <w:keepLines w:val="0"/>
        <w:pageBreakBefore w:val="0"/>
        <w:kinsoku/>
        <w:wordWrap/>
        <w:overflowPunct/>
        <w:topLinePunct w:val="0"/>
        <w:autoSpaceDE/>
        <w:autoSpaceDN/>
        <w:bidi w:val="0"/>
        <w:adjustRightInd w:val="0"/>
        <w:snapToGrid w:val="0"/>
        <w:spacing w:line="360" w:lineRule="exact"/>
        <w:ind w:firstLine="480"/>
        <w:jc w:val="left"/>
        <w:rPr>
          <w:rFonts w:hint="eastAsia" w:ascii="仿宋" w:hAnsi="仿宋" w:eastAsia="仿宋" w:cs="仿宋"/>
          <w:sz w:val="28"/>
          <w:szCs w:val="28"/>
        </w:rPr>
      </w:pPr>
      <w:r>
        <w:rPr>
          <w:rFonts w:hint="eastAsia" w:ascii="仿宋" w:hAnsi="仿宋" w:eastAsia="仿宋" w:cs="仿宋"/>
          <w:sz w:val="28"/>
          <w:szCs w:val="28"/>
          <w:lang w:eastAsia="zh-CN"/>
        </w:rPr>
        <w:t>6.</w:t>
      </w:r>
      <w:r>
        <w:rPr>
          <w:rFonts w:hint="eastAsia" w:ascii="仿宋" w:hAnsi="仿宋" w:eastAsia="仿宋" w:cs="仿宋"/>
          <w:sz w:val="28"/>
          <w:szCs w:val="28"/>
        </w:rPr>
        <w:t>本项目不接受联合体响应，成交供应商不得以任何方式转包或分包本项目。</w:t>
      </w:r>
    </w:p>
    <w:p w14:paraId="3EEE7BB5">
      <w:pPr>
        <w:pStyle w:val="2"/>
        <w:keepNext w:val="0"/>
        <w:keepLines w:val="0"/>
        <w:pageBreakBefore w:val="0"/>
        <w:kinsoku/>
        <w:wordWrap/>
        <w:overflowPunct/>
        <w:topLinePunct w:val="0"/>
        <w:autoSpaceDE/>
        <w:autoSpaceDN/>
        <w:bidi w:val="0"/>
        <w:adjustRightInd w:val="0"/>
        <w:snapToGrid w:val="0"/>
        <w:spacing w:line="3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7.</w:t>
      </w:r>
      <w:r>
        <w:rPr>
          <w:rFonts w:hint="eastAsia" w:ascii="仿宋" w:hAnsi="仿宋" w:eastAsia="仿宋" w:cs="仿宋"/>
          <w:color w:val="000000"/>
          <w:sz w:val="28"/>
          <w:szCs w:val="28"/>
        </w:rPr>
        <w:t>供应商具备《城市生活垃圾经营性清扫、收集、运输服务许可证》（街道办事处组织除外）。</w:t>
      </w:r>
    </w:p>
    <w:p w14:paraId="411D329D">
      <w:pPr>
        <w:keepNext w:val="0"/>
        <w:keepLines w:val="0"/>
        <w:pageBreakBefore w:val="0"/>
        <w:widowControl/>
        <w:kinsoku/>
        <w:wordWrap/>
        <w:overflowPunct/>
        <w:topLinePunct w:val="0"/>
        <w:autoSpaceDE/>
        <w:autoSpaceDN/>
        <w:bidi w:val="0"/>
        <w:spacing w:line="360" w:lineRule="exact"/>
        <w:ind w:firstLine="562" w:firstLineChars="200"/>
        <w:jc w:val="left"/>
        <w:rPr>
          <w:rFonts w:hint="eastAsia" w:ascii="仿宋" w:hAnsi="仿宋" w:eastAsia="仿宋" w:cs="仿宋"/>
          <w:b/>
          <w:bCs/>
          <w:color w:val="000000"/>
          <w:kern w:val="0"/>
          <w:sz w:val="28"/>
          <w:szCs w:val="28"/>
        </w:rPr>
      </w:pPr>
    </w:p>
    <w:p w14:paraId="00B26856">
      <w:pPr>
        <w:pStyle w:val="5"/>
        <w:keepNext w:val="0"/>
        <w:keepLines w:val="0"/>
        <w:pageBreakBefore w:val="0"/>
        <w:numPr>
          <w:ilvl w:val="0"/>
          <w:numId w:val="1"/>
        </w:numPr>
        <w:kinsoku/>
        <w:wordWrap/>
        <w:overflowPunct/>
        <w:topLinePunct w:val="0"/>
        <w:autoSpaceDE/>
        <w:autoSpaceDN/>
        <w:bidi w:val="0"/>
        <w:adjustRightInd w:val="0"/>
        <w:snapToGrid w:val="0"/>
        <w:spacing w:line="360" w:lineRule="exact"/>
        <w:ind w:firstLine="482"/>
        <w:rPr>
          <w:rFonts w:hint="eastAsia" w:ascii="仿宋" w:hAnsi="仿宋" w:eastAsia="仿宋" w:cs="仿宋"/>
          <w:b/>
          <w:color w:val="000000"/>
          <w:sz w:val="28"/>
          <w:szCs w:val="28"/>
        </w:rPr>
      </w:pPr>
      <w:r>
        <w:rPr>
          <w:rFonts w:hint="eastAsia" w:ascii="仿宋" w:hAnsi="仿宋" w:eastAsia="仿宋" w:cs="仿宋"/>
          <w:b/>
          <w:color w:val="000000"/>
          <w:sz w:val="28"/>
          <w:szCs w:val="28"/>
        </w:rPr>
        <w:t>采购项目内容</w:t>
      </w:r>
    </w:p>
    <w:p w14:paraId="6E40CF31">
      <w:pPr>
        <w:pStyle w:val="5"/>
        <w:keepNext w:val="0"/>
        <w:keepLines w:val="0"/>
        <w:pageBreakBefore w:val="0"/>
        <w:kinsoku/>
        <w:wordWrap/>
        <w:overflowPunct/>
        <w:topLinePunct w:val="0"/>
        <w:autoSpaceDE/>
        <w:autoSpaceDN/>
        <w:bidi w:val="0"/>
        <w:adjustRightInd w:val="0"/>
        <w:snapToGrid w:val="0"/>
        <w:spacing w:line="360" w:lineRule="exact"/>
        <w:ind w:firstLine="480"/>
        <w:rPr>
          <w:rFonts w:hint="eastAsia" w:ascii="仿宋" w:hAnsi="仿宋" w:eastAsia="仿宋" w:cs="仿宋"/>
          <w:bCs/>
          <w:color w:val="000000"/>
          <w:sz w:val="28"/>
          <w:szCs w:val="28"/>
        </w:rPr>
      </w:pPr>
      <w:r>
        <w:rPr>
          <w:rFonts w:hint="eastAsia" w:ascii="仿宋" w:hAnsi="仿宋" w:eastAsia="仿宋" w:cs="仿宋"/>
          <w:bCs/>
          <w:color w:val="000000"/>
          <w:sz w:val="28"/>
          <w:szCs w:val="28"/>
        </w:rPr>
        <w:t>2019年11月15日，住房和城乡建设部将生活垃圾类别调整为可回收物、有害垃圾、厨余垃圾及其他垃圾4个大类，该标准已于2019年12月1日起正式实施。本项目所列的“可回收物</w:t>
      </w:r>
      <w:r>
        <w:rPr>
          <w:rFonts w:hint="eastAsia" w:ascii="仿宋" w:hAnsi="仿宋" w:eastAsia="仿宋" w:cs="仿宋"/>
          <w:bCs/>
          <w:color w:val="000000"/>
          <w:sz w:val="28"/>
          <w:szCs w:val="28"/>
          <w:lang w:eastAsia="zh-CN"/>
        </w:rPr>
        <w:t>”“</w:t>
      </w:r>
      <w:r>
        <w:rPr>
          <w:rFonts w:hint="eastAsia" w:ascii="仿宋" w:hAnsi="仿宋" w:eastAsia="仿宋" w:cs="仿宋"/>
          <w:bCs/>
          <w:color w:val="000000"/>
          <w:sz w:val="28"/>
          <w:szCs w:val="28"/>
        </w:rPr>
        <w:t>有害垃圾</w:t>
      </w:r>
      <w:r>
        <w:rPr>
          <w:rFonts w:hint="eastAsia" w:ascii="仿宋" w:hAnsi="仿宋" w:eastAsia="仿宋" w:cs="仿宋"/>
          <w:bCs/>
          <w:color w:val="000000"/>
          <w:sz w:val="28"/>
          <w:szCs w:val="28"/>
          <w:lang w:eastAsia="zh-CN"/>
        </w:rPr>
        <w:t>”“</w:t>
      </w:r>
      <w:r>
        <w:rPr>
          <w:rFonts w:hint="eastAsia" w:ascii="仿宋" w:hAnsi="仿宋" w:eastAsia="仿宋" w:cs="仿宋"/>
          <w:bCs/>
          <w:color w:val="000000"/>
          <w:sz w:val="28"/>
          <w:szCs w:val="28"/>
        </w:rPr>
        <w:t>厨余垃圾</w:t>
      </w:r>
      <w:r>
        <w:rPr>
          <w:rFonts w:hint="eastAsia" w:ascii="仿宋" w:hAnsi="仿宋" w:eastAsia="仿宋" w:cs="仿宋"/>
          <w:bCs/>
          <w:color w:val="000000"/>
          <w:sz w:val="28"/>
          <w:szCs w:val="28"/>
          <w:lang w:eastAsia="zh-CN"/>
        </w:rPr>
        <w:t>”“</w:t>
      </w:r>
      <w:r>
        <w:rPr>
          <w:rFonts w:hint="eastAsia" w:ascii="仿宋" w:hAnsi="仿宋" w:eastAsia="仿宋" w:cs="仿宋"/>
          <w:bCs/>
          <w:color w:val="000000"/>
          <w:sz w:val="28"/>
          <w:szCs w:val="28"/>
        </w:rPr>
        <w:t>其他垃圾”均为该标准中生活垃圾类别下的专用名词。本项目无需供应商收运处置可回收物，因此本项目所提及的“生活垃圾”，均不包含“可回收物”。</w:t>
      </w:r>
    </w:p>
    <w:p w14:paraId="5F8BF944">
      <w:pPr>
        <w:pStyle w:val="5"/>
        <w:keepNext w:val="0"/>
        <w:keepLines w:val="0"/>
        <w:pageBreakBefore w:val="0"/>
        <w:kinsoku/>
        <w:wordWrap/>
        <w:overflowPunct/>
        <w:topLinePunct w:val="0"/>
        <w:autoSpaceDE/>
        <w:autoSpaceDN/>
        <w:bidi w:val="0"/>
        <w:adjustRightInd w:val="0"/>
        <w:snapToGrid w:val="0"/>
        <w:spacing w:line="360" w:lineRule="exact"/>
        <w:ind w:firstLine="480"/>
        <w:rPr>
          <w:rFonts w:hint="eastAsia" w:ascii="仿宋" w:hAnsi="仿宋" w:eastAsia="仿宋" w:cs="仿宋"/>
          <w:bCs/>
          <w:color w:val="000000"/>
          <w:sz w:val="28"/>
          <w:szCs w:val="28"/>
        </w:rPr>
      </w:pPr>
      <w:r>
        <w:rPr>
          <w:rFonts w:hint="eastAsia" w:ascii="仿宋" w:hAnsi="仿宋" w:eastAsia="仿宋" w:cs="仿宋"/>
          <w:bCs/>
          <w:color w:val="000000"/>
          <w:sz w:val="28"/>
          <w:szCs w:val="28"/>
        </w:rPr>
        <w:t>本项目为中山大学孙逸仙纪念医院北院区生活垃圾收运处置服务项目（地址：广州市越秀区沿江西路107号），包括但不限于每天定时定点清运北院区产生的其他垃圾、厨余垃圾、有害垃圾和小件家具木头、小件绿化垃圾，负责院区周边环境清扫，保证院区卫生。</w:t>
      </w:r>
    </w:p>
    <w:tbl>
      <w:tblPr>
        <w:tblStyle w:val="3"/>
        <w:tblW w:w="9180" w:type="dxa"/>
        <w:tblInd w:w="0" w:type="dxa"/>
        <w:tblLayout w:type="fixed"/>
        <w:tblCellMar>
          <w:top w:w="0" w:type="dxa"/>
          <w:left w:w="108" w:type="dxa"/>
          <w:bottom w:w="0" w:type="dxa"/>
          <w:right w:w="108" w:type="dxa"/>
        </w:tblCellMar>
      </w:tblPr>
      <w:tblGrid>
        <w:gridCol w:w="456"/>
        <w:gridCol w:w="3821"/>
        <w:gridCol w:w="4903"/>
      </w:tblGrid>
      <w:tr w14:paraId="46162A88">
        <w:tblPrEx>
          <w:tblCellMar>
            <w:top w:w="0" w:type="dxa"/>
            <w:left w:w="108" w:type="dxa"/>
            <w:bottom w:w="0" w:type="dxa"/>
            <w:right w:w="108" w:type="dxa"/>
          </w:tblCellMar>
        </w:tblPrEx>
        <w:trPr>
          <w:trHeight w:val="375" w:hRule="atLeast"/>
        </w:trPr>
        <w:tc>
          <w:tcPr>
            <w:tcW w:w="9180" w:type="dxa"/>
            <w:gridSpan w:val="3"/>
            <w:tcBorders>
              <w:top w:val="single" w:color="000000" w:sz="4" w:space="0"/>
              <w:left w:val="single" w:color="000000" w:sz="4" w:space="0"/>
              <w:bottom w:val="single" w:color="000000" w:sz="4" w:space="0"/>
              <w:right w:val="single" w:color="000000" w:sz="4" w:space="0"/>
            </w:tcBorders>
            <w:vAlign w:val="center"/>
          </w:tcPr>
          <w:p w14:paraId="536416AE">
            <w:pPr>
              <w:keepNext w:val="0"/>
              <w:keepLines w:val="0"/>
              <w:pageBreakBefore w:val="0"/>
              <w:widowControl/>
              <w:kinsoku/>
              <w:wordWrap/>
              <w:overflowPunct/>
              <w:topLinePunct w:val="0"/>
              <w:autoSpaceDE/>
              <w:autoSpaceDN/>
              <w:bidi w:val="0"/>
              <w:spacing w:line="360" w:lineRule="exact"/>
              <w:jc w:val="center"/>
              <w:textAlignment w:val="center"/>
              <w:rPr>
                <w:rFonts w:hint="eastAsia" w:ascii="仿宋" w:hAnsi="仿宋" w:eastAsia="仿宋" w:cs="仿宋"/>
                <w:b/>
                <w:bCs/>
                <w:color w:val="000000"/>
                <w:sz w:val="28"/>
                <w:szCs w:val="28"/>
              </w:rPr>
            </w:pPr>
            <w:r>
              <w:rPr>
                <w:rFonts w:hint="eastAsia" w:ascii="仿宋" w:hAnsi="仿宋" w:eastAsia="仿宋" w:cs="仿宋"/>
                <w:b/>
                <w:bCs/>
                <w:color w:val="000000"/>
                <w:kern w:val="0"/>
                <w:sz w:val="28"/>
                <w:szCs w:val="28"/>
                <w:lang w:bidi="ar"/>
              </w:rPr>
              <w:t>（一）生活垃圾、厨余垃圾收运处置服务（月包干）</w:t>
            </w:r>
          </w:p>
        </w:tc>
      </w:tr>
      <w:tr w14:paraId="22E75765">
        <w:tblPrEx>
          <w:tblCellMar>
            <w:top w:w="0" w:type="dxa"/>
            <w:left w:w="108" w:type="dxa"/>
            <w:bottom w:w="0" w:type="dxa"/>
            <w:right w:w="108" w:type="dxa"/>
          </w:tblCellMar>
        </w:tblPrEx>
        <w:trPr>
          <w:trHeight w:val="312" w:hRule="atLeast"/>
        </w:trPr>
        <w:tc>
          <w:tcPr>
            <w:tcW w:w="456" w:type="dxa"/>
            <w:vMerge w:val="restart"/>
            <w:tcBorders>
              <w:top w:val="single" w:color="000000" w:sz="4" w:space="0"/>
              <w:left w:val="single" w:color="000000" w:sz="4" w:space="0"/>
              <w:bottom w:val="single" w:color="000000" w:sz="4" w:space="0"/>
              <w:right w:val="single" w:color="000000" w:sz="4" w:space="0"/>
            </w:tcBorders>
            <w:vAlign w:val="center"/>
          </w:tcPr>
          <w:p w14:paraId="79B7EAD2">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序号</w:t>
            </w:r>
          </w:p>
        </w:tc>
        <w:tc>
          <w:tcPr>
            <w:tcW w:w="3821" w:type="dxa"/>
            <w:vMerge w:val="restart"/>
            <w:tcBorders>
              <w:top w:val="single" w:color="000000" w:sz="4" w:space="0"/>
              <w:left w:val="single" w:color="000000" w:sz="4" w:space="0"/>
              <w:bottom w:val="single" w:color="000000" w:sz="4" w:space="0"/>
              <w:right w:val="single" w:color="000000" w:sz="4" w:space="0"/>
            </w:tcBorders>
            <w:vAlign w:val="center"/>
          </w:tcPr>
          <w:p w14:paraId="3171F5B2">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名称</w:t>
            </w:r>
          </w:p>
        </w:tc>
        <w:tc>
          <w:tcPr>
            <w:tcW w:w="4903" w:type="dxa"/>
            <w:vMerge w:val="restart"/>
            <w:tcBorders>
              <w:top w:val="single" w:color="000000" w:sz="4" w:space="0"/>
              <w:left w:val="single" w:color="000000" w:sz="4" w:space="0"/>
              <w:bottom w:val="single" w:color="000000" w:sz="4" w:space="0"/>
              <w:right w:val="single" w:color="000000" w:sz="4" w:space="0"/>
            </w:tcBorders>
            <w:vAlign w:val="center"/>
          </w:tcPr>
          <w:p w14:paraId="4FD1E214">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服务内容包括但不限于</w:t>
            </w:r>
          </w:p>
        </w:tc>
      </w:tr>
      <w:tr w14:paraId="31E3BE37">
        <w:tblPrEx>
          <w:tblCellMar>
            <w:top w:w="0" w:type="dxa"/>
            <w:left w:w="108" w:type="dxa"/>
            <w:bottom w:w="0" w:type="dxa"/>
            <w:right w:w="108" w:type="dxa"/>
          </w:tblCellMar>
        </w:tblPrEx>
        <w:trPr>
          <w:trHeight w:val="312" w:hRule="atLeast"/>
        </w:trPr>
        <w:tc>
          <w:tcPr>
            <w:tcW w:w="456" w:type="dxa"/>
            <w:vMerge w:val="continue"/>
            <w:tcBorders>
              <w:top w:val="single" w:color="000000" w:sz="4" w:space="0"/>
              <w:left w:val="single" w:color="000000" w:sz="4" w:space="0"/>
              <w:bottom w:val="single" w:color="000000" w:sz="4" w:space="0"/>
              <w:right w:val="single" w:color="000000" w:sz="4" w:space="0"/>
            </w:tcBorders>
            <w:vAlign w:val="center"/>
          </w:tcPr>
          <w:p w14:paraId="36E3CB97">
            <w:pPr>
              <w:keepNext w:val="0"/>
              <w:keepLines w:val="0"/>
              <w:pageBreakBefore w:val="0"/>
              <w:kinsoku/>
              <w:wordWrap/>
              <w:overflowPunct/>
              <w:topLinePunct w:val="0"/>
              <w:autoSpaceDE/>
              <w:autoSpaceDN/>
              <w:bidi w:val="0"/>
              <w:spacing w:line="360" w:lineRule="exact"/>
              <w:jc w:val="center"/>
              <w:rPr>
                <w:rFonts w:hint="eastAsia" w:ascii="仿宋" w:hAnsi="仿宋" w:eastAsia="仿宋" w:cs="仿宋"/>
                <w:color w:val="000000"/>
                <w:sz w:val="28"/>
                <w:szCs w:val="28"/>
              </w:rPr>
            </w:pPr>
          </w:p>
        </w:tc>
        <w:tc>
          <w:tcPr>
            <w:tcW w:w="3821" w:type="dxa"/>
            <w:vMerge w:val="continue"/>
            <w:tcBorders>
              <w:top w:val="single" w:color="000000" w:sz="4" w:space="0"/>
              <w:left w:val="single" w:color="000000" w:sz="4" w:space="0"/>
              <w:bottom w:val="single" w:color="000000" w:sz="4" w:space="0"/>
              <w:right w:val="single" w:color="000000" w:sz="4" w:space="0"/>
            </w:tcBorders>
            <w:vAlign w:val="center"/>
          </w:tcPr>
          <w:p w14:paraId="12D209B7">
            <w:pPr>
              <w:keepNext w:val="0"/>
              <w:keepLines w:val="0"/>
              <w:pageBreakBefore w:val="0"/>
              <w:kinsoku/>
              <w:wordWrap/>
              <w:overflowPunct/>
              <w:topLinePunct w:val="0"/>
              <w:autoSpaceDE/>
              <w:autoSpaceDN/>
              <w:bidi w:val="0"/>
              <w:spacing w:line="360" w:lineRule="exact"/>
              <w:jc w:val="center"/>
              <w:rPr>
                <w:rFonts w:hint="eastAsia" w:ascii="仿宋" w:hAnsi="仿宋" w:eastAsia="仿宋" w:cs="仿宋"/>
                <w:color w:val="000000"/>
                <w:sz w:val="28"/>
                <w:szCs w:val="28"/>
              </w:rPr>
            </w:pPr>
          </w:p>
        </w:tc>
        <w:tc>
          <w:tcPr>
            <w:tcW w:w="4903" w:type="dxa"/>
            <w:vMerge w:val="continue"/>
            <w:tcBorders>
              <w:top w:val="single" w:color="000000" w:sz="4" w:space="0"/>
              <w:left w:val="single" w:color="000000" w:sz="4" w:space="0"/>
              <w:bottom w:val="single" w:color="000000" w:sz="4" w:space="0"/>
              <w:right w:val="single" w:color="000000" w:sz="4" w:space="0"/>
            </w:tcBorders>
            <w:vAlign w:val="center"/>
          </w:tcPr>
          <w:p w14:paraId="1767EF84">
            <w:pPr>
              <w:keepNext w:val="0"/>
              <w:keepLines w:val="0"/>
              <w:pageBreakBefore w:val="0"/>
              <w:kinsoku/>
              <w:wordWrap/>
              <w:overflowPunct/>
              <w:topLinePunct w:val="0"/>
              <w:autoSpaceDE/>
              <w:autoSpaceDN/>
              <w:bidi w:val="0"/>
              <w:spacing w:line="360" w:lineRule="exact"/>
              <w:jc w:val="center"/>
              <w:rPr>
                <w:rFonts w:hint="eastAsia" w:ascii="仿宋" w:hAnsi="仿宋" w:eastAsia="仿宋" w:cs="仿宋"/>
                <w:color w:val="000000"/>
                <w:sz w:val="28"/>
                <w:szCs w:val="28"/>
              </w:rPr>
            </w:pPr>
          </w:p>
        </w:tc>
      </w:tr>
      <w:tr w14:paraId="319B4005">
        <w:tblPrEx>
          <w:tblCellMar>
            <w:top w:w="0" w:type="dxa"/>
            <w:left w:w="108" w:type="dxa"/>
            <w:bottom w:w="0" w:type="dxa"/>
            <w:right w:w="108" w:type="dxa"/>
          </w:tblCellMar>
        </w:tblPrEx>
        <w:trPr>
          <w:trHeight w:val="413" w:hRule="atLeast"/>
        </w:trPr>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1038E">
            <w:pPr>
              <w:keepNext w:val="0"/>
              <w:keepLines w:val="0"/>
              <w:pageBreakBefore w:val="0"/>
              <w:widowControl/>
              <w:kinsoku/>
              <w:wordWrap/>
              <w:overflowPunct/>
              <w:topLinePunct w:val="0"/>
              <w:autoSpaceDE/>
              <w:autoSpaceDN/>
              <w:bidi w:val="0"/>
              <w:spacing w:line="36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1</w:t>
            </w:r>
          </w:p>
        </w:tc>
        <w:tc>
          <w:tcPr>
            <w:tcW w:w="3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E7ABFB">
            <w:pPr>
              <w:keepNext w:val="0"/>
              <w:keepLines w:val="0"/>
              <w:pageBreakBefore w:val="0"/>
              <w:widowControl/>
              <w:kinsoku/>
              <w:wordWrap/>
              <w:overflowPunct/>
              <w:topLinePunct w:val="0"/>
              <w:autoSpaceDE/>
              <w:autoSpaceDN/>
              <w:bidi w:val="0"/>
              <w:spacing w:line="36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生活垃圾处理费（指其他垃圾、有害垃圾）</w:t>
            </w:r>
          </w:p>
        </w:tc>
        <w:tc>
          <w:tcPr>
            <w:tcW w:w="4903" w:type="dxa"/>
            <w:vMerge w:val="restart"/>
            <w:tcBorders>
              <w:top w:val="single" w:color="000000" w:sz="4" w:space="0"/>
              <w:left w:val="single" w:color="000000" w:sz="4" w:space="0"/>
              <w:right w:val="single" w:color="000000" w:sz="4" w:space="0"/>
            </w:tcBorders>
            <w:shd w:val="clear" w:color="auto" w:fill="FFFFFF"/>
            <w:vAlign w:val="center"/>
          </w:tcPr>
          <w:p w14:paraId="45253C83">
            <w:pPr>
              <w:keepNext w:val="0"/>
              <w:keepLines w:val="0"/>
              <w:pageBreakBefore w:val="0"/>
              <w:widowControl/>
              <w:kinsoku/>
              <w:wordWrap/>
              <w:overflowPunct/>
              <w:topLinePunct w:val="0"/>
              <w:autoSpaceDE/>
              <w:autoSpaceDN/>
              <w:bidi w:val="0"/>
              <w:spacing w:line="36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包月：每日约</w:t>
            </w:r>
            <w:r>
              <w:rPr>
                <w:rStyle w:val="6"/>
                <w:rFonts w:hint="default"/>
                <w:sz w:val="28"/>
                <w:szCs w:val="28"/>
                <w:lang w:bidi="ar"/>
              </w:rPr>
              <w:t xml:space="preserve"> </w:t>
            </w:r>
            <w:r>
              <w:rPr>
                <w:rStyle w:val="6"/>
                <w:rFonts w:hint="eastAsia" w:eastAsia="仿宋"/>
                <w:sz w:val="28"/>
                <w:szCs w:val="28"/>
                <w:lang w:val="en-US" w:eastAsia="zh-CN" w:bidi="ar"/>
              </w:rPr>
              <w:t>110</w:t>
            </w:r>
            <w:r>
              <w:rPr>
                <w:rFonts w:hint="eastAsia" w:ascii="仿宋" w:hAnsi="仿宋" w:eastAsia="仿宋" w:cs="仿宋"/>
                <w:color w:val="000000"/>
                <w:kern w:val="0"/>
                <w:sz w:val="28"/>
                <w:szCs w:val="28"/>
                <w:lang w:bidi="ar"/>
              </w:rPr>
              <w:t>桶。预计</w:t>
            </w:r>
            <w:r>
              <w:rPr>
                <w:rFonts w:hint="eastAsia" w:ascii="仿宋" w:hAnsi="仿宋" w:eastAsia="仿宋" w:cs="仿宋"/>
                <w:color w:val="000000"/>
                <w:kern w:val="0"/>
                <w:sz w:val="28"/>
                <w:szCs w:val="28"/>
                <w:lang w:val="en-US" w:eastAsia="zh-CN" w:bidi="ar"/>
              </w:rPr>
              <w:t>3300</w:t>
            </w:r>
            <w:r>
              <w:rPr>
                <w:rFonts w:hint="eastAsia" w:ascii="仿宋" w:hAnsi="仿宋" w:eastAsia="仿宋" w:cs="仿宋"/>
                <w:color w:val="000000"/>
                <w:kern w:val="0"/>
                <w:sz w:val="28"/>
                <w:szCs w:val="28"/>
                <w:lang w:bidi="ar"/>
              </w:rPr>
              <w:t>桶/月。</w:t>
            </w:r>
          </w:p>
        </w:tc>
      </w:tr>
      <w:tr w14:paraId="2B334DA9">
        <w:tblPrEx>
          <w:tblCellMar>
            <w:top w:w="0" w:type="dxa"/>
            <w:left w:w="108" w:type="dxa"/>
            <w:bottom w:w="0" w:type="dxa"/>
            <w:right w:w="108" w:type="dxa"/>
          </w:tblCellMar>
        </w:tblPrEx>
        <w:trPr>
          <w:trHeight w:val="352" w:hRule="atLeast"/>
        </w:trPr>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FB8B5">
            <w:pPr>
              <w:keepNext w:val="0"/>
              <w:keepLines w:val="0"/>
              <w:pageBreakBefore w:val="0"/>
              <w:widowControl/>
              <w:kinsoku/>
              <w:wordWrap/>
              <w:overflowPunct/>
              <w:topLinePunct w:val="0"/>
              <w:autoSpaceDE/>
              <w:autoSpaceDN/>
              <w:bidi w:val="0"/>
              <w:spacing w:line="36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2</w:t>
            </w:r>
          </w:p>
        </w:tc>
        <w:tc>
          <w:tcPr>
            <w:tcW w:w="3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E8191A">
            <w:pPr>
              <w:keepNext w:val="0"/>
              <w:keepLines w:val="0"/>
              <w:pageBreakBefore w:val="0"/>
              <w:widowControl/>
              <w:kinsoku/>
              <w:wordWrap/>
              <w:overflowPunct/>
              <w:topLinePunct w:val="0"/>
              <w:autoSpaceDE/>
              <w:autoSpaceDN/>
              <w:bidi w:val="0"/>
              <w:spacing w:line="36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生活垃圾收运费（指其他垃圾、有害垃圾）</w:t>
            </w:r>
          </w:p>
        </w:tc>
        <w:tc>
          <w:tcPr>
            <w:tcW w:w="4903" w:type="dxa"/>
            <w:vMerge w:val="continue"/>
            <w:tcBorders>
              <w:left w:val="single" w:color="000000" w:sz="4" w:space="0"/>
              <w:bottom w:val="single" w:color="000000" w:sz="4" w:space="0"/>
              <w:right w:val="single" w:color="000000" w:sz="4" w:space="0"/>
            </w:tcBorders>
            <w:shd w:val="clear" w:color="auto" w:fill="FFFFFF"/>
            <w:vAlign w:val="center"/>
          </w:tcPr>
          <w:p w14:paraId="4CC8B5E3">
            <w:pPr>
              <w:keepNext w:val="0"/>
              <w:keepLines w:val="0"/>
              <w:pageBreakBefore w:val="0"/>
              <w:widowControl/>
              <w:kinsoku/>
              <w:wordWrap/>
              <w:overflowPunct/>
              <w:topLinePunct w:val="0"/>
              <w:autoSpaceDE/>
              <w:autoSpaceDN/>
              <w:bidi w:val="0"/>
              <w:spacing w:line="360" w:lineRule="exact"/>
              <w:jc w:val="left"/>
              <w:textAlignment w:val="center"/>
              <w:rPr>
                <w:rFonts w:hint="eastAsia" w:ascii="仿宋" w:hAnsi="仿宋" w:eastAsia="仿宋" w:cs="仿宋"/>
                <w:color w:val="000000"/>
                <w:sz w:val="28"/>
                <w:szCs w:val="28"/>
              </w:rPr>
            </w:pPr>
          </w:p>
        </w:tc>
      </w:tr>
      <w:tr w14:paraId="0C0041CB">
        <w:tblPrEx>
          <w:tblCellMar>
            <w:top w:w="0" w:type="dxa"/>
            <w:left w:w="108" w:type="dxa"/>
            <w:bottom w:w="0" w:type="dxa"/>
            <w:right w:w="108" w:type="dxa"/>
          </w:tblCellMar>
        </w:tblPrEx>
        <w:trPr>
          <w:trHeight w:val="375" w:hRule="atLeast"/>
        </w:trPr>
        <w:tc>
          <w:tcPr>
            <w:tcW w:w="45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8D11E68">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3</w:t>
            </w:r>
          </w:p>
        </w:tc>
        <w:tc>
          <w:tcPr>
            <w:tcW w:w="382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B76E843">
            <w:pPr>
              <w:keepNext w:val="0"/>
              <w:keepLines w:val="0"/>
              <w:pageBreakBefore w:val="0"/>
              <w:widowControl/>
              <w:kinsoku/>
              <w:wordWrap/>
              <w:overflowPunct/>
              <w:topLinePunct w:val="0"/>
              <w:autoSpaceDE/>
              <w:autoSpaceDN/>
              <w:bidi w:val="0"/>
              <w:adjustRightInd w:val="0"/>
              <w:snapToGrid w:val="0"/>
              <w:spacing w:line="360" w:lineRule="exac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院区周边清洁费</w:t>
            </w:r>
          </w:p>
        </w:tc>
        <w:tc>
          <w:tcPr>
            <w:tcW w:w="490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FF1D129">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包月：北院区（含沿江西路107号大院、仁济楼）共1630平方米。</w:t>
            </w:r>
          </w:p>
        </w:tc>
      </w:tr>
      <w:tr w14:paraId="58D8ABFB">
        <w:tblPrEx>
          <w:tblCellMar>
            <w:top w:w="0" w:type="dxa"/>
            <w:left w:w="108" w:type="dxa"/>
            <w:bottom w:w="0" w:type="dxa"/>
            <w:right w:w="108" w:type="dxa"/>
          </w:tblCellMar>
        </w:tblPrEx>
        <w:trPr>
          <w:trHeight w:val="312"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E44BEE">
            <w:pPr>
              <w:keepNext w:val="0"/>
              <w:keepLines w:val="0"/>
              <w:pageBreakBefore w:val="0"/>
              <w:kinsoku/>
              <w:wordWrap/>
              <w:overflowPunct/>
              <w:topLinePunct w:val="0"/>
              <w:autoSpaceDE/>
              <w:autoSpaceDN/>
              <w:bidi w:val="0"/>
              <w:spacing w:line="360" w:lineRule="exact"/>
              <w:jc w:val="center"/>
              <w:rPr>
                <w:rFonts w:hint="eastAsia" w:ascii="仿宋" w:hAnsi="仿宋" w:eastAsia="仿宋" w:cs="仿宋"/>
                <w:color w:val="000000"/>
                <w:sz w:val="28"/>
                <w:szCs w:val="28"/>
              </w:rPr>
            </w:pPr>
          </w:p>
        </w:tc>
        <w:tc>
          <w:tcPr>
            <w:tcW w:w="382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F4E3FD">
            <w:pPr>
              <w:keepNext w:val="0"/>
              <w:keepLines w:val="0"/>
              <w:pageBreakBefore w:val="0"/>
              <w:kinsoku/>
              <w:wordWrap/>
              <w:overflowPunct/>
              <w:topLinePunct w:val="0"/>
              <w:autoSpaceDE/>
              <w:autoSpaceDN/>
              <w:bidi w:val="0"/>
              <w:spacing w:line="360" w:lineRule="exact"/>
              <w:jc w:val="center"/>
              <w:rPr>
                <w:rFonts w:hint="eastAsia" w:ascii="仿宋" w:hAnsi="仿宋" w:eastAsia="仿宋" w:cs="仿宋"/>
                <w:color w:val="000000"/>
                <w:sz w:val="28"/>
                <w:szCs w:val="28"/>
              </w:rPr>
            </w:pPr>
          </w:p>
        </w:tc>
        <w:tc>
          <w:tcPr>
            <w:tcW w:w="49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01DDBE">
            <w:pPr>
              <w:keepNext w:val="0"/>
              <w:keepLines w:val="0"/>
              <w:pageBreakBefore w:val="0"/>
              <w:kinsoku/>
              <w:wordWrap/>
              <w:overflowPunct/>
              <w:topLinePunct w:val="0"/>
              <w:autoSpaceDE/>
              <w:autoSpaceDN/>
              <w:bidi w:val="0"/>
              <w:spacing w:line="360" w:lineRule="exact"/>
              <w:jc w:val="left"/>
              <w:rPr>
                <w:rFonts w:hint="eastAsia" w:ascii="仿宋" w:hAnsi="仿宋" w:eastAsia="仿宋" w:cs="仿宋"/>
                <w:color w:val="000000"/>
                <w:sz w:val="28"/>
                <w:szCs w:val="28"/>
              </w:rPr>
            </w:pPr>
          </w:p>
        </w:tc>
      </w:tr>
      <w:tr w14:paraId="2DCE9453">
        <w:tblPrEx>
          <w:tblCellMar>
            <w:top w:w="0" w:type="dxa"/>
            <w:left w:w="108" w:type="dxa"/>
            <w:bottom w:w="0" w:type="dxa"/>
            <w:right w:w="108" w:type="dxa"/>
          </w:tblCellMar>
        </w:tblPrEx>
        <w:trPr>
          <w:trHeight w:val="375" w:hRule="atLeast"/>
        </w:trPr>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2D4E09">
            <w:pPr>
              <w:keepNext w:val="0"/>
              <w:keepLines w:val="0"/>
              <w:pageBreakBefore w:val="0"/>
              <w:widowControl/>
              <w:kinsoku/>
              <w:wordWrap/>
              <w:overflowPunct/>
              <w:topLinePunct w:val="0"/>
              <w:autoSpaceDE/>
              <w:autoSpaceDN/>
              <w:bidi w:val="0"/>
              <w:spacing w:line="36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4</w:t>
            </w:r>
          </w:p>
        </w:tc>
        <w:tc>
          <w:tcPr>
            <w:tcW w:w="3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D1A5B4">
            <w:pPr>
              <w:keepNext w:val="0"/>
              <w:keepLines w:val="0"/>
              <w:pageBreakBefore w:val="0"/>
              <w:widowControl/>
              <w:kinsoku/>
              <w:wordWrap/>
              <w:overflowPunct/>
              <w:topLinePunct w:val="0"/>
              <w:autoSpaceDE/>
              <w:autoSpaceDN/>
              <w:bidi w:val="0"/>
              <w:spacing w:line="360" w:lineRule="exac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清运频次</w:t>
            </w:r>
          </w:p>
        </w:tc>
        <w:tc>
          <w:tcPr>
            <w:tcW w:w="49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89D1F3">
            <w:pPr>
              <w:keepNext w:val="0"/>
              <w:keepLines w:val="0"/>
              <w:pageBreakBefore w:val="0"/>
              <w:widowControl/>
              <w:kinsoku/>
              <w:wordWrap/>
              <w:overflowPunct/>
              <w:topLinePunct w:val="0"/>
              <w:autoSpaceDE/>
              <w:autoSpaceDN/>
              <w:bidi w:val="0"/>
              <w:spacing w:line="36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每天收运2次，早晚各1次。</w:t>
            </w:r>
          </w:p>
        </w:tc>
      </w:tr>
      <w:tr w14:paraId="4382A822">
        <w:tblPrEx>
          <w:tblCellMar>
            <w:top w:w="0" w:type="dxa"/>
            <w:left w:w="108" w:type="dxa"/>
            <w:bottom w:w="0" w:type="dxa"/>
            <w:right w:w="108" w:type="dxa"/>
          </w:tblCellMar>
        </w:tblPrEx>
        <w:trPr>
          <w:trHeight w:val="375" w:hRule="atLeast"/>
        </w:trPr>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3DA7C2">
            <w:pPr>
              <w:keepNext w:val="0"/>
              <w:keepLines w:val="0"/>
              <w:pageBreakBefore w:val="0"/>
              <w:widowControl/>
              <w:kinsoku/>
              <w:wordWrap/>
              <w:overflowPunct/>
              <w:topLinePunct w:val="0"/>
              <w:autoSpaceDE/>
              <w:autoSpaceDN/>
              <w:bidi w:val="0"/>
              <w:spacing w:line="36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5</w:t>
            </w:r>
          </w:p>
        </w:tc>
        <w:tc>
          <w:tcPr>
            <w:tcW w:w="3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5CEC6">
            <w:pPr>
              <w:keepNext w:val="0"/>
              <w:keepLines w:val="0"/>
              <w:pageBreakBefore w:val="0"/>
              <w:widowControl/>
              <w:kinsoku/>
              <w:wordWrap/>
              <w:overflowPunct/>
              <w:topLinePunct w:val="0"/>
              <w:autoSpaceDE/>
              <w:autoSpaceDN/>
              <w:bidi w:val="0"/>
              <w:spacing w:line="36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厨余垃圾处理费</w:t>
            </w:r>
          </w:p>
        </w:tc>
        <w:tc>
          <w:tcPr>
            <w:tcW w:w="49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220290">
            <w:pPr>
              <w:keepNext w:val="0"/>
              <w:keepLines w:val="0"/>
              <w:pageBreakBefore w:val="0"/>
              <w:widowControl/>
              <w:kinsoku/>
              <w:wordWrap/>
              <w:overflowPunct/>
              <w:topLinePunct w:val="0"/>
              <w:autoSpaceDE/>
              <w:autoSpaceDN/>
              <w:bidi w:val="0"/>
              <w:spacing w:line="36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每日6桶。</w:t>
            </w:r>
          </w:p>
        </w:tc>
      </w:tr>
      <w:tr w14:paraId="79A8078D">
        <w:tblPrEx>
          <w:tblCellMar>
            <w:top w:w="0" w:type="dxa"/>
            <w:left w:w="108" w:type="dxa"/>
            <w:bottom w:w="0" w:type="dxa"/>
            <w:right w:w="108" w:type="dxa"/>
          </w:tblCellMar>
        </w:tblPrEx>
        <w:trPr>
          <w:trHeight w:val="375" w:hRule="atLeast"/>
        </w:trPr>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B60E0">
            <w:pPr>
              <w:keepNext w:val="0"/>
              <w:keepLines w:val="0"/>
              <w:pageBreakBefore w:val="0"/>
              <w:widowControl/>
              <w:kinsoku/>
              <w:wordWrap/>
              <w:overflowPunct/>
              <w:topLinePunct w:val="0"/>
              <w:autoSpaceDE/>
              <w:autoSpaceDN/>
              <w:bidi w:val="0"/>
              <w:spacing w:line="36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6</w:t>
            </w:r>
          </w:p>
        </w:tc>
        <w:tc>
          <w:tcPr>
            <w:tcW w:w="3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6F54CE">
            <w:pPr>
              <w:keepNext w:val="0"/>
              <w:keepLines w:val="0"/>
              <w:pageBreakBefore w:val="0"/>
              <w:widowControl/>
              <w:kinsoku/>
              <w:wordWrap/>
              <w:overflowPunct/>
              <w:topLinePunct w:val="0"/>
              <w:autoSpaceDE/>
              <w:autoSpaceDN/>
              <w:bidi w:val="0"/>
              <w:spacing w:line="36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厨余垃圾收运费</w:t>
            </w:r>
          </w:p>
        </w:tc>
        <w:tc>
          <w:tcPr>
            <w:tcW w:w="49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F56286">
            <w:pPr>
              <w:keepNext w:val="0"/>
              <w:keepLines w:val="0"/>
              <w:pageBreakBefore w:val="0"/>
              <w:widowControl/>
              <w:kinsoku/>
              <w:wordWrap/>
              <w:overflowPunct/>
              <w:topLinePunct w:val="0"/>
              <w:autoSpaceDE/>
              <w:autoSpaceDN/>
              <w:bidi w:val="0"/>
              <w:spacing w:line="36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每日6桶。</w:t>
            </w:r>
          </w:p>
        </w:tc>
      </w:tr>
      <w:tr w14:paraId="54EE7013">
        <w:tblPrEx>
          <w:tblCellMar>
            <w:top w:w="0" w:type="dxa"/>
            <w:left w:w="108" w:type="dxa"/>
            <w:bottom w:w="0" w:type="dxa"/>
            <w:right w:w="108" w:type="dxa"/>
          </w:tblCellMar>
        </w:tblPrEx>
        <w:trPr>
          <w:trHeight w:val="375" w:hRule="atLeast"/>
        </w:trPr>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48AA54">
            <w:pPr>
              <w:keepNext w:val="0"/>
              <w:keepLines w:val="0"/>
              <w:pageBreakBefore w:val="0"/>
              <w:widowControl/>
              <w:kinsoku/>
              <w:wordWrap/>
              <w:overflowPunct/>
              <w:topLinePunct w:val="0"/>
              <w:autoSpaceDE/>
              <w:autoSpaceDN/>
              <w:bidi w:val="0"/>
              <w:spacing w:line="36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7</w:t>
            </w:r>
          </w:p>
        </w:tc>
        <w:tc>
          <w:tcPr>
            <w:tcW w:w="3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6D6CB2">
            <w:pPr>
              <w:keepNext w:val="0"/>
              <w:keepLines w:val="0"/>
              <w:pageBreakBefore w:val="0"/>
              <w:widowControl/>
              <w:kinsoku/>
              <w:wordWrap/>
              <w:overflowPunct/>
              <w:topLinePunct w:val="0"/>
              <w:autoSpaceDE/>
              <w:autoSpaceDN/>
              <w:bidi w:val="0"/>
              <w:spacing w:line="36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厨余垃圾容器占用费</w:t>
            </w:r>
          </w:p>
        </w:tc>
        <w:tc>
          <w:tcPr>
            <w:tcW w:w="49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6BB342">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每日在用6桶，转运6桶，占用12个桶。</w:t>
            </w:r>
          </w:p>
        </w:tc>
      </w:tr>
      <w:tr w14:paraId="54B39A71">
        <w:tblPrEx>
          <w:tblCellMar>
            <w:top w:w="0" w:type="dxa"/>
            <w:left w:w="108" w:type="dxa"/>
            <w:bottom w:w="0" w:type="dxa"/>
            <w:right w:w="108" w:type="dxa"/>
          </w:tblCellMar>
        </w:tblPrEx>
        <w:trPr>
          <w:trHeight w:val="375" w:hRule="atLeast"/>
        </w:trPr>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65ABED">
            <w:pPr>
              <w:keepNext w:val="0"/>
              <w:keepLines w:val="0"/>
              <w:pageBreakBefore w:val="0"/>
              <w:widowControl/>
              <w:kinsoku/>
              <w:wordWrap/>
              <w:overflowPunct/>
              <w:topLinePunct w:val="0"/>
              <w:autoSpaceDE/>
              <w:autoSpaceDN/>
              <w:bidi w:val="0"/>
              <w:spacing w:line="36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8</w:t>
            </w:r>
          </w:p>
        </w:tc>
        <w:tc>
          <w:tcPr>
            <w:tcW w:w="3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471DA0">
            <w:pPr>
              <w:keepNext w:val="0"/>
              <w:keepLines w:val="0"/>
              <w:pageBreakBefore w:val="0"/>
              <w:widowControl/>
              <w:kinsoku/>
              <w:wordWrap/>
              <w:overflowPunct/>
              <w:topLinePunct w:val="0"/>
              <w:autoSpaceDE/>
              <w:autoSpaceDN/>
              <w:bidi w:val="0"/>
              <w:spacing w:line="36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厨余垃圾容器清洗费</w:t>
            </w:r>
          </w:p>
        </w:tc>
        <w:tc>
          <w:tcPr>
            <w:tcW w:w="49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10CE56">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每日转运6桶，转运后需清洗送回。</w:t>
            </w:r>
          </w:p>
        </w:tc>
      </w:tr>
      <w:tr w14:paraId="14F9D521">
        <w:tblPrEx>
          <w:tblCellMar>
            <w:top w:w="0" w:type="dxa"/>
            <w:left w:w="108" w:type="dxa"/>
            <w:bottom w:w="0" w:type="dxa"/>
            <w:right w:w="108" w:type="dxa"/>
          </w:tblCellMar>
        </w:tblPrEx>
        <w:trPr>
          <w:trHeight w:val="375" w:hRule="atLeast"/>
        </w:trPr>
        <w:tc>
          <w:tcPr>
            <w:tcW w:w="9180" w:type="dxa"/>
            <w:gridSpan w:val="3"/>
            <w:tcBorders>
              <w:top w:val="single" w:color="000000" w:sz="4" w:space="0"/>
              <w:left w:val="single" w:color="000000" w:sz="4" w:space="0"/>
              <w:bottom w:val="single" w:color="000000" w:sz="4" w:space="0"/>
              <w:right w:val="single" w:color="000000" w:sz="4" w:space="0"/>
            </w:tcBorders>
            <w:vAlign w:val="center"/>
          </w:tcPr>
          <w:p w14:paraId="70050851">
            <w:pPr>
              <w:keepNext w:val="0"/>
              <w:keepLines w:val="0"/>
              <w:pageBreakBefore w:val="0"/>
              <w:widowControl/>
              <w:kinsoku/>
              <w:wordWrap/>
              <w:overflowPunct/>
              <w:topLinePunct w:val="0"/>
              <w:autoSpaceDE/>
              <w:autoSpaceDN/>
              <w:bidi w:val="0"/>
              <w:spacing w:line="360" w:lineRule="exact"/>
              <w:jc w:val="center"/>
              <w:textAlignment w:val="center"/>
              <w:rPr>
                <w:rFonts w:hint="eastAsia" w:ascii="仿宋" w:hAnsi="仿宋" w:eastAsia="仿宋" w:cs="仿宋"/>
                <w:b/>
                <w:bCs/>
                <w:color w:val="000000"/>
                <w:sz w:val="28"/>
                <w:szCs w:val="28"/>
              </w:rPr>
            </w:pPr>
            <w:r>
              <w:rPr>
                <w:rFonts w:hint="eastAsia" w:ascii="仿宋" w:hAnsi="仿宋" w:eastAsia="仿宋" w:cs="仿宋"/>
                <w:b/>
                <w:bCs/>
                <w:color w:val="000000"/>
                <w:kern w:val="0"/>
                <w:sz w:val="28"/>
                <w:szCs w:val="28"/>
                <w:lang w:bidi="ar"/>
              </w:rPr>
              <w:t>（二）木头、绿化垃圾收运处置服务（月包干）</w:t>
            </w:r>
          </w:p>
        </w:tc>
      </w:tr>
      <w:tr w14:paraId="6B1F4CDD">
        <w:tblPrEx>
          <w:tblCellMar>
            <w:top w:w="0" w:type="dxa"/>
            <w:left w:w="108" w:type="dxa"/>
            <w:bottom w:w="0" w:type="dxa"/>
            <w:right w:w="108" w:type="dxa"/>
          </w:tblCellMar>
        </w:tblPrEx>
        <w:trPr>
          <w:trHeight w:val="90" w:hRule="atLeast"/>
        </w:trPr>
        <w:tc>
          <w:tcPr>
            <w:tcW w:w="456" w:type="dxa"/>
            <w:tcBorders>
              <w:top w:val="single" w:color="000000" w:sz="4" w:space="0"/>
              <w:left w:val="single" w:color="000000" w:sz="4" w:space="0"/>
              <w:bottom w:val="single" w:color="000000" w:sz="4" w:space="0"/>
              <w:right w:val="single" w:color="000000" w:sz="4" w:space="0"/>
            </w:tcBorders>
            <w:vAlign w:val="center"/>
          </w:tcPr>
          <w:p w14:paraId="22D56FB2">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序号</w:t>
            </w:r>
          </w:p>
        </w:tc>
        <w:tc>
          <w:tcPr>
            <w:tcW w:w="3821" w:type="dxa"/>
            <w:tcBorders>
              <w:top w:val="single" w:color="000000" w:sz="4" w:space="0"/>
              <w:left w:val="single" w:color="000000" w:sz="4" w:space="0"/>
              <w:bottom w:val="single" w:color="000000" w:sz="4" w:space="0"/>
              <w:right w:val="single" w:color="000000" w:sz="4" w:space="0"/>
            </w:tcBorders>
            <w:vAlign w:val="center"/>
          </w:tcPr>
          <w:p w14:paraId="61144580">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名称</w:t>
            </w:r>
          </w:p>
        </w:tc>
        <w:tc>
          <w:tcPr>
            <w:tcW w:w="4903" w:type="dxa"/>
            <w:tcBorders>
              <w:top w:val="single" w:color="000000" w:sz="4" w:space="0"/>
              <w:left w:val="single" w:color="000000" w:sz="4" w:space="0"/>
              <w:bottom w:val="single" w:color="000000" w:sz="4" w:space="0"/>
              <w:right w:val="single" w:color="000000" w:sz="4" w:space="0"/>
            </w:tcBorders>
            <w:vAlign w:val="center"/>
          </w:tcPr>
          <w:p w14:paraId="52EE56E4">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服务内容包括但不限于</w:t>
            </w:r>
          </w:p>
        </w:tc>
      </w:tr>
      <w:tr w14:paraId="74AA3987">
        <w:tblPrEx>
          <w:tblCellMar>
            <w:top w:w="0" w:type="dxa"/>
            <w:left w:w="108" w:type="dxa"/>
            <w:bottom w:w="0" w:type="dxa"/>
            <w:right w:w="108" w:type="dxa"/>
          </w:tblCellMar>
        </w:tblPrEx>
        <w:trPr>
          <w:trHeight w:val="331" w:hRule="atLeast"/>
        </w:trPr>
        <w:tc>
          <w:tcPr>
            <w:tcW w:w="456" w:type="dxa"/>
            <w:tcBorders>
              <w:top w:val="single" w:color="000000" w:sz="4" w:space="0"/>
              <w:left w:val="single" w:color="000000" w:sz="4" w:space="0"/>
              <w:bottom w:val="single" w:color="000000" w:sz="4" w:space="0"/>
              <w:right w:val="single" w:color="000000" w:sz="4" w:space="0"/>
            </w:tcBorders>
            <w:vAlign w:val="center"/>
          </w:tcPr>
          <w:p w14:paraId="6AA35118">
            <w:pPr>
              <w:keepNext w:val="0"/>
              <w:keepLines w:val="0"/>
              <w:pageBreakBefore w:val="0"/>
              <w:widowControl/>
              <w:kinsoku/>
              <w:wordWrap/>
              <w:overflowPunct/>
              <w:topLinePunct w:val="0"/>
              <w:autoSpaceDE/>
              <w:autoSpaceDN/>
              <w:bidi w:val="0"/>
              <w:spacing w:line="36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1</w:t>
            </w:r>
          </w:p>
        </w:tc>
        <w:tc>
          <w:tcPr>
            <w:tcW w:w="3821" w:type="dxa"/>
            <w:tcBorders>
              <w:top w:val="single" w:color="000000" w:sz="4" w:space="0"/>
              <w:left w:val="single" w:color="000000" w:sz="4" w:space="0"/>
              <w:bottom w:val="single" w:color="000000" w:sz="4" w:space="0"/>
              <w:right w:val="single" w:color="000000" w:sz="4" w:space="0"/>
            </w:tcBorders>
            <w:vAlign w:val="center"/>
          </w:tcPr>
          <w:p w14:paraId="097608D6">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小件家具、木头收运处置</w:t>
            </w:r>
          </w:p>
        </w:tc>
        <w:tc>
          <w:tcPr>
            <w:tcW w:w="4903" w:type="dxa"/>
            <w:tcBorders>
              <w:top w:val="single" w:color="000000" w:sz="4" w:space="0"/>
              <w:left w:val="single" w:color="000000" w:sz="4" w:space="0"/>
              <w:bottom w:val="single" w:color="000000" w:sz="4" w:space="0"/>
              <w:right w:val="single" w:color="000000" w:sz="4" w:space="0"/>
            </w:tcBorders>
            <w:vAlign w:val="center"/>
          </w:tcPr>
          <w:p w14:paraId="3A35B469">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每月约1车（约1立方米/车）。</w:t>
            </w:r>
          </w:p>
        </w:tc>
      </w:tr>
      <w:tr w14:paraId="07E3E0A7">
        <w:tblPrEx>
          <w:tblCellMar>
            <w:top w:w="0" w:type="dxa"/>
            <w:left w:w="108" w:type="dxa"/>
            <w:bottom w:w="0" w:type="dxa"/>
            <w:right w:w="108" w:type="dxa"/>
          </w:tblCellMar>
        </w:tblPrEx>
        <w:trPr>
          <w:trHeight w:val="418" w:hRule="atLeast"/>
        </w:trPr>
        <w:tc>
          <w:tcPr>
            <w:tcW w:w="456" w:type="dxa"/>
            <w:tcBorders>
              <w:top w:val="single" w:color="000000" w:sz="4" w:space="0"/>
              <w:left w:val="single" w:color="000000" w:sz="4" w:space="0"/>
              <w:bottom w:val="single" w:color="000000" w:sz="4" w:space="0"/>
              <w:right w:val="single" w:color="000000" w:sz="4" w:space="0"/>
            </w:tcBorders>
            <w:vAlign w:val="center"/>
          </w:tcPr>
          <w:p w14:paraId="05D22966">
            <w:pPr>
              <w:keepNext w:val="0"/>
              <w:keepLines w:val="0"/>
              <w:pageBreakBefore w:val="0"/>
              <w:widowControl/>
              <w:kinsoku/>
              <w:wordWrap/>
              <w:overflowPunct/>
              <w:topLinePunct w:val="0"/>
              <w:autoSpaceDE/>
              <w:autoSpaceDN/>
              <w:bidi w:val="0"/>
              <w:spacing w:line="36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2</w:t>
            </w:r>
          </w:p>
        </w:tc>
        <w:tc>
          <w:tcPr>
            <w:tcW w:w="3821" w:type="dxa"/>
            <w:tcBorders>
              <w:top w:val="single" w:color="000000" w:sz="4" w:space="0"/>
              <w:left w:val="single" w:color="000000" w:sz="4" w:space="0"/>
              <w:bottom w:val="single" w:color="000000" w:sz="4" w:space="0"/>
              <w:right w:val="single" w:color="000000" w:sz="4" w:space="0"/>
            </w:tcBorders>
            <w:vAlign w:val="center"/>
          </w:tcPr>
          <w:p w14:paraId="4D429476">
            <w:pPr>
              <w:keepNext w:val="0"/>
              <w:keepLines w:val="0"/>
              <w:pageBreakBefore w:val="0"/>
              <w:widowControl/>
              <w:kinsoku/>
              <w:wordWrap/>
              <w:overflowPunct/>
              <w:topLinePunct w:val="0"/>
              <w:autoSpaceDE/>
              <w:autoSpaceDN/>
              <w:bidi w:val="0"/>
              <w:spacing w:line="36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小件绿化垃圾收运处置</w:t>
            </w:r>
          </w:p>
        </w:tc>
        <w:tc>
          <w:tcPr>
            <w:tcW w:w="4903" w:type="dxa"/>
            <w:tcBorders>
              <w:top w:val="single" w:color="000000" w:sz="4" w:space="0"/>
              <w:left w:val="single" w:color="000000" w:sz="4" w:space="0"/>
              <w:bottom w:val="single" w:color="000000" w:sz="4" w:space="0"/>
              <w:right w:val="single" w:color="000000" w:sz="4" w:space="0"/>
            </w:tcBorders>
            <w:vAlign w:val="center"/>
          </w:tcPr>
          <w:p w14:paraId="66EE392C">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每月约1车（约5立方米/车）。</w:t>
            </w:r>
          </w:p>
        </w:tc>
      </w:tr>
      <w:tr w14:paraId="2D57A453">
        <w:tblPrEx>
          <w:tblCellMar>
            <w:top w:w="0" w:type="dxa"/>
            <w:left w:w="108" w:type="dxa"/>
            <w:bottom w:w="0" w:type="dxa"/>
            <w:right w:w="108" w:type="dxa"/>
          </w:tblCellMar>
        </w:tblPrEx>
        <w:trPr>
          <w:trHeight w:val="375" w:hRule="atLeast"/>
        </w:trPr>
        <w:tc>
          <w:tcPr>
            <w:tcW w:w="427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78C97EC">
            <w:pPr>
              <w:keepNext w:val="0"/>
              <w:keepLines w:val="0"/>
              <w:pageBreakBefore w:val="0"/>
              <w:widowControl/>
              <w:tabs>
                <w:tab w:val="left" w:pos="947"/>
                <w:tab w:val="center" w:pos="2090"/>
              </w:tabs>
              <w:kinsoku/>
              <w:wordWrap/>
              <w:overflowPunct/>
              <w:topLinePunct w:val="0"/>
              <w:autoSpaceDE/>
              <w:autoSpaceDN/>
              <w:bidi w:val="0"/>
              <w:spacing w:line="36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（一）+（二）项</w:t>
            </w:r>
            <w:r>
              <w:rPr>
                <w:rFonts w:hint="eastAsia" w:ascii="仿宋" w:hAnsi="仿宋" w:eastAsia="仿宋" w:cs="仿宋"/>
                <w:color w:val="000000"/>
                <w:kern w:val="0"/>
                <w:sz w:val="28"/>
                <w:szCs w:val="28"/>
                <w:lang w:bidi="ar"/>
              </w:rPr>
              <w:tab/>
            </w:r>
            <w:r>
              <w:rPr>
                <w:rFonts w:hint="eastAsia" w:ascii="仿宋" w:hAnsi="仿宋" w:eastAsia="仿宋" w:cs="仿宋"/>
                <w:color w:val="000000"/>
                <w:kern w:val="0"/>
                <w:sz w:val="28"/>
                <w:szCs w:val="28"/>
                <w:lang w:bidi="ar"/>
              </w:rPr>
              <w:t>月包干单价（元/月）</w:t>
            </w:r>
          </w:p>
        </w:tc>
        <w:tc>
          <w:tcPr>
            <w:tcW w:w="4903" w:type="dxa"/>
            <w:tcBorders>
              <w:top w:val="single" w:color="000000" w:sz="4" w:space="0"/>
              <w:left w:val="single" w:color="000000" w:sz="4" w:space="0"/>
              <w:bottom w:val="single" w:color="000000" w:sz="4" w:space="0"/>
              <w:right w:val="single" w:color="000000" w:sz="4" w:space="0"/>
            </w:tcBorders>
            <w:vAlign w:val="center"/>
          </w:tcPr>
          <w:p w14:paraId="7416B230">
            <w:pPr>
              <w:keepNext w:val="0"/>
              <w:keepLines w:val="0"/>
              <w:pageBreakBefore w:val="0"/>
              <w:widowControl/>
              <w:kinsoku/>
              <w:wordWrap/>
              <w:overflowPunct/>
              <w:topLinePunct w:val="0"/>
              <w:autoSpaceDE/>
              <w:autoSpaceDN/>
              <w:bidi w:val="0"/>
              <w:spacing w:line="360" w:lineRule="exact"/>
              <w:textAlignment w:val="center"/>
              <w:rPr>
                <w:rFonts w:hint="eastAsia" w:ascii="仿宋" w:hAnsi="仿宋" w:eastAsia="仿宋" w:cs="仿宋"/>
                <w:color w:val="000000"/>
                <w:sz w:val="28"/>
                <w:szCs w:val="28"/>
              </w:rPr>
            </w:pPr>
          </w:p>
        </w:tc>
      </w:tr>
      <w:tr w14:paraId="697CE430">
        <w:tblPrEx>
          <w:tblCellMar>
            <w:top w:w="0" w:type="dxa"/>
            <w:left w:w="108" w:type="dxa"/>
            <w:bottom w:w="0" w:type="dxa"/>
            <w:right w:w="108" w:type="dxa"/>
          </w:tblCellMar>
        </w:tblPrEx>
        <w:trPr>
          <w:trHeight w:val="96" w:hRule="atLeast"/>
        </w:trPr>
        <w:tc>
          <w:tcPr>
            <w:tcW w:w="4277" w:type="dxa"/>
            <w:gridSpan w:val="2"/>
            <w:tcBorders>
              <w:top w:val="single" w:color="000000" w:sz="4" w:space="0"/>
              <w:left w:val="single" w:color="000000" w:sz="4" w:space="0"/>
              <w:bottom w:val="single" w:color="000000" w:sz="4" w:space="0"/>
              <w:right w:val="single" w:color="000000" w:sz="4" w:space="0"/>
            </w:tcBorders>
            <w:vAlign w:val="center"/>
          </w:tcPr>
          <w:p w14:paraId="63584CFD">
            <w:pPr>
              <w:keepNext w:val="0"/>
              <w:keepLines w:val="0"/>
              <w:pageBreakBefore w:val="0"/>
              <w:widowControl/>
              <w:kinsoku/>
              <w:wordWrap/>
              <w:overflowPunct/>
              <w:topLinePunct w:val="0"/>
              <w:autoSpaceDE/>
              <w:autoSpaceDN/>
              <w:bidi w:val="0"/>
              <w:spacing w:line="360" w:lineRule="exact"/>
              <w:textAlignment w:val="center"/>
              <w:rPr>
                <w:rFonts w:hint="eastAsia" w:ascii="仿宋" w:hAnsi="仿宋" w:eastAsia="仿宋" w:cs="仿宋"/>
                <w:color w:val="000000"/>
                <w:sz w:val="28"/>
                <w:szCs w:val="28"/>
                <w:highlight w:val="yellow"/>
              </w:rPr>
            </w:pPr>
            <w:r>
              <w:rPr>
                <w:rFonts w:hint="eastAsia" w:ascii="仿宋" w:hAnsi="仿宋" w:eastAsia="仿宋" w:cs="仿宋"/>
                <w:color w:val="000000"/>
                <w:kern w:val="0"/>
                <w:sz w:val="28"/>
                <w:szCs w:val="28"/>
                <w:lang w:bidi="ar"/>
              </w:rPr>
              <w:t>（一）+（二）项年包干单价（元/年）</w:t>
            </w:r>
          </w:p>
        </w:tc>
        <w:tc>
          <w:tcPr>
            <w:tcW w:w="4903" w:type="dxa"/>
            <w:tcBorders>
              <w:top w:val="single" w:color="000000" w:sz="4" w:space="0"/>
              <w:left w:val="single" w:color="000000" w:sz="4" w:space="0"/>
              <w:bottom w:val="single" w:color="000000" w:sz="4" w:space="0"/>
              <w:right w:val="single" w:color="000000" w:sz="4" w:space="0"/>
            </w:tcBorders>
            <w:vAlign w:val="center"/>
          </w:tcPr>
          <w:p w14:paraId="079700A8">
            <w:pPr>
              <w:keepNext w:val="0"/>
              <w:keepLines w:val="0"/>
              <w:pageBreakBefore w:val="0"/>
              <w:widowControl/>
              <w:kinsoku/>
              <w:wordWrap/>
              <w:overflowPunct/>
              <w:topLinePunct w:val="0"/>
              <w:autoSpaceDE/>
              <w:autoSpaceDN/>
              <w:bidi w:val="0"/>
              <w:spacing w:line="360" w:lineRule="exact"/>
              <w:jc w:val="center"/>
              <w:textAlignment w:val="center"/>
              <w:rPr>
                <w:rFonts w:hint="eastAsia" w:ascii="仿宋" w:hAnsi="仿宋" w:eastAsia="仿宋" w:cs="仿宋"/>
                <w:color w:val="000000"/>
                <w:sz w:val="28"/>
                <w:szCs w:val="28"/>
                <w:highlight w:val="yellow"/>
              </w:rPr>
            </w:pPr>
          </w:p>
        </w:tc>
      </w:tr>
      <w:tr w14:paraId="067BD7FE">
        <w:tblPrEx>
          <w:tblCellMar>
            <w:top w:w="0" w:type="dxa"/>
            <w:left w:w="108" w:type="dxa"/>
            <w:bottom w:w="0" w:type="dxa"/>
            <w:right w:w="108" w:type="dxa"/>
          </w:tblCellMar>
        </w:tblPrEx>
        <w:trPr>
          <w:trHeight w:val="96" w:hRule="atLeast"/>
        </w:trPr>
        <w:tc>
          <w:tcPr>
            <w:tcW w:w="9180" w:type="dxa"/>
            <w:gridSpan w:val="3"/>
            <w:tcBorders>
              <w:top w:val="single" w:color="000000" w:sz="4" w:space="0"/>
              <w:left w:val="single" w:color="000000" w:sz="4" w:space="0"/>
              <w:bottom w:val="single" w:color="000000" w:sz="4" w:space="0"/>
              <w:right w:val="single" w:color="000000" w:sz="4" w:space="0"/>
            </w:tcBorders>
            <w:vAlign w:val="center"/>
          </w:tcPr>
          <w:p w14:paraId="378C93C5">
            <w:pPr>
              <w:keepNext w:val="0"/>
              <w:keepLines w:val="0"/>
              <w:pageBreakBefore w:val="0"/>
              <w:widowControl/>
              <w:kinsoku/>
              <w:wordWrap/>
              <w:overflowPunct/>
              <w:topLinePunct w:val="0"/>
              <w:autoSpaceDE/>
              <w:autoSpaceDN/>
              <w:bidi w:val="0"/>
              <w:spacing w:line="360" w:lineRule="exact"/>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收费依据：《广州市城市管理和综合执法局广州市发展和改革委员会关于收取城市生活垃圾处理费和清洁卫生费的通告》（穗城管规字〔2022〕1号）</w:t>
            </w:r>
          </w:p>
        </w:tc>
      </w:tr>
    </w:tbl>
    <w:p w14:paraId="3230795F">
      <w:pPr>
        <w:keepNext w:val="0"/>
        <w:keepLines w:val="0"/>
        <w:pageBreakBefore w:val="0"/>
        <w:kinsoku/>
        <w:wordWrap/>
        <w:overflowPunct/>
        <w:topLinePunct w:val="0"/>
        <w:autoSpaceDE/>
        <w:autoSpaceDN/>
        <w:bidi w:val="0"/>
        <w:adjustRightInd w:val="0"/>
        <w:snapToGrid w:val="0"/>
        <w:spacing w:line="3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详细技术规范请参阅比选文件中的“用户需求书”。供应商必须对本项目的全部内容进行响应报价，如有缺漏或超出采购预算（最高限价），将导致响应无效。</w:t>
      </w:r>
    </w:p>
    <w:p w14:paraId="42FF705D">
      <w:pPr>
        <w:pStyle w:val="5"/>
        <w:keepNext w:val="0"/>
        <w:keepLines w:val="0"/>
        <w:pageBreakBefore w:val="0"/>
        <w:kinsoku/>
        <w:wordWrap/>
        <w:overflowPunct/>
        <w:topLinePunct w:val="0"/>
        <w:autoSpaceDE/>
        <w:autoSpaceDN/>
        <w:bidi w:val="0"/>
        <w:adjustRightInd w:val="0"/>
        <w:snapToGrid w:val="0"/>
        <w:spacing w:line="360" w:lineRule="exact"/>
        <w:ind w:firstLine="482"/>
        <w:rPr>
          <w:rFonts w:hint="eastAsia" w:ascii="仿宋" w:hAnsi="仿宋" w:eastAsia="仿宋" w:cs="仿宋"/>
          <w:b/>
          <w:color w:val="000000"/>
          <w:sz w:val="28"/>
          <w:szCs w:val="28"/>
        </w:rPr>
      </w:pPr>
      <w:r>
        <w:rPr>
          <w:rFonts w:hint="eastAsia" w:ascii="仿宋" w:hAnsi="仿宋" w:eastAsia="仿宋" w:cs="仿宋"/>
          <w:b/>
          <w:color w:val="000000"/>
          <w:sz w:val="28"/>
          <w:szCs w:val="28"/>
        </w:rPr>
        <w:t>二、服务内容</w:t>
      </w:r>
    </w:p>
    <w:p w14:paraId="47DB0EA9">
      <w:pPr>
        <w:pStyle w:val="5"/>
        <w:keepNext w:val="0"/>
        <w:keepLines w:val="0"/>
        <w:pageBreakBefore w:val="0"/>
        <w:kinsoku/>
        <w:wordWrap/>
        <w:overflowPunct/>
        <w:topLinePunct w:val="0"/>
        <w:autoSpaceDE/>
        <w:autoSpaceDN/>
        <w:bidi w:val="0"/>
        <w:adjustRightInd w:val="0"/>
        <w:snapToGrid w:val="0"/>
        <w:spacing w:line="360" w:lineRule="exact"/>
        <w:ind w:firstLine="480"/>
        <w:rPr>
          <w:rFonts w:hint="eastAsia" w:ascii="仿宋" w:hAnsi="仿宋" w:eastAsia="仿宋" w:cs="仿宋"/>
          <w:bCs/>
          <w:color w:val="000000"/>
          <w:sz w:val="28"/>
          <w:szCs w:val="28"/>
        </w:rPr>
      </w:pPr>
      <w:r>
        <w:rPr>
          <w:rFonts w:hint="eastAsia" w:ascii="仿宋" w:hAnsi="仿宋" w:eastAsia="仿宋" w:cs="仿宋"/>
          <w:bCs/>
          <w:color w:val="000000"/>
          <w:sz w:val="28"/>
          <w:szCs w:val="28"/>
          <w:lang w:eastAsia="zh-CN"/>
        </w:rPr>
        <w:t>1.</w:t>
      </w:r>
      <w:r>
        <w:rPr>
          <w:rFonts w:hint="eastAsia" w:ascii="仿宋" w:hAnsi="仿宋" w:eastAsia="仿宋" w:cs="仿宋"/>
          <w:bCs/>
          <w:color w:val="000000"/>
          <w:sz w:val="28"/>
          <w:szCs w:val="28"/>
        </w:rPr>
        <w:t>负责每天至少2次定时定点收运北院区内产生的其他垃圾，以及清洁院区周边环境，以保证院区卫生。</w:t>
      </w:r>
    </w:p>
    <w:p w14:paraId="3A89BD81">
      <w:pPr>
        <w:pStyle w:val="5"/>
        <w:keepNext w:val="0"/>
        <w:keepLines w:val="0"/>
        <w:pageBreakBefore w:val="0"/>
        <w:kinsoku/>
        <w:wordWrap/>
        <w:overflowPunct/>
        <w:topLinePunct w:val="0"/>
        <w:autoSpaceDE/>
        <w:autoSpaceDN/>
        <w:bidi w:val="0"/>
        <w:adjustRightInd w:val="0"/>
        <w:snapToGrid w:val="0"/>
        <w:spacing w:line="360" w:lineRule="exact"/>
        <w:ind w:firstLine="480"/>
        <w:rPr>
          <w:rFonts w:hint="eastAsia" w:ascii="仿宋" w:hAnsi="仿宋" w:eastAsia="仿宋" w:cs="仿宋"/>
          <w:bCs/>
          <w:color w:val="000000"/>
          <w:sz w:val="28"/>
          <w:szCs w:val="28"/>
        </w:rPr>
      </w:pPr>
      <w:r>
        <w:rPr>
          <w:rFonts w:hint="eastAsia" w:ascii="仿宋" w:hAnsi="仿宋" w:eastAsia="仿宋" w:cs="仿宋"/>
          <w:bCs/>
          <w:color w:val="000000"/>
          <w:sz w:val="28"/>
          <w:szCs w:val="28"/>
          <w:lang w:eastAsia="zh-CN"/>
        </w:rPr>
        <w:t>2.</w:t>
      </w:r>
      <w:r>
        <w:rPr>
          <w:rFonts w:hint="eastAsia" w:ascii="仿宋" w:hAnsi="仿宋" w:eastAsia="仿宋" w:cs="仿宋"/>
          <w:bCs/>
          <w:color w:val="000000"/>
          <w:sz w:val="28"/>
          <w:szCs w:val="28"/>
        </w:rPr>
        <w:t>负责每天至少1次定时定点收运北院区内产生的厨余垃圾及垃圾装卸区周边环境清洁，保证卫生。</w:t>
      </w:r>
    </w:p>
    <w:p w14:paraId="6B494522">
      <w:pPr>
        <w:pStyle w:val="5"/>
        <w:keepNext w:val="0"/>
        <w:keepLines w:val="0"/>
        <w:pageBreakBefore w:val="0"/>
        <w:kinsoku/>
        <w:wordWrap/>
        <w:overflowPunct/>
        <w:topLinePunct w:val="0"/>
        <w:autoSpaceDE/>
        <w:autoSpaceDN/>
        <w:bidi w:val="0"/>
        <w:adjustRightInd w:val="0"/>
        <w:snapToGrid w:val="0"/>
        <w:spacing w:line="360" w:lineRule="exact"/>
        <w:ind w:firstLine="480"/>
        <w:rPr>
          <w:rFonts w:hint="eastAsia" w:ascii="仿宋" w:hAnsi="仿宋" w:eastAsia="仿宋" w:cs="仿宋"/>
          <w:bCs/>
          <w:color w:val="000000"/>
          <w:sz w:val="28"/>
          <w:szCs w:val="28"/>
        </w:rPr>
      </w:pPr>
      <w:r>
        <w:rPr>
          <w:rFonts w:hint="eastAsia" w:ascii="仿宋" w:hAnsi="仿宋" w:eastAsia="仿宋" w:cs="仿宋"/>
          <w:bCs/>
          <w:color w:val="000000"/>
          <w:sz w:val="28"/>
          <w:szCs w:val="28"/>
          <w:lang w:eastAsia="zh-CN"/>
        </w:rPr>
        <w:t>3.</w:t>
      </w:r>
      <w:r>
        <w:rPr>
          <w:rFonts w:hint="eastAsia" w:ascii="仿宋" w:hAnsi="仿宋" w:eastAsia="仿宋" w:cs="仿宋"/>
          <w:bCs/>
          <w:color w:val="000000"/>
          <w:sz w:val="28"/>
          <w:szCs w:val="28"/>
        </w:rPr>
        <w:t>根据用户要求及时收运有害垃圾、小件家具木头、小件绿化垃圾。</w:t>
      </w:r>
    </w:p>
    <w:p w14:paraId="48A153DE">
      <w:pPr>
        <w:pStyle w:val="5"/>
        <w:keepNext w:val="0"/>
        <w:keepLines w:val="0"/>
        <w:pageBreakBefore w:val="0"/>
        <w:kinsoku/>
        <w:wordWrap/>
        <w:overflowPunct/>
        <w:topLinePunct w:val="0"/>
        <w:autoSpaceDE/>
        <w:autoSpaceDN/>
        <w:bidi w:val="0"/>
        <w:adjustRightInd w:val="0"/>
        <w:snapToGrid w:val="0"/>
        <w:spacing w:line="360" w:lineRule="exact"/>
        <w:ind w:firstLine="482"/>
        <w:rPr>
          <w:rFonts w:hint="eastAsia" w:ascii="仿宋" w:hAnsi="仿宋" w:eastAsia="仿宋" w:cs="仿宋"/>
          <w:b/>
          <w:color w:val="000000"/>
          <w:sz w:val="28"/>
          <w:szCs w:val="28"/>
        </w:rPr>
      </w:pPr>
      <w:r>
        <w:rPr>
          <w:rFonts w:hint="eastAsia" w:ascii="仿宋" w:hAnsi="仿宋" w:eastAsia="仿宋" w:cs="仿宋"/>
          <w:b/>
          <w:color w:val="000000"/>
          <w:sz w:val="28"/>
          <w:szCs w:val="28"/>
        </w:rPr>
        <w:t>三、项目范围及内容</w:t>
      </w:r>
    </w:p>
    <w:p w14:paraId="2529930C">
      <w:pPr>
        <w:pStyle w:val="5"/>
        <w:keepNext w:val="0"/>
        <w:keepLines w:val="0"/>
        <w:pageBreakBefore w:val="0"/>
        <w:kinsoku/>
        <w:wordWrap/>
        <w:overflowPunct/>
        <w:topLinePunct w:val="0"/>
        <w:autoSpaceDE/>
        <w:autoSpaceDN/>
        <w:bidi w:val="0"/>
        <w:adjustRightInd w:val="0"/>
        <w:snapToGrid w:val="0"/>
        <w:spacing w:line="360" w:lineRule="exact"/>
        <w:ind w:firstLine="480"/>
        <w:rPr>
          <w:rFonts w:hint="eastAsia" w:ascii="仿宋" w:hAnsi="仿宋" w:eastAsia="仿宋" w:cs="仿宋"/>
          <w:bCs/>
          <w:color w:val="000000"/>
          <w:sz w:val="28"/>
          <w:szCs w:val="28"/>
        </w:rPr>
      </w:pPr>
      <w:r>
        <w:rPr>
          <w:rFonts w:hint="eastAsia" w:ascii="仿宋" w:hAnsi="仿宋" w:eastAsia="仿宋" w:cs="仿宋"/>
          <w:bCs/>
          <w:color w:val="000000"/>
          <w:sz w:val="28"/>
          <w:szCs w:val="28"/>
          <w:lang w:eastAsia="zh-CN"/>
        </w:rPr>
        <w:t>1.</w:t>
      </w:r>
      <w:r>
        <w:rPr>
          <w:rFonts w:hint="eastAsia" w:ascii="仿宋" w:hAnsi="仿宋" w:eastAsia="仿宋" w:cs="仿宋"/>
          <w:bCs/>
          <w:color w:val="000000"/>
          <w:sz w:val="28"/>
          <w:szCs w:val="28"/>
        </w:rPr>
        <w:t>总体要求：本项目应参照相关法律法规满足采购人需求，为采购人提供北院区生活垃圾收运处置服务方案。</w:t>
      </w:r>
    </w:p>
    <w:p w14:paraId="3A65DAAB">
      <w:pPr>
        <w:pStyle w:val="5"/>
        <w:keepNext w:val="0"/>
        <w:keepLines w:val="0"/>
        <w:pageBreakBefore w:val="0"/>
        <w:kinsoku/>
        <w:wordWrap/>
        <w:overflowPunct/>
        <w:topLinePunct w:val="0"/>
        <w:autoSpaceDE/>
        <w:autoSpaceDN/>
        <w:bidi w:val="0"/>
        <w:adjustRightInd w:val="0"/>
        <w:snapToGrid w:val="0"/>
        <w:spacing w:line="360" w:lineRule="exact"/>
        <w:ind w:firstLine="480"/>
        <w:rPr>
          <w:rFonts w:hint="eastAsia" w:ascii="仿宋" w:hAnsi="仿宋" w:eastAsia="仿宋" w:cs="仿宋"/>
          <w:bCs/>
          <w:color w:val="000000"/>
          <w:sz w:val="28"/>
          <w:szCs w:val="28"/>
        </w:rPr>
      </w:pPr>
      <w:r>
        <w:rPr>
          <w:rFonts w:hint="eastAsia" w:ascii="仿宋" w:hAnsi="仿宋" w:eastAsia="仿宋" w:cs="仿宋"/>
          <w:bCs/>
          <w:color w:val="000000"/>
          <w:sz w:val="28"/>
          <w:szCs w:val="28"/>
          <w:lang w:eastAsia="zh-CN"/>
        </w:rPr>
        <w:t>2.</w:t>
      </w:r>
      <w:r>
        <w:rPr>
          <w:rFonts w:hint="eastAsia" w:ascii="仿宋" w:hAnsi="仿宋" w:eastAsia="仿宋" w:cs="仿宋"/>
          <w:bCs/>
          <w:color w:val="000000"/>
          <w:sz w:val="28"/>
          <w:szCs w:val="28"/>
        </w:rPr>
        <w:t>★生活垃圾收运时间要求：</w:t>
      </w:r>
    </w:p>
    <w:p w14:paraId="6E6E53E4">
      <w:pPr>
        <w:pStyle w:val="5"/>
        <w:keepNext w:val="0"/>
        <w:keepLines w:val="0"/>
        <w:pageBreakBefore w:val="0"/>
        <w:kinsoku/>
        <w:wordWrap/>
        <w:overflowPunct/>
        <w:topLinePunct w:val="0"/>
        <w:autoSpaceDE/>
        <w:autoSpaceDN/>
        <w:bidi w:val="0"/>
        <w:adjustRightInd w:val="0"/>
        <w:snapToGrid w:val="0"/>
        <w:spacing w:line="360" w:lineRule="exact"/>
        <w:ind w:firstLine="480"/>
        <w:rPr>
          <w:rFonts w:hint="eastAsia" w:ascii="仿宋" w:hAnsi="仿宋" w:eastAsia="仿宋" w:cs="仿宋"/>
          <w:bCs/>
          <w:color w:val="000000"/>
          <w:sz w:val="28"/>
          <w:szCs w:val="28"/>
        </w:rPr>
      </w:pPr>
      <w:r>
        <w:rPr>
          <w:rFonts w:hint="eastAsia" w:ascii="仿宋" w:hAnsi="仿宋" w:eastAsia="仿宋" w:cs="仿宋"/>
          <w:bCs/>
          <w:color w:val="000000"/>
          <w:sz w:val="28"/>
          <w:szCs w:val="28"/>
        </w:rPr>
        <w:t>（1）每日至少两次收运其他垃圾（全年无休，具体时间以采购人需求为准），保证日产日清，按时按点收运，如出现特殊情况（如：极端天气、紧急情况等）需提前与采购人做好沟通工作，并提供应急方案。</w:t>
      </w:r>
    </w:p>
    <w:p w14:paraId="701D83D0">
      <w:pPr>
        <w:pStyle w:val="5"/>
        <w:keepNext w:val="0"/>
        <w:keepLines w:val="0"/>
        <w:pageBreakBefore w:val="0"/>
        <w:kinsoku/>
        <w:wordWrap/>
        <w:overflowPunct/>
        <w:topLinePunct w:val="0"/>
        <w:autoSpaceDE/>
        <w:autoSpaceDN/>
        <w:bidi w:val="0"/>
        <w:adjustRightInd w:val="0"/>
        <w:snapToGrid w:val="0"/>
        <w:spacing w:line="360" w:lineRule="exact"/>
        <w:ind w:firstLine="480"/>
        <w:rPr>
          <w:rFonts w:hint="eastAsia" w:ascii="仿宋" w:hAnsi="仿宋" w:eastAsia="仿宋" w:cs="仿宋"/>
          <w:bCs/>
          <w:color w:val="000000"/>
          <w:sz w:val="28"/>
          <w:szCs w:val="28"/>
        </w:rPr>
      </w:pPr>
      <w:r>
        <w:rPr>
          <w:rFonts w:hint="eastAsia" w:ascii="仿宋" w:hAnsi="仿宋" w:eastAsia="仿宋" w:cs="仿宋"/>
          <w:bCs/>
          <w:color w:val="000000"/>
          <w:sz w:val="28"/>
          <w:szCs w:val="28"/>
        </w:rPr>
        <w:t>（2）厨余垃圾应于当天饭堂晚餐后（或按采购人要求时间）收运，保证日产日清，收走厨余垃圾后需及时对垃圾装卸区周边环境进行清洁，如出现特殊情况（如：极端天气、紧急情况等）需提前与采购人做好沟通工作，并提供应急方案。</w:t>
      </w:r>
    </w:p>
    <w:p w14:paraId="2E06F84D">
      <w:pPr>
        <w:pStyle w:val="5"/>
        <w:keepNext w:val="0"/>
        <w:keepLines w:val="0"/>
        <w:pageBreakBefore w:val="0"/>
        <w:kinsoku/>
        <w:wordWrap/>
        <w:overflowPunct/>
        <w:topLinePunct w:val="0"/>
        <w:autoSpaceDE/>
        <w:autoSpaceDN/>
        <w:bidi w:val="0"/>
        <w:adjustRightInd w:val="0"/>
        <w:snapToGrid w:val="0"/>
        <w:spacing w:line="360" w:lineRule="exact"/>
        <w:ind w:firstLine="480"/>
        <w:rPr>
          <w:rFonts w:hint="eastAsia" w:ascii="仿宋" w:hAnsi="仿宋" w:eastAsia="仿宋" w:cs="仿宋"/>
          <w:bCs/>
          <w:color w:val="000000"/>
          <w:sz w:val="28"/>
          <w:szCs w:val="28"/>
        </w:rPr>
      </w:pPr>
      <w:r>
        <w:rPr>
          <w:rFonts w:hint="eastAsia" w:ascii="仿宋" w:hAnsi="仿宋" w:eastAsia="仿宋" w:cs="仿宋"/>
          <w:bCs/>
          <w:color w:val="000000"/>
          <w:sz w:val="28"/>
          <w:szCs w:val="28"/>
        </w:rPr>
        <w:t>（3）有害垃圾、小件家具木头、小件绿化垃圾根据采购人的要求及时清运处置</w:t>
      </w:r>
    </w:p>
    <w:p w14:paraId="6C38E9C7">
      <w:pPr>
        <w:pStyle w:val="5"/>
        <w:keepNext w:val="0"/>
        <w:keepLines w:val="0"/>
        <w:pageBreakBefore w:val="0"/>
        <w:kinsoku/>
        <w:wordWrap/>
        <w:overflowPunct/>
        <w:topLinePunct w:val="0"/>
        <w:autoSpaceDE/>
        <w:autoSpaceDN/>
        <w:bidi w:val="0"/>
        <w:adjustRightInd w:val="0"/>
        <w:snapToGrid w:val="0"/>
        <w:spacing w:line="360" w:lineRule="exact"/>
        <w:ind w:firstLine="480"/>
        <w:rPr>
          <w:rFonts w:hint="eastAsia" w:ascii="仿宋" w:hAnsi="仿宋" w:eastAsia="仿宋" w:cs="仿宋"/>
          <w:bCs/>
          <w:color w:val="000000"/>
          <w:sz w:val="28"/>
          <w:szCs w:val="28"/>
        </w:rPr>
      </w:pPr>
      <w:r>
        <w:rPr>
          <w:rFonts w:hint="eastAsia" w:ascii="仿宋" w:hAnsi="仿宋" w:eastAsia="仿宋" w:cs="仿宋"/>
          <w:bCs/>
          <w:color w:val="000000"/>
          <w:sz w:val="28"/>
          <w:szCs w:val="28"/>
        </w:rPr>
        <w:t>3.供应商需执行《广州市城市管理和综合执法局广州市发展和改革委员会关于收取城市生活垃圾处理费和清洁卫生费的通告》（穗城管规字〔2022〕1号）、《广东省城乡生活垃圾管理条例</w:t>
      </w:r>
      <w:r>
        <w:rPr>
          <w:rFonts w:hint="eastAsia" w:ascii="仿宋" w:hAnsi="仿宋" w:eastAsia="仿宋" w:cs="仿宋"/>
          <w:bCs/>
          <w:color w:val="000000"/>
          <w:sz w:val="28"/>
          <w:szCs w:val="28"/>
          <w:lang w:eastAsia="zh-CN"/>
        </w:rPr>
        <w:t>》《</w:t>
      </w:r>
      <w:r>
        <w:rPr>
          <w:rFonts w:hint="eastAsia" w:ascii="仿宋" w:hAnsi="仿宋" w:eastAsia="仿宋" w:cs="仿宋"/>
          <w:bCs/>
          <w:color w:val="000000"/>
          <w:sz w:val="28"/>
          <w:szCs w:val="28"/>
        </w:rPr>
        <w:t>广州市市容环境卫生管理规定》的有关规定。</w:t>
      </w:r>
    </w:p>
    <w:p w14:paraId="45C8F072">
      <w:pPr>
        <w:pStyle w:val="5"/>
        <w:keepNext w:val="0"/>
        <w:keepLines w:val="0"/>
        <w:pageBreakBefore w:val="0"/>
        <w:kinsoku/>
        <w:wordWrap/>
        <w:overflowPunct/>
        <w:topLinePunct w:val="0"/>
        <w:autoSpaceDE/>
        <w:autoSpaceDN/>
        <w:bidi w:val="0"/>
        <w:adjustRightInd w:val="0"/>
        <w:snapToGrid w:val="0"/>
        <w:spacing w:line="360" w:lineRule="exact"/>
        <w:ind w:firstLine="480"/>
        <w:rPr>
          <w:rFonts w:hint="eastAsia" w:ascii="仿宋" w:hAnsi="仿宋" w:eastAsia="仿宋" w:cs="仿宋"/>
          <w:bCs/>
          <w:sz w:val="28"/>
          <w:szCs w:val="28"/>
        </w:rPr>
      </w:pPr>
      <w:r>
        <w:rPr>
          <w:rFonts w:hint="eastAsia" w:ascii="仿宋" w:hAnsi="仿宋" w:eastAsia="仿宋" w:cs="仿宋"/>
          <w:bCs/>
          <w:color w:val="000000"/>
          <w:sz w:val="28"/>
          <w:szCs w:val="28"/>
        </w:rPr>
        <w:t>4</w:t>
      </w:r>
      <w:r>
        <w:rPr>
          <w:rFonts w:ascii="仿宋" w:hAnsi="仿宋" w:eastAsia="仿宋" w:cs="仿宋"/>
          <w:bCs/>
          <w:color w:val="000000"/>
          <w:sz w:val="28"/>
          <w:szCs w:val="28"/>
        </w:rPr>
        <w:t>.收运</w:t>
      </w:r>
      <w:r>
        <w:rPr>
          <w:rFonts w:hint="eastAsia" w:ascii="仿宋" w:hAnsi="仿宋" w:eastAsia="仿宋" w:cs="仿宋"/>
          <w:bCs/>
          <w:color w:val="000000"/>
          <w:sz w:val="28"/>
          <w:szCs w:val="28"/>
        </w:rPr>
        <w:t>生活垃圾</w:t>
      </w:r>
      <w:r>
        <w:rPr>
          <w:rFonts w:ascii="仿宋" w:hAnsi="仿宋" w:eastAsia="仿宋" w:cs="仿宋"/>
          <w:bCs/>
          <w:color w:val="000000"/>
          <w:sz w:val="28"/>
          <w:szCs w:val="28"/>
        </w:rPr>
        <w:t>的路线不影响采购人其他工作的正常运行</w:t>
      </w:r>
      <w:r>
        <w:rPr>
          <w:rFonts w:hint="eastAsia" w:ascii="仿宋" w:hAnsi="仿宋" w:eastAsia="仿宋" w:cs="仿宋"/>
          <w:bCs/>
          <w:color w:val="000000"/>
          <w:sz w:val="28"/>
          <w:szCs w:val="28"/>
        </w:rPr>
        <w:t>。供应商提供的清运车辆需符合相关职能部门的审批要求，有防污水滴漏装置，车箱体密封性好，确保运输过程中无跑冒滴漏，垃圾夹带、拖挂现象。服务期内，供应商不得以车辆故障、事故、塞车等理由，造成垃圾积存、</w:t>
      </w:r>
      <w:r>
        <w:rPr>
          <w:rFonts w:hint="eastAsia" w:ascii="仿宋" w:hAnsi="仿宋" w:eastAsia="仿宋" w:cs="仿宋"/>
          <w:bCs/>
          <w:sz w:val="28"/>
          <w:szCs w:val="28"/>
        </w:rPr>
        <w:t>清运不及时等情况。供应商建立健全应急处理机制，如出现车辆机油和运输物等撒漏现象以及其他突发情况，供应商必须采取应急措施科学处理。</w:t>
      </w:r>
    </w:p>
    <w:p w14:paraId="2872254F">
      <w:pPr>
        <w:pStyle w:val="5"/>
        <w:keepNext w:val="0"/>
        <w:keepLines w:val="0"/>
        <w:pageBreakBefore w:val="0"/>
        <w:kinsoku/>
        <w:wordWrap/>
        <w:overflowPunct/>
        <w:topLinePunct w:val="0"/>
        <w:autoSpaceDE/>
        <w:autoSpaceDN/>
        <w:bidi w:val="0"/>
        <w:adjustRightInd w:val="0"/>
        <w:snapToGrid w:val="0"/>
        <w:spacing w:line="360" w:lineRule="exact"/>
        <w:ind w:firstLine="480"/>
        <w:rPr>
          <w:rFonts w:hint="eastAsia" w:ascii="仿宋" w:hAnsi="仿宋" w:eastAsia="仿宋" w:cs="仿宋"/>
          <w:bCs/>
          <w:sz w:val="28"/>
          <w:szCs w:val="28"/>
        </w:rPr>
      </w:pPr>
      <w:r>
        <w:rPr>
          <w:rFonts w:hint="eastAsia" w:ascii="仿宋" w:hAnsi="仿宋" w:eastAsia="仿宋" w:cs="仿宋"/>
          <w:bCs/>
          <w:sz w:val="28"/>
          <w:szCs w:val="28"/>
        </w:rPr>
        <w:t>5.服务期内，供应商</w:t>
      </w:r>
      <w:r>
        <w:rPr>
          <w:rFonts w:ascii="仿宋" w:hAnsi="仿宋" w:eastAsia="仿宋" w:cs="仿宋"/>
          <w:bCs/>
          <w:sz w:val="28"/>
          <w:szCs w:val="28"/>
        </w:rPr>
        <w:t>按环卫行业对城市垃圾收运作业规范，做好服务人员的人身安全、交通安全工作，统一工作服、工作帽，收运时做到文明操作</w:t>
      </w:r>
      <w:r>
        <w:rPr>
          <w:rFonts w:hint="eastAsia" w:ascii="仿宋" w:hAnsi="仿宋" w:eastAsia="仿宋" w:cs="仿宋"/>
          <w:bCs/>
          <w:sz w:val="28"/>
          <w:szCs w:val="28"/>
        </w:rPr>
        <w:t>。服务人员推送垃圾桶时应轻拿轻放，禁止脚踢、抛甩垃圾桶。作业结束后，应将垃圾桶归位，盖好桶盖，清理散落垃圾，确保收集点及其周边干净整洁。</w:t>
      </w:r>
      <w:r>
        <w:rPr>
          <w:rFonts w:ascii="仿宋" w:hAnsi="仿宋" w:eastAsia="仿宋" w:cs="仿宋"/>
          <w:bCs/>
          <w:sz w:val="28"/>
          <w:szCs w:val="28"/>
        </w:rPr>
        <w:t>如因</w:t>
      </w:r>
      <w:r>
        <w:rPr>
          <w:rFonts w:hint="eastAsia" w:ascii="仿宋" w:hAnsi="仿宋" w:eastAsia="仿宋" w:cs="仿宋"/>
          <w:bCs/>
          <w:sz w:val="28"/>
          <w:szCs w:val="28"/>
        </w:rPr>
        <w:t>供应商</w:t>
      </w:r>
      <w:r>
        <w:rPr>
          <w:rFonts w:ascii="仿宋" w:hAnsi="仿宋" w:eastAsia="仿宋" w:cs="仿宋"/>
          <w:bCs/>
          <w:sz w:val="28"/>
          <w:szCs w:val="28"/>
        </w:rPr>
        <w:t>原因造成的安全事件，包括但不限于院内病人或职工的安全问题、采购人设施设备损坏等均由</w:t>
      </w:r>
      <w:r>
        <w:rPr>
          <w:rFonts w:hint="eastAsia" w:ascii="仿宋" w:hAnsi="仿宋" w:eastAsia="仿宋" w:cs="仿宋"/>
          <w:bCs/>
          <w:sz w:val="28"/>
          <w:szCs w:val="28"/>
        </w:rPr>
        <w:t>供应商</w:t>
      </w:r>
      <w:r>
        <w:rPr>
          <w:rFonts w:ascii="仿宋" w:hAnsi="仿宋" w:eastAsia="仿宋" w:cs="仿宋"/>
          <w:bCs/>
          <w:sz w:val="28"/>
          <w:szCs w:val="28"/>
        </w:rPr>
        <w:t>负责赔偿。</w:t>
      </w:r>
    </w:p>
    <w:p w14:paraId="6875BCDB">
      <w:pPr>
        <w:pStyle w:val="5"/>
        <w:keepNext w:val="0"/>
        <w:keepLines w:val="0"/>
        <w:pageBreakBefore w:val="0"/>
        <w:kinsoku/>
        <w:wordWrap/>
        <w:overflowPunct/>
        <w:topLinePunct w:val="0"/>
        <w:autoSpaceDE/>
        <w:autoSpaceDN/>
        <w:bidi w:val="0"/>
        <w:adjustRightInd w:val="0"/>
        <w:snapToGrid w:val="0"/>
        <w:spacing w:line="360" w:lineRule="exact"/>
        <w:ind w:firstLine="480"/>
        <w:rPr>
          <w:rFonts w:hint="eastAsia" w:ascii="仿宋" w:hAnsi="仿宋" w:eastAsia="仿宋" w:cs="仿宋"/>
          <w:bCs/>
          <w:sz w:val="28"/>
          <w:szCs w:val="28"/>
        </w:rPr>
      </w:pPr>
      <w:r>
        <w:rPr>
          <w:rFonts w:hint="eastAsia" w:ascii="仿宋" w:hAnsi="仿宋" w:eastAsia="仿宋" w:cs="仿宋"/>
          <w:bCs/>
          <w:sz w:val="28"/>
          <w:szCs w:val="28"/>
        </w:rPr>
        <w:t>6.在收运生活垃圾过程中，供应商配合采购人按要求如实对其他垃圾、厨余垃圾、有害垃圾收运数据进行记录、核对和归档</w:t>
      </w:r>
      <w:r>
        <w:rPr>
          <w:rFonts w:hint="eastAsia" w:ascii="仿宋" w:hAnsi="仿宋" w:eastAsia="仿宋" w:cs="仿宋"/>
          <w:bCs/>
          <w:sz w:val="28"/>
          <w:szCs w:val="28"/>
          <w:lang w:eastAsia="zh-CN"/>
        </w:rPr>
        <w:t>，</w:t>
      </w:r>
      <w:r>
        <w:rPr>
          <w:rFonts w:hint="eastAsia" w:ascii="仿宋" w:hAnsi="仿宋" w:eastAsia="仿宋" w:cs="仿宋"/>
          <w:bCs/>
          <w:sz w:val="28"/>
          <w:szCs w:val="28"/>
        </w:rPr>
        <w:t>所有收集的生活垃圾必须清运至正规的垃圾处理场进行集中无害化处理或交由市政府确定的合法单位统一收运处理。</w:t>
      </w:r>
    </w:p>
    <w:p w14:paraId="05E5E4C1">
      <w:pPr>
        <w:pStyle w:val="5"/>
        <w:keepNext w:val="0"/>
        <w:keepLines w:val="0"/>
        <w:pageBreakBefore w:val="0"/>
        <w:kinsoku/>
        <w:wordWrap/>
        <w:overflowPunct/>
        <w:topLinePunct w:val="0"/>
        <w:autoSpaceDE/>
        <w:autoSpaceDN/>
        <w:bidi w:val="0"/>
        <w:adjustRightInd w:val="0"/>
        <w:snapToGrid w:val="0"/>
        <w:spacing w:line="360" w:lineRule="exact"/>
        <w:ind w:firstLine="480"/>
        <w:rPr>
          <w:rFonts w:hint="eastAsia" w:ascii="仿宋" w:hAnsi="仿宋" w:eastAsia="仿宋" w:cs="仿宋"/>
          <w:bCs/>
          <w:sz w:val="28"/>
          <w:szCs w:val="28"/>
        </w:rPr>
      </w:pPr>
      <w:r>
        <w:rPr>
          <w:rFonts w:hint="eastAsia" w:ascii="仿宋" w:hAnsi="仿宋" w:eastAsia="仿宋" w:cs="仿宋"/>
          <w:bCs/>
          <w:sz w:val="28"/>
          <w:szCs w:val="28"/>
        </w:rPr>
        <w:t>7.如遇采购人迎检等情况，供应商在接到采购人通知后需积极配合收运生活垃圾。</w:t>
      </w:r>
    </w:p>
    <w:p w14:paraId="302C904F">
      <w:pPr>
        <w:pStyle w:val="5"/>
        <w:keepNext w:val="0"/>
        <w:keepLines w:val="0"/>
        <w:pageBreakBefore w:val="0"/>
        <w:kinsoku/>
        <w:wordWrap/>
        <w:overflowPunct/>
        <w:topLinePunct w:val="0"/>
        <w:autoSpaceDE/>
        <w:autoSpaceDN/>
        <w:bidi w:val="0"/>
        <w:adjustRightInd w:val="0"/>
        <w:snapToGrid w:val="0"/>
        <w:spacing w:line="360" w:lineRule="exact"/>
        <w:ind w:firstLine="480"/>
        <w:rPr>
          <w:rFonts w:hint="eastAsia" w:ascii="仿宋" w:hAnsi="仿宋" w:eastAsia="仿宋" w:cs="仿宋"/>
          <w:bCs/>
          <w:sz w:val="28"/>
          <w:szCs w:val="28"/>
        </w:rPr>
      </w:pPr>
      <w:r>
        <w:rPr>
          <w:rFonts w:hint="eastAsia" w:ascii="仿宋" w:hAnsi="仿宋" w:eastAsia="仿宋" w:cs="仿宋"/>
          <w:bCs/>
          <w:sz w:val="28"/>
          <w:szCs w:val="28"/>
        </w:rPr>
        <w:t>8.供应商只对采购人的其他垃圾、厨余垃圾、有害垃圾、小件家具木头、小件绿化垃圾进行收运，除此之外的垃圾一律不作收运。采购人须严格执行《广州市生活垃圾分类管理条例》，熟悉垃圾分类相关知识，保证所投放垃圾的精准度达到垃圾分类的要求标准。</w:t>
      </w:r>
    </w:p>
    <w:p w14:paraId="10D48A2C">
      <w:pPr>
        <w:pStyle w:val="5"/>
        <w:keepNext w:val="0"/>
        <w:keepLines w:val="0"/>
        <w:pageBreakBefore w:val="0"/>
        <w:kinsoku/>
        <w:wordWrap/>
        <w:overflowPunct/>
        <w:topLinePunct w:val="0"/>
        <w:autoSpaceDE/>
        <w:autoSpaceDN/>
        <w:bidi w:val="0"/>
        <w:adjustRightInd w:val="0"/>
        <w:snapToGrid w:val="0"/>
        <w:spacing w:line="360" w:lineRule="exact"/>
        <w:ind w:firstLine="480"/>
        <w:rPr>
          <w:rFonts w:hint="eastAsia" w:ascii="仿宋" w:hAnsi="仿宋" w:eastAsia="仿宋" w:cs="仿宋"/>
          <w:bCs/>
          <w:sz w:val="28"/>
          <w:szCs w:val="28"/>
        </w:rPr>
      </w:pPr>
      <w:r>
        <w:rPr>
          <w:rFonts w:hint="eastAsia" w:ascii="仿宋" w:hAnsi="仿宋" w:eastAsia="仿宋" w:cs="仿宋"/>
          <w:bCs/>
          <w:sz w:val="28"/>
          <w:szCs w:val="28"/>
        </w:rPr>
        <w:t>9.若有其他自然灾害等不可抗力因素导致无法收运生活垃圾时，供应商需及时与采购人报备原因和提供后续解决方案。</w:t>
      </w:r>
    </w:p>
    <w:p w14:paraId="0BEED88B">
      <w:pPr>
        <w:pStyle w:val="5"/>
        <w:keepNext w:val="0"/>
        <w:keepLines w:val="0"/>
        <w:pageBreakBefore w:val="0"/>
        <w:kinsoku/>
        <w:wordWrap/>
        <w:overflowPunct/>
        <w:topLinePunct w:val="0"/>
        <w:autoSpaceDE/>
        <w:autoSpaceDN/>
        <w:bidi w:val="0"/>
        <w:adjustRightInd w:val="0"/>
        <w:snapToGrid w:val="0"/>
        <w:spacing w:line="360" w:lineRule="exact"/>
        <w:ind w:firstLine="480"/>
        <w:jc w:val="left"/>
        <w:rPr>
          <w:rFonts w:hint="eastAsia" w:ascii="仿宋" w:hAnsi="仿宋" w:eastAsia="仿宋" w:cs="仿宋"/>
          <w:bCs/>
          <w:sz w:val="28"/>
          <w:szCs w:val="28"/>
        </w:rPr>
      </w:pPr>
      <w:r>
        <w:rPr>
          <w:rFonts w:hint="eastAsia" w:ascii="仿宋" w:hAnsi="仿宋" w:eastAsia="仿宋" w:cs="仿宋"/>
          <w:bCs/>
          <w:sz w:val="28"/>
          <w:szCs w:val="28"/>
          <w:lang w:eastAsia="zh-CN"/>
        </w:rPr>
        <w:t>10.</w:t>
      </w:r>
      <w:r>
        <w:rPr>
          <w:rFonts w:hint="eastAsia" w:ascii="仿宋" w:hAnsi="仿宋" w:eastAsia="仿宋" w:cs="仿宋"/>
          <w:bCs/>
          <w:sz w:val="28"/>
          <w:szCs w:val="28"/>
        </w:rPr>
        <w:t>采购人负责对管辖区域的垃圾进行清扫、收集及保洁，采购人所产生的生活垃圾，必须按市政府相关要求，将生活垃圾密封打包好，放在经双方确认的垃圾转运点，由供应商每天负责收运。</w:t>
      </w:r>
    </w:p>
    <w:p w14:paraId="3776AADA">
      <w:pPr>
        <w:pStyle w:val="5"/>
        <w:keepNext w:val="0"/>
        <w:keepLines w:val="0"/>
        <w:pageBreakBefore w:val="0"/>
        <w:kinsoku/>
        <w:wordWrap/>
        <w:overflowPunct/>
        <w:topLinePunct w:val="0"/>
        <w:autoSpaceDE/>
        <w:autoSpaceDN/>
        <w:bidi w:val="0"/>
        <w:adjustRightInd w:val="0"/>
        <w:snapToGrid w:val="0"/>
        <w:spacing w:line="360" w:lineRule="exact"/>
        <w:ind w:firstLine="480"/>
        <w:rPr>
          <w:rFonts w:hint="eastAsia" w:ascii="仿宋" w:hAnsi="仿宋" w:eastAsia="仿宋" w:cs="仿宋"/>
          <w:bCs/>
          <w:sz w:val="28"/>
          <w:szCs w:val="28"/>
        </w:rPr>
      </w:pPr>
      <w:r>
        <w:rPr>
          <w:rFonts w:hint="eastAsia" w:ascii="仿宋" w:hAnsi="仿宋" w:eastAsia="仿宋" w:cs="仿宋"/>
          <w:bCs/>
          <w:sz w:val="28"/>
          <w:szCs w:val="28"/>
          <w:lang w:eastAsia="zh-CN"/>
        </w:rPr>
        <w:t>11.</w:t>
      </w:r>
      <w:r>
        <w:rPr>
          <w:rFonts w:hint="eastAsia" w:ascii="仿宋" w:hAnsi="仿宋" w:eastAsia="仿宋" w:cs="仿宋"/>
          <w:bCs/>
          <w:sz w:val="28"/>
          <w:szCs w:val="28"/>
        </w:rPr>
        <w:t>采购人生活垃圾和医疗废物不能混合放入垃圾桶内，必须分开储放，以便供应商清运。</w:t>
      </w:r>
    </w:p>
    <w:p w14:paraId="578F793A">
      <w:pPr>
        <w:pStyle w:val="5"/>
        <w:keepNext w:val="0"/>
        <w:keepLines w:val="0"/>
        <w:pageBreakBefore w:val="0"/>
        <w:kinsoku/>
        <w:wordWrap/>
        <w:overflowPunct/>
        <w:topLinePunct w:val="0"/>
        <w:autoSpaceDE/>
        <w:autoSpaceDN/>
        <w:bidi w:val="0"/>
        <w:adjustRightInd w:val="0"/>
        <w:snapToGrid w:val="0"/>
        <w:spacing w:line="360" w:lineRule="exact"/>
        <w:ind w:firstLine="480"/>
        <w:jc w:val="left"/>
        <w:rPr>
          <w:rFonts w:hint="eastAsia" w:ascii="仿宋" w:hAnsi="仿宋" w:eastAsia="仿宋" w:cs="仿宋"/>
          <w:bCs/>
          <w:color w:val="000000"/>
          <w:sz w:val="28"/>
          <w:szCs w:val="28"/>
        </w:rPr>
      </w:pPr>
      <w:r>
        <w:rPr>
          <w:rFonts w:hint="eastAsia" w:ascii="仿宋" w:hAnsi="仿宋" w:eastAsia="仿宋" w:cs="仿宋"/>
          <w:bCs/>
          <w:sz w:val="28"/>
          <w:szCs w:val="28"/>
          <w:lang w:eastAsia="zh-CN"/>
        </w:rPr>
        <w:t>12.</w:t>
      </w:r>
      <w:r>
        <w:rPr>
          <w:rFonts w:hint="eastAsia" w:ascii="仿宋" w:hAnsi="仿宋" w:eastAsia="仿宋" w:cs="仿宋"/>
          <w:bCs/>
          <w:sz w:val="28"/>
          <w:szCs w:val="28"/>
        </w:rPr>
        <w:t>采购人须遵守市容法规相关规定，不得将垃圾桶摆放在本单位红线以外的路边，垃圾桶点要设在本单位红线内的集放间，便于车辆装载作业的位置，采购人门卫人员应对垃圾车的</w:t>
      </w:r>
      <w:r>
        <w:rPr>
          <w:rFonts w:hint="eastAsia" w:ascii="仿宋" w:hAnsi="仿宋" w:eastAsia="仿宋" w:cs="仿宋"/>
          <w:bCs/>
          <w:color w:val="000000"/>
          <w:sz w:val="28"/>
          <w:szCs w:val="28"/>
        </w:rPr>
        <w:t>进出提供方便。</w:t>
      </w:r>
    </w:p>
    <w:p w14:paraId="554B89A7">
      <w:pPr>
        <w:pStyle w:val="5"/>
        <w:keepNext w:val="0"/>
        <w:keepLines w:val="0"/>
        <w:pageBreakBefore w:val="0"/>
        <w:kinsoku/>
        <w:wordWrap/>
        <w:overflowPunct/>
        <w:topLinePunct w:val="0"/>
        <w:autoSpaceDE/>
        <w:autoSpaceDN/>
        <w:bidi w:val="0"/>
        <w:adjustRightInd w:val="0"/>
        <w:snapToGrid w:val="0"/>
        <w:spacing w:line="360" w:lineRule="exact"/>
        <w:ind w:firstLine="480"/>
        <w:jc w:val="left"/>
        <w:rPr>
          <w:rFonts w:hint="eastAsia" w:ascii="仿宋" w:hAnsi="仿宋" w:eastAsia="仿宋" w:cs="仿宋"/>
          <w:bCs/>
          <w:color w:val="000000"/>
          <w:sz w:val="28"/>
          <w:szCs w:val="28"/>
        </w:rPr>
      </w:pPr>
      <w:r>
        <w:rPr>
          <w:rFonts w:hint="eastAsia" w:ascii="仿宋" w:hAnsi="仿宋" w:eastAsia="仿宋" w:cs="仿宋"/>
          <w:bCs/>
          <w:color w:val="000000"/>
          <w:sz w:val="28"/>
          <w:szCs w:val="28"/>
        </w:rPr>
        <w:t>13.双方自备的垃圾桶容量须符合广州市市容市貌要求统一规格尺寸。</w:t>
      </w:r>
    </w:p>
    <w:p w14:paraId="5F7CDAB0">
      <w:pPr>
        <w:pStyle w:val="5"/>
        <w:keepNext w:val="0"/>
        <w:keepLines w:val="0"/>
        <w:pageBreakBefore w:val="0"/>
        <w:kinsoku/>
        <w:wordWrap/>
        <w:overflowPunct/>
        <w:topLinePunct w:val="0"/>
        <w:autoSpaceDE/>
        <w:autoSpaceDN/>
        <w:bidi w:val="0"/>
        <w:adjustRightInd w:val="0"/>
        <w:snapToGrid w:val="0"/>
        <w:spacing w:line="360" w:lineRule="exact"/>
        <w:ind w:firstLine="482"/>
        <w:rPr>
          <w:rFonts w:hint="eastAsia" w:ascii="仿宋" w:hAnsi="仿宋" w:eastAsia="仿宋" w:cs="仿宋"/>
          <w:b/>
          <w:color w:val="000000"/>
          <w:sz w:val="28"/>
          <w:szCs w:val="28"/>
        </w:rPr>
      </w:pPr>
      <w:r>
        <w:rPr>
          <w:rFonts w:hint="eastAsia" w:ascii="仿宋" w:hAnsi="仿宋" w:eastAsia="仿宋" w:cs="仿宋"/>
          <w:b/>
          <w:color w:val="000000"/>
          <w:sz w:val="28"/>
          <w:szCs w:val="28"/>
        </w:rPr>
        <w:t>四、服务期</w:t>
      </w:r>
    </w:p>
    <w:p w14:paraId="28B1539F">
      <w:pPr>
        <w:pStyle w:val="5"/>
        <w:keepNext w:val="0"/>
        <w:keepLines w:val="0"/>
        <w:pageBreakBefore w:val="0"/>
        <w:kinsoku/>
        <w:wordWrap/>
        <w:overflowPunct/>
        <w:topLinePunct w:val="0"/>
        <w:autoSpaceDE/>
        <w:autoSpaceDN/>
        <w:bidi w:val="0"/>
        <w:adjustRightInd w:val="0"/>
        <w:snapToGrid w:val="0"/>
        <w:spacing w:line="360" w:lineRule="exact"/>
        <w:ind w:firstLine="480"/>
        <w:rPr>
          <w:rFonts w:hint="eastAsia" w:ascii="仿宋" w:hAnsi="仿宋" w:eastAsia="仿宋" w:cs="仿宋"/>
          <w:bCs/>
          <w:color w:val="000000"/>
          <w:sz w:val="28"/>
          <w:szCs w:val="28"/>
        </w:rPr>
      </w:pPr>
      <w:r>
        <w:rPr>
          <w:rFonts w:hint="eastAsia" w:ascii="仿宋" w:hAnsi="仿宋" w:eastAsia="仿宋" w:cs="仿宋"/>
          <w:bCs/>
          <w:color w:val="000000"/>
          <w:sz w:val="28"/>
          <w:szCs w:val="28"/>
        </w:rPr>
        <w:t>合同有效期1年，自202</w:t>
      </w:r>
      <w:r>
        <w:rPr>
          <w:rFonts w:hint="eastAsia" w:ascii="仿宋" w:hAnsi="仿宋" w:eastAsia="仿宋" w:cs="仿宋"/>
          <w:bCs/>
          <w:color w:val="000000"/>
          <w:sz w:val="28"/>
          <w:szCs w:val="28"/>
          <w:lang w:val="en-US" w:eastAsia="zh-CN"/>
        </w:rPr>
        <w:t>7</w:t>
      </w:r>
      <w:r>
        <w:rPr>
          <w:rFonts w:hint="eastAsia" w:ascii="仿宋" w:hAnsi="仿宋" w:eastAsia="仿宋" w:cs="仿宋"/>
          <w:bCs/>
          <w:color w:val="000000"/>
          <w:sz w:val="28"/>
          <w:szCs w:val="28"/>
        </w:rPr>
        <w:t>年1月1日至202</w:t>
      </w:r>
      <w:r>
        <w:rPr>
          <w:rFonts w:hint="eastAsia" w:ascii="仿宋" w:hAnsi="仿宋" w:eastAsia="仿宋" w:cs="仿宋"/>
          <w:bCs/>
          <w:color w:val="000000"/>
          <w:sz w:val="28"/>
          <w:szCs w:val="28"/>
          <w:lang w:val="en-US" w:eastAsia="zh-CN"/>
        </w:rPr>
        <w:t>7</w:t>
      </w:r>
      <w:r>
        <w:rPr>
          <w:rFonts w:hint="eastAsia" w:ascii="仿宋" w:hAnsi="仿宋" w:eastAsia="仿宋" w:cs="仿宋"/>
          <w:bCs/>
          <w:color w:val="000000"/>
          <w:sz w:val="28"/>
          <w:szCs w:val="28"/>
        </w:rPr>
        <w:t>年12月31日止。</w:t>
      </w:r>
    </w:p>
    <w:p w14:paraId="7AEC5139">
      <w:pPr>
        <w:pStyle w:val="5"/>
        <w:keepNext w:val="0"/>
        <w:keepLines w:val="0"/>
        <w:pageBreakBefore w:val="0"/>
        <w:kinsoku/>
        <w:wordWrap/>
        <w:overflowPunct/>
        <w:topLinePunct w:val="0"/>
        <w:autoSpaceDE/>
        <w:autoSpaceDN/>
        <w:bidi w:val="0"/>
        <w:adjustRightInd w:val="0"/>
        <w:snapToGrid w:val="0"/>
        <w:spacing w:line="360" w:lineRule="exact"/>
        <w:ind w:firstLine="482"/>
        <w:rPr>
          <w:rFonts w:hint="eastAsia" w:ascii="仿宋" w:hAnsi="仿宋" w:eastAsia="仿宋" w:cs="仿宋"/>
          <w:b/>
          <w:sz w:val="28"/>
          <w:szCs w:val="28"/>
        </w:rPr>
      </w:pPr>
      <w:r>
        <w:rPr>
          <w:rFonts w:hint="eastAsia" w:ascii="仿宋" w:hAnsi="仿宋" w:eastAsia="仿宋" w:cs="仿宋"/>
          <w:b/>
          <w:sz w:val="28"/>
          <w:szCs w:val="28"/>
        </w:rPr>
        <w:t>五、报价要求</w:t>
      </w:r>
    </w:p>
    <w:p w14:paraId="386A5C20">
      <w:pPr>
        <w:pStyle w:val="5"/>
        <w:keepNext w:val="0"/>
        <w:keepLines w:val="0"/>
        <w:pageBreakBefore w:val="0"/>
        <w:kinsoku/>
        <w:wordWrap/>
        <w:overflowPunct/>
        <w:topLinePunct w:val="0"/>
        <w:autoSpaceDE/>
        <w:autoSpaceDN/>
        <w:bidi w:val="0"/>
        <w:adjustRightInd w:val="0"/>
        <w:snapToGrid w:val="0"/>
        <w:spacing w:line="360" w:lineRule="exact"/>
        <w:ind w:firstLine="480"/>
        <w:rPr>
          <w:rFonts w:hint="eastAsia" w:ascii="仿宋" w:hAnsi="仿宋" w:eastAsia="仿宋" w:cs="仿宋"/>
          <w:bCs/>
          <w:sz w:val="28"/>
          <w:szCs w:val="28"/>
        </w:rPr>
      </w:pPr>
      <w:r>
        <w:rPr>
          <w:rFonts w:hint="eastAsia" w:ascii="仿宋" w:hAnsi="仿宋" w:eastAsia="仿宋" w:cs="仿宋"/>
          <w:bCs/>
          <w:sz w:val="28"/>
          <w:szCs w:val="28"/>
        </w:rPr>
        <w:t>1.供应商报价应是比选文件所确定的采购范围内全部内容的价格表现。即包括但不限于完成本项目所需的生活垃圾收运费用、厨余垃圾收运费用、小件家具木头和绿化垃圾收运费用、垃圾清洁卫生费、人工、车辆、税金等涉及本项目的所有费用。</w:t>
      </w:r>
    </w:p>
    <w:p w14:paraId="2962142F">
      <w:pPr>
        <w:pStyle w:val="5"/>
        <w:keepNext w:val="0"/>
        <w:keepLines w:val="0"/>
        <w:pageBreakBefore w:val="0"/>
        <w:kinsoku/>
        <w:wordWrap/>
        <w:overflowPunct/>
        <w:topLinePunct w:val="0"/>
        <w:autoSpaceDE/>
        <w:autoSpaceDN/>
        <w:bidi w:val="0"/>
        <w:adjustRightInd w:val="0"/>
        <w:snapToGrid w:val="0"/>
        <w:spacing w:line="360" w:lineRule="exact"/>
        <w:ind w:firstLine="480"/>
        <w:rPr>
          <w:rFonts w:hint="eastAsia" w:ascii="仿宋" w:hAnsi="仿宋" w:eastAsia="仿宋" w:cs="仿宋"/>
          <w:bCs/>
          <w:sz w:val="28"/>
          <w:szCs w:val="28"/>
        </w:rPr>
      </w:pPr>
      <w:r>
        <w:rPr>
          <w:rFonts w:hint="eastAsia" w:ascii="仿宋" w:hAnsi="仿宋" w:eastAsia="仿宋" w:cs="仿宋"/>
          <w:bCs/>
          <w:sz w:val="28"/>
          <w:szCs w:val="28"/>
        </w:rPr>
        <w:t>2.供应商应在充分考虑可能发生的突发状况的基础上合理报价，在合同执行期间保持不变，供应商不得再以</w:t>
      </w:r>
      <w:r>
        <w:rPr>
          <w:rFonts w:hint="eastAsia" w:ascii="仿宋" w:hAnsi="仿宋" w:eastAsia="仿宋" w:cs="仿宋"/>
          <w:bCs/>
          <w:sz w:val="28"/>
          <w:szCs w:val="28"/>
          <w:lang w:eastAsia="zh-CN"/>
        </w:rPr>
        <w:t>其他</w:t>
      </w:r>
      <w:r>
        <w:rPr>
          <w:rFonts w:hint="eastAsia" w:ascii="仿宋" w:hAnsi="仿宋" w:eastAsia="仿宋" w:cs="仿宋"/>
          <w:bCs/>
          <w:sz w:val="28"/>
          <w:szCs w:val="28"/>
        </w:rPr>
        <w:t>任何形式向院方索要增加任何的费用。</w:t>
      </w:r>
    </w:p>
    <w:p w14:paraId="100D8058">
      <w:pPr>
        <w:pStyle w:val="5"/>
        <w:keepNext w:val="0"/>
        <w:keepLines w:val="0"/>
        <w:pageBreakBefore w:val="0"/>
        <w:kinsoku/>
        <w:wordWrap/>
        <w:overflowPunct/>
        <w:topLinePunct w:val="0"/>
        <w:autoSpaceDE/>
        <w:autoSpaceDN/>
        <w:bidi w:val="0"/>
        <w:adjustRightInd w:val="0"/>
        <w:snapToGrid w:val="0"/>
        <w:spacing w:line="360" w:lineRule="exact"/>
        <w:ind w:firstLine="482"/>
        <w:rPr>
          <w:rFonts w:hint="eastAsia" w:ascii="仿宋" w:hAnsi="仿宋" w:eastAsia="仿宋" w:cs="仿宋"/>
          <w:b/>
          <w:color w:val="000000"/>
          <w:sz w:val="28"/>
          <w:szCs w:val="28"/>
        </w:rPr>
      </w:pPr>
      <w:r>
        <w:rPr>
          <w:rFonts w:hint="eastAsia" w:ascii="仿宋" w:hAnsi="仿宋" w:eastAsia="仿宋" w:cs="仿宋"/>
          <w:b/>
          <w:color w:val="000000"/>
          <w:sz w:val="28"/>
          <w:szCs w:val="28"/>
        </w:rPr>
        <w:t>六、结算方式</w:t>
      </w:r>
    </w:p>
    <w:p w14:paraId="27FCB60B">
      <w:pPr>
        <w:pStyle w:val="5"/>
        <w:keepNext w:val="0"/>
        <w:keepLines w:val="0"/>
        <w:pageBreakBefore w:val="0"/>
        <w:kinsoku/>
        <w:wordWrap/>
        <w:overflowPunct/>
        <w:topLinePunct w:val="0"/>
        <w:autoSpaceDE/>
        <w:autoSpaceDN/>
        <w:bidi w:val="0"/>
        <w:adjustRightInd w:val="0"/>
        <w:snapToGrid w:val="0"/>
        <w:spacing w:line="360" w:lineRule="exact"/>
        <w:ind w:firstLine="480"/>
        <w:rPr>
          <w:rFonts w:hint="eastAsia" w:ascii="仿宋" w:hAnsi="仿宋" w:eastAsia="仿宋" w:cs="仿宋"/>
          <w:bCs/>
          <w:color w:val="000000"/>
          <w:sz w:val="28"/>
          <w:szCs w:val="28"/>
        </w:rPr>
      </w:pPr>
      <w:r>
        <w:rPr>
          <w:rFonts w:hint="eastAsia" w:ascii="仿宋" w:hAnsi="仿宋" w:eastAsia="仿宋" w:cs="仿宋"/>
          <w:bCs/>
          <w:color w:val="000000"/>
          <w:sz w:val="28"/>
          <w:szCs w:val="28"/>
        </w:rPr>
        <w:t>1.本项目实行每月包干价结算。</w:t>
      </w:r>
    </w:p>
    <w:p w14:paraId="43197D23">
      <w:pPr>
        <w:pStyle w:val="5"/>
        <w:keepNext w:val="0"/>
        <w:keepLines w:val="0"/>
        <w:pageBreakBefore w:val="0"/>
        <w:kinsoku/>
        <w:wordWrap/>
        <w:overflowPunct/>
        <w:topLinePunct w:val="0"/>
        <w:autoSpaceDE/>
        <w:autoSpaceDN/>
        <w:bidi w:val="0"/>
        <w:adjustRightInd w:val="0"/>
        <w:snapToGrid w:val="0"/>
        <w:spacing w:line="360" w:lineRule="exact"/>
        <w:ind w:firstLine="480"/>
        <w:rPr>
          <w:rFonts w:hint="eastAsia" w:ascii="仿宋" w:hAnsi="仿宋" w:eastAsia="仿宋" w:cs="仿宋"/>
          <w:bCs/>
          <w:color w:val="000000"/>
          <w:sz w:val="28"/>
          <w:szCs w:val="28"/>
        </w:rPr>
      </w:pPr>
      <w:r>
        <w:rPr>
          <w:rFonts w:hint="eastAsia" w:ascii="仿宋" w:hAnsi="仿宋" w:eastAsia="仿宋" w:cs="仿宋"/>
          <w:bCs/>
          <w:color w:val="000000"/>
          <w:sz w:val="28"/>
          <w:szCs w:val="28"/>
        </w:rPr>
        <w:t>2.供应商每月初根据上月双方确认的结算金额向采购人提供合法有效、金额准确的发票，采购人收到供应商的发票后20个工作日内支付上月的服务费用。</w:t>
      </w:r>
    </w:p>
    <w:p w14:paraId="263193DA">
      <w:pPr>
        <w:pStyle w:val="5"/>
        <w:keepNext w:val="0"/>
        <w:keepLines w:val="0"/>
        <w:pageBreakBefore w:val="0"/>
        <w:kinsoku/>
        <w:wordWrap/>
        <w:overflowPunct/>
        <w:topLinePunct w:val="0"/>
        <w:autoSpaceDE/>
        <w:autoSpaceDN/>
        <w:bidi w:val="0"/>
        <w:adjustRightInd w:val="0"/>
        <w:snapToGrid w:val="0"/>
        <w:spacing w:line="360" w:lineRule="exact"/>
        <w:ind w:firstLine="482"/>
        <w:rPr>
          <w:rFonts w:hint="eastAsia" w:ascii="仿宋" w:hAnsi="仿宋" w:eastAsia="仿宋" w:cs="仿宋"/>
          <w:b/>
          <w:color w:val="000000"/>
          <w:sz w:val="28"/>
          <w:szCs w:val="28"/>
        </w:rPr>
      </w:pPr>
      <w:r>
        <w:rPr>
          <w:rFonts w:hint="eastAsia" w:ascii="仿宋" w:hAnsi="仿宋" w:eastAsia="仿宋" w:cs="仿宋"/>
          <w:b/>
          <w:color w:val="000000"/>
          <w:sz w:val="28"/>
          <w:szCs w:val="28"/>
        </w:rPr>
        <w:t>七、其他说明</w:t>
      </w:r>
    </w:p>
    <w:p w14:paraId="474AF7D7">
      <w:pPr>
        <w:pStyle w:val="5"/>
        <w:keepNext w:val="0"/>
        <w:keepLines w:val="0"/>
        <w:pageBreakBefore w:val="0"/>
        <w:kinsoku/>
        <w:wordWrap/>
        <w:overflowPunct/>
        <w:topLinePunct w:val="0"/>
        <w:autoSpaceDE/>
        <w:autoSpaceDN/>
        <w:bidi w:val="0"/>
        <w:adjustRightInd w:val="0"/>
        <w:snapToGrid w:val="0"/>
        <w:spacing w:line="360" w:lineRule="exact"/>
        <w:ind w:firstLine="480"/>
        <w:rPr>
          <w:rFonts w:hint="eastAsia" w:ascii="仿宋" w:hAnsi="仿宋" w:eastAsia="仿宋" w:cs="仿宋"/>
          <w:bCs/>
          <w:color w:val="000000"/>
          <w:sz w:val="28"/>
          <w:szCs w:val="28"/>
        </w:rPr>
      </w:pPr>
      <w:r>
        <w:rPr>
          <w:rFonts w:hint="eastAsia" w:ascii="仿宋" w:hAnsi="仿宋" w:eastAsia="仿宋" w:cs="仿宋"/>
          <w:bCs/>
          <w:color w:val="000000"/>
          <w:sz w:val="28"/>
          <w:szCs w:val="28"/>
        </w:rPr>
        <w:t>未尽事宜及采购人可能对垃圾收运处置服务的调整要求可在合同执行过程中由采购人与供应商商榷解决方案，最终由采购人确认。</w:t>
      </w:r>
    </w:p>
    <w:p w14:paraId="1546559B">
      <w:pPr>
        <w:pStyle w:val="5"/>
        <w:keepNext w:val="0"/>
        <w:keepLines w:val="0"/>
        <w:pageBreakBefore w:val="0"/>
        <w:kinsoku/>
        <w:wordWrap/>
        <w:overflowPunct/>
        <w:topLinePunct w:val="0"/>
        <w:autoSpaceDE/>
        <w:autoSpaceDN/>
        <w:bidi w:val="0"/>
        <w:adjustRightInd w:val="0"/>
        <w:snapToGrid w:val="0"/>
        <w:spacing w:line="360" w:lineRule="exact"/>
        <w:ind w:firstLine="482"/>
        <w:rPr>
          <w:rFonts w:hint="eastAsia" w:ascii="仿宋" w:hAnsi="仿宋" w:eastAsia="仿宋" w:cs="仿宋"/>
          <w:b/>
          <w:sz w:val="28"/>
          <w:szCs w:val="28"/>
        </w:rPr>
      </w:pPr>
      <w:r>
        <w:rPr>
          <w:rFonts w:hint="eastAsia" w:ascii="仿宋" w:hAnsi="仿宋" w:eastAsia="仿宋" w:cs="仿宋"/>
          <w:b/>
          <w:sz w:val="28"/>
          <w:szCs w:val="28"/>
        </w:rPr>
        <w:t>八、违约责任</w:t>
      </w:r>
    </w:p>
    <w:p w14:paraId="3B17C2B4">
      <w:pPr>
        <w:pStyle w:val="5"/>
        <w:keepNext w:val="0"/>
        <w:keepLines w:val="0"/>
        <w:pageBreakBefore w:val="0"/>
        <w:numPr>
          <w:ilvl w:val="0"/>
          <w:numId w:val="2"/>
        </w:numPr>
        <w:kinsoku/>
        <w:wordWrap/>
        <w:overflowPunct/>
        <w:topLinePunct w:val="0"/>
        <w:autoSpaceDE/>
        <w:autoSpaceDN/>
        <w:bidi w:val="0"/>
        <w:adjustRightInd w:val="0"/>
        <w:snapToGrid w:val="0"/>
        <w:spacing w:line="360" w:lineRule="exact"/>
        <w:ind w:firstLine="480"/>
        <w:rPr>
          <w:rFonts w:hint="eastAsia" w:ascii="仿宋" w:hAnsi="仿宋" w:eastAsia="仿宋" w:cs="仿宋"/>
          <w:bCs/>
          <w:sz w:val="28"/>
          <w:szCs w:val="28"/>
        </w:rPr>
      </w:pPr>
      <w:r>
        <w:rPr>
          <w:rFonts w:hint="eastAsia" w:ascii="仿宋" w:hAnsi="仿宋" w:eastAsia="仿宋" w:cs="仿宋"/>
          <w:bCs/>
          <w:sz w:val="28"/>
          <w:szCs w:val="28"/>
        </w:rPr>
        <w:t>若因供应商服务范围内的清洁服务质量达不到标准而受到有关部门（上级卫生主管部门、环卫、市容、街道办事处等单位）的批评或处罚，由供应商承担罚金等全部责任。</w:t>
      </w:r>
    </w:p>
    <w:p w14:paraId="4A4DB30B">
      <w:pPr>
        <w:pStyle w:val="5"/>
        <w:keepNext w:val="0"/>
        <w:keepLines w:val="0"/>
        <w:pageBreakBefore w:val="0"/>
        <w:numPr>
          <w:ilvl w:val="0"/>
          <w:numId w:val="2"/>
        </w:numPr>
        <w:kinsoku/>
        <w:wordWrap/>
        <w:overflowPunct/>
        <w:topLinePunct w:val="0"/>
        <w:autoSpaceDE/>
        <w:autoSpaceDN/>
        <w:bidi w:val="0"/>
        <w:adjustRightInd w:val="0"/>
        <w:snapToGrid w:val="0"/>
        <w:spacing w:line="360" w:lineRule="exact"/>
        <w:ind w:firstLine="480"/>
        <w:rPr>
          <w:rFonts w:hint="eastAsia" w:ascii="仿宋" w:hAnsi="仿宋" w:eastAsia="仿宋" w:cs="仿宋"/>
          <w:bCs/>
          <w:sz w:val="28"/>
          <w:szCs w:val="28"/>
        </w:rPr>
      </w:pPr>
      <w:r>
        <w:rPr>
          <w:rFonts w:hint="eastAsia" w:ascii="仿宋" w:hAnsi="仿宋" w:eastAsia="仿宋" w:cs="仿宋"/>
          <w:bCs/>
          <w:sz w:val="28"/>
          <w:szCs w:val="28"/>
        </w:rPr>
        <w:t>未经院方书面允许，供应商不得私自将本项目进行转包或分包，一旦出现该情况则视为供应商严重违约，院方有权立即终止合同，且供应商应为院方的所有损失负责并退还所有院方已支付给供应商的款项；</w:t>
      </w:r>
    </w:p>
    <w:p w14:paraId="24526267">
      <w:pPr>
        <w:pStyle w:val="5"/>
        <w:keepNext w:val="0"/>
        <w:keepLines w:val="0"/>
        <w:pageBreakBefore w:val="0"/>
        <w:numPr>
          <w:ilvl w:val="0"/>
          <w:numId w:val="2"/>
        </w:numPr>
        <w:kinsoku/>
        <w:wordWrap/>
        <w:overflowPunct/>
        <w:topLinePunct w:val="0"/>
        <w:autoSpaceDE/>
        <w:autoSpaceDN/>
        <w:bidi w:val="0"/>
        <w:adjustRightInd w:val="0"/>
        <w:snapToGrid w:val="0"/>
        <w:spacing w:line="360" w:lineRule="exact"/>
        <w:ind w:firstLine="480"/>
        <w:rPr>
          <w:rFonts w:hint="eastAsia" w:ascii="仿宋" w:hAnsi="仿宋" w:eastAsia="仿宋" w:cs="仿宋"/>
          <w:bCs/>
          <w:sz w:val="28"/>
          <w:szCs w:val="28"/>
        </w:rPr>
      </w:pPr>
      <w:r>
        <w:rPr>
          <w:rFonts w:hint="eastAsia" w:ascii="仿宋" w:hAnsi="仿宋" w:eastAsia="仿宋" w:cs="仿宋"/>
          <w:bCs/>
          <w:sz w:val="28"/>
          <w:szCs w:val="28"/>
        </w:rPr>
        <w:t>院方根据合同约定对供应商工作进行监督检查，如由于供应商自身的原因导致服务未达到标准，院方有权要求供应商补做，补做所发生的费用由供应商负责；如供应商补做后仍未达标，应承担相应的违约责任。</w:t>
      </w:r>
    </w:p>
    <w:p w14:paraId="056A6A0A">
      <w:pPr>
        <w:pStyle w:val="5"/>
        <w:keepNext w:val="0"/>
        <w:keepLines w:val="0"/>
        <w:pageBreakBefore w:val="0"/>
        <w:numPr>
          <w:ilvl w:val="0"/>
          <w:numId w:val="2"/>
        </w:numPr>
        <w:kinsoku/>
        <w:wordWrap/>
        <w:overflowPunct/>
        <w:topLinePunct w:val="0"/>
        <w:autoSpaceDE/>
        <w:autoSpaceDN/>
        <w:bidi w:val="0"/>
        <w:adjustRightInd w:val="0"/>
        <w:snapToGrid w:val="0"/>
        <w:spacing w:line="360" w:lineRule="exact"/>
        <w:ind w:firstLine="480"/>
        <w:rPr>
          <w:rFonts w:hint="eastAsia" w:ascii="仿宋" w:hAnsi="仿宋" w:eastAsia="仿宋" w:cs="仿宋"/>
          <w:bCs/>
          <w:sz w:val="28"/>
          <w:szCs w:val="28"/>
        </w:rPr>
      </w:pPr>
      <w:r>
        <w:rPr>
          <w:rFonts w:hint="eastAsia" w:ascii="仿宋" w:hAnsi="仿宋" w:eastAsia="仿宋" w:cs="仿宋"/>
          <w:bCs/>
          <w:sz w:val="28"/>
          <w:szCs w:val="28"/>
        </w:rPr>
        <w:t>院方应按本合同规定按时支付服务费用，不得以任何理由拖欠，若院方延迟支付服务费达一个月，按拖欠额的1%向供应商支付违约金。</w:t>
      </w:r>
    </w:p>
    <w:p w14:paraId="1B5B5E90">
      <w:pPr>
        <w:pStyle w:val="5"/>
        <w:keepNext w:val="0"/>
        <w:keepLines w:val="0"/>
        <w:pageBreakBefore w:val="0"/>
        <w:numPr>
          <w:ilvl w:val="0"/>
          <w:numId w:val="2"/>
        </w:numPr>
        <w:kinsoku/>
        <w:wordWrap/>
        <w:overflowPunct/>
        <w:topLinePunct w:val="0"/>
        <w:autoSpaceDE/>
        <w:autoSpaceDN/>
        <w:bidi w:val="0"/>
        <w:adjustRightInd w:val="0"/>
        <w:snapToGrid w:val="0"/>
        <w:spacing w:line="360" w:lineRule="exact"/>
        <w:ind w:firstLine="480"/>
        <w:rPr>
          <w:rFonts w:ascii="Felix Titling" w:hAnsi="Felix Titling" w:cs="Felix Titling"/>
          <w:sz w:val="28"/>
          <w:szCs w:val="28"/>
        </w:rPr>
      </w:pPr>
      <w:r>
        <w:rPr>
          <w:rFonts w:ascii="Felix Titling" w:hAnsi="Felix Titling" w:eastAsia="仿宋" w:cs="Felix Titling"/>
          <w:bCs/>
          <w:sz w:val="28"/>
          <w:szCs w:val="28"/>
        </w:rPr>
        <w:t>若其中一方违约，对方有权提前解除本合同并追索相应之损失。</w:t>
      </w:r>
    </w:p>
    <w:p w14:paraId="1FE46991">
      <w:pPr>
        <w:pStyle w:val="5"/>
        <w:keepNext w:val="0"/>
        <w:keepLines w:val="0"/>
        <w:pageBreakBefore w:val="0"/>
        <w:numPr>
          <w:ilvl w:val="0"/>
          <w:numId w:val="2"/>
        </w:numPr>
        <w:kinsoku/>
        <w:wordWrap/>
        <w:overflowPunct/>
        <w:topLinePunct w:val="0"/>
        <w:autoSpaceDE/>
        <w:autoSpaceDN/>
        <w:bidi w:val="0"/>
        <w:adjustRightInd w:val="0"/>
        <w:snapToGrid w:val="0"/>
        <w:spacing w:line="360" w:lineRule="exact"/>
        <w:ind w:firstLine="480"/>
        <w:rPr>
          <w:rFonts w:ascii="Felix Titling" w:hAnsi="Felix Titling" w:cs="Felix Titling"/>
          <w:sz w:val="28"/>
          <w:szCs w:val="28"/>
        </w:rPr>
      </w:pPr>
      <w:r>
        <w:rPr>
          <w:rFonts w:hint="eastAsia" w:ascii="仿宋" w:hAnsi="仿宋" w:eastAsia="仿宋"/>
          <w:bCs/>
          <w:sz w:val="28"/>
          <w:szCs w:val="28"/>
        </w:rPr>
        <w:t>若采购人投放垃圾的精准度达不到要求标准供应商有权暂停转运，由此原因停运造成的不良影响，由采购人承担。待符合标准后，供应商恢复提供转运服务。</w:t>
      </w:r>
    </w:p>
    <w:p w14:paraId="7C941331">
      <w:pPr>
        <w:pStyle w:val="5"/>
        <w:keepNext w:val="0"/>
        <w:keepLines w:val="0"/>
        <w:pageBreakBefore w:val="0"/>
        <w:numPr>
          <w:ilvl w:val="0"/>
          <w:numId w:val="2"/>
        </w:numPr>
        <w:kinsoku/>
        <w:wordWrap/>
        <w:overflowPunct/>
        <w:topLinePunct w:val="0"/>
        <w:autoSpaceDE/>
        <w:autoSpaceDN/>
        <w:bidi w:val="0"/>
        <w:adjustRightInd w:val="0"/>
        <w:snapToGrid w:val="0"/>
        <w:spacing w:line="360" w:lineRule="exact"/>
        <w:ind w:firstLine="480"/>
        <w:rPr>
          <w:rFonts w:hint="eastAsia" w:ascii="微软雅黑" w:hAnsi="微软雅黑" w:eastAsia="微软雅黑" w:cs="微软雅黑"/>
          <w:color w:val="000000"/>
          <w:sz w:val="28"/>
          <w:szCs w:val="28"/>
        </w:rPr>
      </w:pPr>
      <w:bookmarkStart w:id="0" w:name="_GoBack"/>
      <w:r>
        <w:rPr>
          <w:rFonts w:hint="eastAsia" w:ascii="Felix Titling" w:hAnsi="Felix Titling" w:eastAsia="仿宋" w:cs="Felix Titling"/>
          <w:bCs/>
          <w:sz w:val="28"/>
          <w:szCs w:val="28"/>
          <w:lang w:eastAsia="zh-CN"/>
        </w:rPr>
        <w:t>其他</w:t>
      </w:r>
      <w:bookmarkEnd w:id="0"/>
      <w:r>
        <w:rPr>
          <w:rFonts w:ascii="Felix Titling" w:hAnsi="Felix Titling" w:eastAsia="仿宋" w:cs="Felix Titling"/>
          <w:bCs/>
          <w:sz w:val="28"/>
          <w:szCs w:val="28"/>
        </w:rPr>
        <w:t>违约责任按合同其他条款约定及《中华人民共和国民法典》规定处理。</w:t>
      </w:r>
    </w:p>
    <w:p w14:paraId="7AFFEBFD">
      <w:pPr>
        <w:keepNext w:val="0"/>
        <w:keepLines w:val="0"/>
        <w:pageBreakBefore w:val="0"/>
        <w:kinsoku/>
        <w:wordWrap/>
        <w:overflowPunct/>
        <w:topLinePunct w:val="0"/>
        <w:autoSpaceDE/>
        <w:autoSpaceDN/>
        <w:bidi w:val="0"/>
        <w:spacing w:line="360" w:lineRule="exact"/>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C1FF6EC1-396E-41E2-AA35-BC253A19E5AF}"/>
  </w:font>
  <w:font w:name="仿宋">
    <w:panose1 w:val="02010609060101010101"/>
    <w:charset w:val="86"/>
    <w:family w:val="modern"/>
    <w:pitch w:val="default"/>
    <w:sig w:usb0="800002BF" w:usb1="38CF7CFA" w:usb2="00000016" w:usb3="00000000" w:csb0="00040001" w:csb1="00000000"/>
    <w:embedRegular r:id="rId2" w:fontKey="{F184179B-438E-4B50-BB24-75A642FAD1FE}"/>
  </w:font>
  <w:font w:name="华文中宋">
    <w:panose1 w:val="02010600040101010101"/>
    <w:charset w:val="86"/>
    <w:family w:val="auto"/>
    <w:pitch w:val="default"/>
    <w:sig w:usb0="00000287" w:usb1="080F0000" w:usb2="00000000" w:usb3="00000000" w:csb0="0004009F" w:csb1="DFD70000"/>
    <w:embedRegular r:id="rId3" w:fontKey="{6E50A34D-CEA4-4C4A-9F0D-D2F26663B360}"/>
  </w:font>
  <w:font w:name="Felix Titling">
    <w:panose1 w:val="04060505060202020A04"/>
    <w:charset w:val="00"/>
    <w:family w:val="decorative"/>
    <w:pitch w:val="default"/>
    <w:sig w:usb0="00000003" w:usb1="00000000" w:usb2="00000000" w:usb3="00000000" w:csb0="20000001" w:csb1="00000000"/>
    <w:embedRegular r:id="rId4" w:fontKey="{FA447A95-EC38-4432-BFB4-C1936192F051}"/>
  </w:font>
  <w:font w:name="微软雅黑">
    <w:panose1 w:val="020B0503020204020204"/>
    <w:charset w:val="86"/>
    <w:family w:val="swiss"/>
    <w:pitch w:val="default"/>
    <w:sig w:usb0="80000287" w:usb1="2ACF3C50" w:usb2="00000016" w:usb3="00000000" w:csb0="0004001F" w:csb1="00000000"/>
    <w:embedRegular r:id="rId5" w:fontKey="{3889B72F-D728-460B-AAD9-815D79A3291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chineseCounting"/>
      <w:suff w:val="nothing"/>
      <w:lvlText w:val="%1、"/>
      <w:lvlJc w:val="left"/>
      <w:rPr>
        <w:rFonts w:hint="eastAsia"/>
      </w:rPr>
    </w:lvl>
  </w:abstractNum>
  <w:abstractNum w:abstractNumId="1">
    <w:nsid w:val="192648F4"/>
    <w:multiLevelType w:val="singleLevel"/>
    <w:tmpl w:val="192648F4"/>
    <w:lvl w:ilvl="0" w:tentative="0">
      <w:start w:val="1"/>
      <w:numFmt w:val="decimal"/>
      <w:suff w:val="nothing"/>
      <w:lvlText w:val="%1．"/>
      <w:lvlJc w:val="left"/>
      <w:pPr>
        <w:ind w:left="20" w:firstLine="400"/>
      </w:pPr>
      <w:rPr>
        <w:rFonts w:hint="default" w:ascii="仿宋" w:hAnsi="仿宋" w:eastAsia="仿宋" w:cs="仿宋"/>
        <w:sz w:val="24"/>
        <w:szCs w:val="24"/>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CB5472"/>
    <w:rsid w:val="00D01C07"/>
    <w:rsid w:val="00E90D12"/>
    <w:rsid w:val="00EE49E0"/>
    <w:rsid w:val="02390900"/>
    <w:rsid w:val="06A04B76"/>
    <w:rsid w:val="0BEB6D98"/>
    <w:rsid w:val="10A20470"/>
    <w:rsid w:val="141D612B"/>
    <w:rsid w:val="16AE750E"/>
    <w:rsid w:val="189866C8"/>
    <w:rsid w:val="1F6E1960"/>
    <w:rsid w:val="20AC5498"/>
    <w:rsid w:val="23965881"/>
    <w:rsid w:val="26720558"/>
    <w:rsid w:val="2A9071FF"/>
    <w:rsid w:val="2CAA53CA"/>
    <w:rsid w:val="2E0B376C"/>
    <w:rsid w:val="2E6C1D31"/>
    <w:rsid w:val="31492EA1"/>
    <w:rsid w:val="3166515D"/>
    <w:rsid w:val="321A1CC5"/>
    <w:rsid w:val="32AA04CA"/>
    <w:rsid w:val="3AC0143A"/>
    <w:rsid w:val="404F553D"/>
    <w:rsid w:val="42CD0F08"/>
    <w:rsid w:val="467F5CD0"/>
    <w:rsid w:val="471A6376"/>
    <w:rsid w:val="48A759E8"/>
    <w:rsid w:val="49117305"/>
    <w:rsid w:val="4A6E2C61"/>
    <w:rsid w:val="50367A39"/>
    <w:rsid w:val="53265F8B"/>
    <w:rsid w:val="53806DAF"/>
    <w:rsid w:val="5744374A"/>
    <w:rsid w:val="5806097D"/>
    <w:rsid w:val="5F493FC0"/>
    <w:rsid w:val="61412A26"/>
    <w:rsid w:val="651200DE"/>
    <w:rsid w:val="6DCB5472"/>
    <w:rsid w:val="6FE078AE"/>
    <w:rsid w:val="71B31D58"/>
    <w:rsid w:val="7BB120FE"/>
    <w:rsid w:val="7C064B4A"/>
    <w:rsid w:val="7EB36B2A"/>
    <w:rsid w:val="7FBD04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customStyle="1" w:styleId="5">
    <w:name w:val="_Style 3"/>
    <w:basedOn w:val="1"/>
    <w:qFormat/>
    <w:uiPriority w:val="0"/>
    <w:pPr>
      <w:ind w:firstLine="420" w:firstLineChars="200"/>
    </w:pPr>
    <w:rPr>
      <w:sz w:val="20"/>
    </w:rPr>
  </w:style>
  <w:style w:type="character" w:customStyle="1" w:styleId="6">
    <w:name w:val="font61"/>
    <w:basedOn w:val="4"/>
    <w:qFormat/>
    <w:uiPriority w:val="0"/>
    <w:rPr>
      <w:rFonts w:hint="eastAsia" w:ascii="仿宋" w:hAnsi="仿宋" w:eastAsia="仿宋" w:cs="仿宋"/>
      <w:color w:val="000000"/>
      <w:sz w:val="28"/>
      <w:szCs w:val="28"/>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0825a9f7-5ace-41f8-960c-7145d3ee2ee8</errorID>
      <errorWord>任</errorWord>
      <group>L1_Word</group>
      <groupName>字词问题</groupName>
      <ability>L2_Typo</ability>
      <abilityName>字词错误</abilityName>
      <candidateList>
        <item>任何</item>
      </candidateList>
      <explain/>
      <paraID>7C8B4C34</paraID>
      <start>51</start>
      <end>52</end>
      <status>ignored</status>
      <modifiedWord/>
      <trackRevisions>false</trackRevisions>
    </reviewItem>
    <reviewItem>
      <errorID>2c45f889-5137-40ee-909c-e495090d1085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73EC87A5</paraID>
      <start>0</start>
      <end>2</end>
      <status>modified</status>
      <modifiedWord>1.</modifiedWord>
      <trackRevisions>false</trackRevisions>
    </reviewItem>
    <reviewItem>
      <errorID>a70bafa1-a46a-4f6f-95e3-cc03047da20d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5EEE514D</paraID>
      <start>0</start>
      <end>2</end>
      <status>modified</status>
      <modifiedWord>2.</modifiedWord>
      <trackRevisions>false</trackRevisions>
    </reviewItem>
    <reviewItem>
      <errorID>705dfbc7-fa9c-4774-a75d-66aa29d5c72c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17D16F7F</paraID>
      <start>0</start>
      <end>2</end>
      <status>modified</status>
      <modifiedWord>3.</modifiedWord>
      <trackRevisions>false</trackRevisions>
    </reviewItem>
    <reviewItem>
      <errorID>c81b53fe-7983-434c-8d26-7a4992cccaf7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68D60AB7</paraID>
      <start>0</start>
      <end>2</end>
      <status>modified</status>
      <modifiedWord>4.</modifiedWord>
      <trackRevisions>false</trackRevisions>
    </reviewItem>
    <reviewItem>
      <errorID>3285d751-ba0e-4dab-bc63-698007b0f9a5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76B8CC9F</paraID>
      <start>0</start>
      <end>2</end>
      <status>modified</status>
      <modifiedWord>5.</modifiedWord>
      <trackRevisions>false</trackRevisions>
    </reviewItem>
    <reviewItem>
      <errorID>60e00134-f244-4cd7-a09a-3e8442768908</errorID>
      <errorWord>,</errorWord>
      <group>L1_Format</group>
      <groupName>格式问题</groupName>
      <ability>L2_HalfPunc_CN</ability>
      <abilityName>全半角问题</abilityName>
      <candidateList>
        <item>，</item>
      </candidateList>
      <explain>文本全半角错误。</explain>
      <paraID>76B8CC9F</paraID>
      <start>101</start>
      <end>102</end>
      <status>modified</status>
      <modifiedWord>，</modifiedWord>
      <trackRevisions>false</trackRevisions>
    </reviewItem>
    <reviewItem>
      <errorID>b54ccd9d-00dd-44d7-a243-cbfda4b60a3e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239AC855</paraID>
      <start>0</start>
      <end>2</end>
      <status>modified</status>
      <modifiedWord>6.</modifiedWord>
      <trackRevisions>false</trackRevisions>
    </reviewItem>
    <reviewItem>
      <errorID>0aa768ed-0b09-4130-89fa-5102adb2b70d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3EEE7BB5</paraID>
      <start>0</start>
      <end>2</end>
      <status>modified</status>
      <modifiedWord>7.</modifiedWord>
      <trackRevisions>false</trackRevisions>
    </reviewItem>
    <reviewItem>
      <errorID>5ac4e025-7965-4d6e-8621-4c11bacfadfd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6E40CF31</paraID>
      <start>86</start>
      <end>88</end>
      <status>modified</status>
      <modifiedWord>”“</modifiedWord>
      <trackRevisions>false</trackRevisions>
    </reviewItem>
    <reviewItem>
      <errorID>616a82ae-cb2f-4dc6-9fdb-2a5a0578697b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6E40CF31</paraID>
      <start>92</start>
      <end>94</end>
      <status>modified</status>
      <modifiedWord>”“</modifiedWord>
      <trackRevisions>false</trackRevisions>
    </reviewItem>
    <reviewItem>
      <errorID>5628663c-90db-488e-a5fc-4cd20d1d7f62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6E40CF31</paraID>
      <start>98</start>
      <end>100</end>
      <status>modified</status>
      <modifiedWord>”“</modifiedWord>
      <trackRevisions>false</trackRevisions>
    </reviewItem>
    <reviewItem>
      <errorID>f81efb34-8ede-411c-9ed2-104c879c51fb</errorID>
      <errorWord>包月</errorWord>
      <group>L1_Word</group>
      <groupName>字词问题</groupName>
      <ability>L2_Typo</ability>
      <abilityName>字词错误</abilityName>
      <candidateList>
        <item>包括</item>
      </candidateList>
      <explain/>
      <paraID>6FF1D129</paraID>
      <start>0</start>
      <end>2</end>
      <status>ignored</status>
      <modifiedWord/>
      <trackRevisions>false</trackRevisions>
    </reviewItem>
    <reviewItem>
      <errorID>1c486461-ed16-4bd6-b019-8f1e6a10dcda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47DB0EA9</paraID>
      <start>0</start>
      <end>2</end>
      <status>modified</status>
      <modifiedWord>1.</modifiedWord>
      <trackRevisions>false</trackRevisions>
    </reviewItem>
    <reviewItem>
      <errorID>356085f7-a9a1-4ec2-b0dc-5f703fbf06ed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3A89BD81</paraID>
      <start>0</start>
      <end>2</end>
      <status>modified</status>
      <modifiedWord>2.</modifiedWord>
      <trackRevisions>false</trackRevisions>
    </reviewItem>
    <reviewItem>
      <errorID>b2c6b449-ff61-4a03-9527-a5047008e4c0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6B494522</paraID>
      <start>0</start>
      <end>2</end>
      <status>modified</status>
      <modifiedWord>3.</modifiedWord>
      <trackRevisions>false</trackRevisions>
    </reviewItem>
    <reviewItem>
      <errorID>cf4b2b89-c8e2-4852-a6a1-710b07be1b74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2529930C</paraID>
      <start>0</start>
      <end>2</end>
      <status>modified</status>
      <modifiedWord>1.</modifiedWord>
      <trackRevisions>false</trackRevisions>
    </reviewItem>
    <reviewItem>
      <errorID>96f4cca2-2a8a-49dc-ae18-cc81d394f587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3A65DAAB</paraID>
      <start>0</start>
      <end>2</end>
      <status>modified</status>
      <modifiedWord>2.</modifiedWord>
      <trackRevisions>false</trackRevisions>
    </reviewItem>
    <reviewItem>
      <errorID>d771895d-c56e-4e93-a092-77a580e92937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6C38E9C7</paraID>
      <start>86</start>
      <end>88</end>
      <status>modified</status>
      <modifiedWord>》《</modifiedWord>
      <trackRevisions>false</trackRevisions>
    </reviewItem>
    <reviewItem>
      <errorID>2cf18e6a-952a-400b-9044-55db2e1a89d6</errorID>
      <errorWord>，</errorWord>
      <group>L1_Word</group>
      <groupName>字词问题</groupName>
      <ability>L2_Typo</ability>
      <abilityName>字词错误</abilityName>
      <candidateList>
        <item>，具</item>
      </candidateList>
      <explain/>
      <paraID>45C8F072</paraID>
      <start>51</start>
      <end>52</end>
      <status>ignored</status>
      <modifiedWord/>
      <trackRevisions>false</trackRevisions>
    </reviewItem>
    <reviewItem>
      <errorID>b0fa20a6-e764-45d5-b096-d38afa2f63cd</errorID>
      <errorWord>,</errorWord>
      <group>L1_Format</group>
      <groupName>格式问题</groupName>
      <ability>L2_HalfPunc_CN</ability>
      <abilityName>全半角问题</abilityName>
      <candidateList>
        <item>，</item>
      </candidateList>
      <explain>文本全半角错误。</explain>
      <paraID>6875BCDB</paraID>
      <start>55</start>
      <end>56</end>
      <status>modified</status>
      <modifiedWord>，</modifiedWord>
      <trackRevisions>false</trackRevisions>
    </reviewItem>
    <reviewItem>
      <errorID>5dd45c56-5a76-4532-8d1a-5d00c52aa5d2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BEED88B</paraID>
      <start>0</start>
      <end>3</end>
      <status>modified</status>
      <modifiedWord>10.</modifiedWord>
      <trackRevisions>false</trackRevisions>
    </reviewItem>
    <reviewItem>
      <errorID>d1513722-fe2d-4668-83dc-c57d496ec0d5</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3776AADA</paraID>
      <start>0</start>
      <end>3</end>
      <status>modified</status>
      <modifiedWord>11.</modifiedWord>
      <trackRevisions>false</trackRevisions>
    </reviewItem>
    <reviewItem>
      <errorID>d0bd6c11-e12b-4ee9-9cc8-9cf601433acc</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578F793A</paraID>
      <start>0</start>
      <end>3</end>
      <status>modified</status>
      <modifiedWord>12.</modifiedWord>
      <trackRevisions>false</trackRevisions>
    </reviewItem>
    <reviewItem>
      <errorID>8a75d55b-5d90-4bac-bae8-f478afb08b3a</errorID>
      <errorWord>其它</errorWord>
      <group>L1_Word</group>
      <groupName>字词问题</groupName>
      <ability>L2_Alias</ability>
      <abilityName>也作/曾用词</abilityName>
      <candidateList>
        <item>其他</item>
      </candidateList>
      <explain>词汇[其它]为不规范表述或旧称，其规范书面表述为[其他]。</explain>
      <paraID>2962142F</paraID>
      <start>48</start>
      <end>50</end>
      <status>modified</status>
      <modifiedWord>其他</modifiedWord>
      <trackRevisions>false</trackRevisions>
    </reviewItem>
    <reviewItem>
      <errorID>2655d8d6-c1f3-4a45-bb11-41ae029c5cbf</errorID>
      <errorWord>任何的</errorWord>
      <group>L1_Word</group>
      <groupName>字词问题</groupName>
      <ability>L2_Typo</ability>
      <abilityName>字词错误</abilityName>
      <candidateList>
        <item>任何</item>
      </candidateList>
      <explain/>
      <paraID>2962142F</paraID>
      <start>61</start>
      <end>64</end>
      <status>ignored</status>
      <modifiedWord/>
      <trackRevisions>false</trackRevisions>
    </reviewItem>
    <reviewItem>
      <errorID>bc82837d-a041-4a35-aebd-03d865e5d8d8</errorID>
      <errorWord>服务质量达</errorWord>
      <group>L1_Word</group>
      <groupName>字词问题</groupName>
      <ability>L2_Typo</ability>
      <abilityName>字词错误</abilityName>
      <candidateList>
        <item>服务质量达到</item>
      </candidateList>
      <explain/>
      <paraID>3B17C2B4</paraID>
      <start>13</start>
      <end>18</end>
      <status>ignored</status>
      <modifiedWord/>
      <trackRevisions>false</trackRevisions>
    </reviewItem>
    <reviewItem>
      <errorID>17ee2465-a9ea-497d-a3e1-82ad46c3e0c9</errorID>
      <errorWord>其它</errorWord>
      <group>L1_Word</group>
      <groupName>字词问题</groupName>
      <ability>L2_Alias</ability>
      <abilityName>也作/曾用词</abilityName>
      <candidateList>
        <item>其他</item>
      </candidateList>
      <explain>词汇[其它]为不规范表述或旧称，其规范书面表述为[其他]。</explain>
      <paraID>7C941331</paraID>
      <start>0</start>
      <end>2</end>
      <status>modified</status>
      <modifiedWord>其他</modifiedWord>
      <trackRevisions>false</trackRevisions>
    </reviewItem>
  </reviewItems>
  <config/>
</contractReview>
</file>

<file path=customXml/itemProps1.xml><?xml version="1.0" encoding="utf-8"?>
<ds:datastoreItem xmlns:ds="http://schemas.openxmlformats.org/officeDocument/2006/customXml" ds:itemID="{1a6034b3-b1a8-4f9e-9350-78cad30fadd3}">
  <ds:schemaRefs/>
</ds:datastoreItem>
</file>

<file path=docProps/app.xml><?xml version="1.0" encoding="utf-8"?>
<Properties xmlns="http://schemas.openxmlformats.org/officeDocument/2006/extended-properties" xmlns:vt="http://schemas.openxmlformats.org/officeDocument/2006/docPropsVTypes">
  <Template>Normal</Template>
  <Pages>5</Pages>
  <Words>3861</Words>
  <Characters>3919</Characters>
  <Lines>28</Lines>
  <Paragraphs>8</Paragraphs>
  <TotalTime>6</TotalTime>
  <ScaleCrop>false</ScaleCrop>
  <LinksUpToDate>false</LinksUpToDate>
  <CharactersWithSpaces>3924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2025-08-12T09:25:00Z</dcterms:created>
  <dc:creator>梁凤娟</dc:creator>
  <cp:lastModifiedBy>2025年修订</cp:lastModifiedBy>
  <dcterms:modified xsi:type="dcterms:W3CDTF">2026-08-20T01:37:35Z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45494D797B5244F79A26E38055094F7F_11</vt:lpwstr>
  </property>
  <property fmtid="{D5CDD505-2E9C-101B-9397-08002B2CF9AE}" pid="4" name="KSOTemplateDocerSaveRecord">
    <vt:lpwstr>eyJoZGlkIjoiMjBhNzc4OGU3Y2NjYjY4ZmE1MjVjNWY3MmIxYTA4NjAiLCJ1c2VySWQiOiIxNjU3NTM1NjcxIn0=</vt:lpwstr>
  </property>
</Properties>
</file>