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3A518B">
      <w:pPr>
        <w:pStyle w:val="2"/>
        <w:keepNext w:val="0"/>
        <w:keepLines w:val="0"/>
        <w:widowControl/>
        <w:suppressLineNumbers w:val="0"/>
        <w:rPr>
          <w:sz w:val="28"/>
          <w:szCs w:val="28"/>
        </w:rPr>
      </w:pPr>
      <w:r>
        <w:rPr>
          <w:rFonts w:hint="eastAsia"/>
          <w:sz w:val="28"/>
          <w:szCs w:val="28"/>
          <w:lang w:val="en-US" w:eastAsia="zh-CN"/>
        </w:rPr>
        <w:t>一、</w:t>
      </w:r>
      <w:r>
        <w:rPr>
          <w:sz w:val="28"/>
          <w:szCs w:val="28"/>
        </w:rPr>
        <w:t xml:space="preserve"> 儿童早期综合发展信息化建设推进构想及系统功能描述</w:t>
      </w:r>
    </w:p>
    <w:p w14:paraId="26F83E2F">
      <w:pPr>
        <w:pStyle w:val="6"/>
        <w:keepNext w:val="0"/>
        <w:keepLines w:val="0"/>
        <w:widowControl/>
        <w:suppressLineNumbers w:val="0"/>
        <w:ind w:firstLine="480" w:firstLineChars="200"/>
      </w:pPr>
      <w:r>
        <w:t>为了突出我院儿童早期综合发展管理工作领先地位，做</w:t>
      </w:r>
      <w:r>
        <w:rPr>
          <w:rFonts w:hint="eastAsia"/>
          <w:lang w:val="en-US" w:eastAsia="zh-CN"/>
        </w:rPr>
        <w:t>好</w:t>
      </w:r>
      <w:r>
        <w:rPr>
          <w:rStyle w:val="10"/>
        </w:rPr>
        <w:t>高危儿随访管理以及神经心理</w:t>
      </w:r>
      <w:r>
        <w:rPr>
          <w:rStyle w:val="10"/>
          <w:rFonts w:hint="eastAsia"/>
          <w:lang w:val="en-US" w:eastAsia="zh-CN"/>
        </w:rPr>
        <w:t>行为发育</w:t>
      </w:r>
      <w:r>
        <w:rPr>
          <w:rStyle w:val="10"/>
        </w:rPr>
        <w:t>、内分泌、血液肿瘤专病闭环管理</w:t>
      </w:r>
      <w:r>
        <w:t>，希望在我院建立基于儿童早期综合发展工作要求的 “儿童保健临床信息系统”。系统的主要功能描述如下：</w:t>
      </w:r>
    </w:p>
    <w:p w14:paraId="64BAA910">
      <w:pPr>
        <w:jc w:val="center"/>
        <w:rPr>
          <w:rFonts w:hint="eastAsia" w:asciiTheme="minorEastAsia" w:hAnsiTheme="minorEastAsia"/>
          <w:b/>
          <w:sz w:val="30"/>
          <w:szCs w:val="30"/>
        </w:rPr>
      </w:pPr>
      <w:r>
        <w:rPr>
          <w:rFonts w:hint="eastAsia" w:asciiTheme="minorEastAsia" w:hAnsiTheme="minorEastAsia"/>
          <w:b/>
          <w:sz w:val="30"/>
          <w:szCs w:val="30"/>
        </w:rPr>
        <w:t>******</w:t>
      </w:r>
      <w:r>
        <w:rPr>
          <w:rFonts w:hint="eastAsia" w:asciiTheme="minorEastAsia" w:hAnsiTheme="minorEastAsia"/>
          <w:b/>
          <w:i/>
          <w:sz w:val="30"/>
          <w:szCs w:val="30"/>
        </w:rPr>
        <w:t>儿童保健临床信息系统******</w:t>
      </w:r>
    </w:p>
    <w:tbl>
      <w:tblPr>
        <w:tblStyle w:val="19"/>
        <w:tblW w:w="9351"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autofit"/>
        <w:tblCellMar>
          <w:top w:w="0" w:type="dxa"/>
          <w:left w:w="108" w:type="dxa"/>
          <w:bottom w:w="0" w:type="dxa"/>
          <w:right w:w="108" w:type="dxa"/>
        </w:tblCellMar>
      </w:tblPr>
      <w:tblGrid>
        <w:gridCol w:w="1341"/>
        <w:gridCol w:w="8010"/>
      </w:tblGrid>
      <w:tr w14:paraId="541C4053">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tcBorders>
              <w:bottom w:val="single" w:color="666666" w:themeColor="text1" w:themeTint="99" w:sz="4" w:space="0"/>
            </w:tcBorders>
            <w:vAlign w:val="center"/>
          </w:tcPr>
          <w:p w14:paraId="089B7A99">
            <w:pPr>
              <w:rPr>
                <w:rFonts w:hint="eastAsia" w:ascii="微软雅黑" w:hAnsi="微软雅黑" w:eastAsia="微软雅黑"/>
                <w:b/>
                <w:bCs/>
                <w:color w:val="000000" w:themeColor="text1"/>
                <w:kern w:val="0"/>
                <w:sz w:val="24"/>
                <w14:textFill>
                  <w14:solidFill>
                    <w14:schemeClr w14:val="tx1"/>
                  </w14:solidFill>
                </w14:textFill>
              </w:rPr>
            </w:pPr>
            <w:r>
              <w:rPr>
                <w:rFonts w:hint="eastAsia" w:ascii="微软雅黑" w:hAnsi="微软雅黑" w:eastAsia="微软雅黑"/>
                <w:b/>
                <w:bCs/>
                <w:color w:val="000000" w:themeColor="text1"/>
                <w:kern w:val="0"/>
                <w:sz w:val="24"/>
                <w14:textFill>
                  <w14:solidFill>
                    <w14:schemeClr w14:val="tx1"/>
                  </w14:solidFill>
                </w14:textFill>
              </w:rPr>
              <w:t>业务模块</w:t>
            </w:r>
          </w:p>
        </w:tc>
        <w:tc>
          <w:tcPr>
            <w:tcW w:w="8010" w:type="dxa"/>
            <w:tcBorders>
              <w:bottom w:val="single" w:color="666666" w:themeColor="text1" w:themeTint="99" w:sz="4" w:space="0"/>
            </w:tcBorders>
          </w:tcPr>
          <w:p w14:paraId="4FBB00D8">
            <w:pPr>
              <w:ind w:firstLine="480"/>
              <w:jc w:val="center"/>
              <w:rPr>
                <w:rFonts w:hint="eastAsia" w:ascii="微软雅黑" w:hAnsi="微软雅黑" w:eastAsia="微软雅黑"/>
                <w:b/>
                <w:bCs/>
                <w:color w:val="000000" w:themeColor="text1"/>
                <w:kern w:val="0"/>
                <w:sz w:val="24"/>
                <w14:textFill>
                  <w14:solidFill>
                    <w14:schemeClr w14:val="tx1"/>
                  </w14:solidFill>
                </w14:textFill>
              </w:rPr>
            </w:pPr>
            <w:r>
              <w:rPr>
                <w:rFonts w:hint="eastAsia" w:ascii="微软雅黑" w:hAnsi="微软雅黑" w:eastAsia="微软雅黑"/>
                <w:b/>
                <w:bCs/>
                <w:color w:val="000000" w:themeColor="text1"/>
                <w:kern w:val="0"/>
                <w:sz w:val="24"/>
                <w14:textFill>
                  <w14:solidFill>
                    <w14:schemeClr w14:val="tx1"/>
                  </w14:solidFill>
                </w14:textFill>
              </w:rPr>
              <w:t>功能描述</w:t>
            </w:r>
          </w:p>
        </w:tc>
      </w:tr>
      <w:tr w14:paraId="04BA92D8">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tcBorders>
              <w:top w:val="single" w:color="666666" w:themeColor="text1" w:themeTint="99" w:sz="4" w:space="0"/>
            </w:tcBorders>
            <w:shd w:val="clear" w:color="auto" w:fill="CCCCCC" w:themeFill="text1" w:themeFillTint="33"/>
            <w:vAlign w:val="center"/>
          </w:tcPr>
          <w:p w14:paraId="5ADC9288">
            <w:pP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我的工作台</w:t>
            </w:r>
          </w:p>
        </w:tc>
        <w:tc>
          <w:tcPr>
            <w:tcW w:w="8010" w:type="dxa"/>
            <w:tcBorders>
              <w:top w:val="single" w:color="666666" w:themeColor="text1" w:themeTint="99" w:sz="4" w:space="0"/>
            </w:tcBorders>
            <w:shd w:val="clear" w:color="auto" w:fill="CCCCCC" w:themeFill="text1" w:themeFillTint="33"/>
          </w:tcPr>
          <w:p w14:paraId="5AEE5833">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医护人员可根据自己所分配的业务模块，自定义自己的工作台。允许在多角色多工作台模式切换。类似个性化Windows桌面系统</w:t>
            </w:r>
          </w:p>
        </w:tc>
      </w:tr>
      <w:tr w14:paraId="770C087C">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tcBorders>
              <w:top w:val="single" w:color="666666" w:themeColor="text1" w:themeTint="99" w:sz="4" w:space="0"/>
            </w:tcBorders>
            <w:vAlign w:val="center"/>
          </w:tcPr>
          <w:p w14:paraId="04A014AE">
            <w:pP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护士工作站</w:t>
            </w:r>
          </w:p>
        </w:tc>
        <w:tc>
          <w:tcPr>
            <w:tcW w:w="8010" w:type="dxa"/>
            <w:tcBorders>
              <w:top w:val="single" w:color="666666" w:themeColor="text1" w:themeTint="99" w:sz="4" w:space="0"/>
            </w:tcBorders>
          </w:tcPr>
          <w:p w14:paraId="0C461122">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可用于儿童基本信息和健康信息的管理，体检之前的生命体征信息的采集，含今日儿童体格测量、体格测量发育评价、黄疸值测量记录、眼科筛查、今日儿童体格测量数据统计。</w:t>
            </w:r>
          </w:p>
        </w:tc>
      </w:tr>
      <w:tr w14:paraId="4480131D">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shd w:val="clear" w:color="auto" w:fill="CCCCCC" w:themeFill="text1" w:themeFillTint="33"/>
            <w:vAlign w:val="center"/>
          </w:tcPr>
          <w:p w14:paraId="23AE73A9">
            <w:pP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档案管理</w:t>
            </w:r>
          </w:p>
        </w:tc>
        <w:tc>
          <w:tcPr>
            <w:tcW w:w="8010" w:type="dxa"/>
            <w:shd w:val="clear" w:color="auto" w:fill="CCCCCC" w:themeFill="text1" w:themeFillTint="33"/>
          </w:tcPr>
          <w:p w14:paraId="7697E28C">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基本档案：儿童健康档案创建支持以下四种模式：扫描患者电子就诊卡二维码、读卡器读取居民电子健康卡或诊疗卡、采取候诊队列获取当日挂号信息、关联患者自建云档案；儿童健康档案内容由基本资料及健康档案两部分构成，其中基本资料中父母双方信息可支持关联母子健康手册档案；儿童健康档案采集相关发育史支持不同系统用户进行二次个性化配置；</w:t>
            </w:r>
          </w:p>
          <w:p w14:paraId="3BDB11FD">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系统档案管理：支持对儿童健康档案进行合并，删除，编辑，管理范围内可进行迁入迁出操作；合并后儿童健康档案体检数据记录同时进行合并；用户误操作儿童健康档案数据合并后支持儿童健康档案数据拆分还原；</w:t>
            </w:r>
          </w:p>
          <w:p w14:paraId="5E4DFDEF">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双向转诊管理：支持双向转诊管理，可出具转诊单。</w:t>
            </w:r>
          </w:p>
          <w:p w14:paraId="7113B0A8">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儿童健康手册发放管理：支持健康首次初次发放记录及二次发放记录，提供查询统计功能。</w:t>
            </w:r>
          </w:p>
          <w:p w14:paraId="1B6D2062">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套餐配置及管理：可根据业务需求设置不同套餐以满足不同年龄段、不同体检需求的儿童体检。支持套餐订阅、在系统内做完某个项目可自动划消。</w:t>
            </w:r>
          </w:p>
        </w:tc>
      </w:tr>
      <w:tr w14:paraId="3C05497E">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vAlign w:val="center"/>
          </w:tcPr>
          <w:p w14:paraId="006A0C44">
            <w:pP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常规体检</w:t>
            </w:r>
          </w:p>
        </w:tc>
        <w:tc>
          <w:tcPr>
            <w:tcW w:w="8010" w:type="dxa"/>
          </w:tcPr>
          <w:p w14:paraId="7F65402D">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健康检查（支持公卫标准格式）：系统自动根据就诊日期计算就诊儿童体检年龄，若出现早产儿可选择矫正胎龄进行评价，结合就诊儿童体检年龄针对当日身高体重测量结果予以评价；系统可以自动采集医生所需辅助诊疗信息，其中包涵就诊儿童抚养人养育信息、就诊儿童睡眠信息、大小便信息、运动、情绪信息、户外活动情况以及两次随访间有无患病，同时针对3个月-6岁儿童扶养人提供儿童心理行为发育问题预警征象筛查问卷；医生可根据不同情况设置填充模板一键填充完成儿童常规查体需要填写内容；根据儿童保健科特有的专科检车提供用户自定义配置专项检查项目，如：骨密度、髋关节B超等；跟院内检验检查（LIS）系统对接获取就诊儿童当日检验检查对应结果，检验检查项目名称可根据医生习惯自行配置；系统自动根据采集相关数据信息生成辅助诊断结果，医生可进行核对和编辑，同时系统按照识别出当前就诊儿童年龄自行根据处理意见知识库、指导意见知识库选择模板。</w:t>
            </w:r>
          </w:p>
          <w:p w14:paraId="6A5BF662">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入园/学体检：根据国家托幼机构卫生保健工作规范要求以及托幼机构入园/学体检制式表格生成体检项目及内容，医生一键填充完成信息填写，提供辅助诊断建议功能并打印入学体检报告。</w:t>
            </w:r>
          </w:p>
          <w:p w14:paraId="6507F560">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入园/学体检台账【统计管理】：统计入园/学体检数据，统计口径可按照学校名称、学生姓名、医生姓名、体检时间以及目前系统状态进行数据查询、审核、导出以及批量打印功能。</w:t>
            </w:r>
          </w:p>
          <w:p w14:paraId="7D5D53AA">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保健咨询门诊：系统将常见喂养问题根据学科划分形成独特知识库，根据家长咨询问题可进行详尽解答并出具儿童健康评估指导报告</w:t>
            </w:r>
          </w:p>
          <w:p w14:paraId="005FA144">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儿童体检台账【统计管理】：系统按照体检时间、姓名、医生姓名进行系统内所管理全部体检儿童数据进行统计查询与导出功能</w:t>
            </w:r>
          </w:p>
          <w:p w14:paraId="6FBA4E98">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儿童体检统计报表【统计管理】：系统根据国家业务规范要求，按照体检时间、出生日期、姓名等不同口径生成健康检查一览表、健康检查汇总表、体格发育评价年龄、头围与胸围评价、血色素与牙齿评价、五官统计、疾病统计等报表导出与打印功能</w:t>
            </w:r>
          </w:p>
          <w:p w14:paraId="59661375">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应检儿童花名册【统计管理】：系统根据儿童预约体检时间生成应检儿童花名册、预约检查花名册以及逾期未检花名册并实现数据查询与导出功能。</w:t>
            </w:r>
          </w:p>
        </w:tc>
      </w:tr>
      <w:tr w14:paraId="65694647">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shd w:val="clear" w:color="auto" w:fill="CCCCCC" w:themeFill="text1" w:themeFillTint="33"/>
            <w:vAlign w:val="center"/>
          </w:tcPr>
          <w:p w14:paraId="31E14662">
            <w:pP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集体儿童体检</w:t>
            </w:r>
          </w:p>
          <w:p w14:paraId="2A55EEC0">
            <w:pP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（幼儿园）</w:t>
            </w:r>
          </w:p>
        </w:tc>
        <w:tc>
          <w:tcPr>
            <w:tcW w:w="8010" w:type="dxa"/>
            <w:shd w:val="clear" w:color="auto" w:fill="CCCCCC" w:themeFill="text1" w:themeFillTint="33"/>
          </w:tcPr>
          <w:p w14:paraId="3DB50ABA">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具有体检批次维护，数据快速补登功能，能够实现批量体检结果打印，提供按学校，班级，儿童的各种打印报表。同时提供统计上报花名册导出等功能。</w:t>
            </w:r>
          </w:p>
        </w:tc>
      </w:tr>
      <w:tr w14:paraId="7B91F05C">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vAlign w:val="center"/>
          </w:tcPr>
          <w:p w14:paraId="12BA014A">
            <w:pP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集体儿童体检</w:t>
            </w:r>
          </w:p>
          <w:p w14:paraId="04D03227">
            <w:pP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（中小学）</w:t>
            </w:r>
          </w:p>
        </w:tc>
        <w:tc>
          <w:tcPr>
            <w:tcW w:w="8010" w:type="dxa"/>
          </w:tcPr>
          <w:p w14:paraId="4220B379">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具有体检批次维护，数据快速补登功能，能够实现批量体检结果打印，提供按学校，班级，儿童的各种打印报表。同时提供统计上报花名册导出等功能。</w:t>
            </w:r>
          </w:p>
        </w:tc>
      </w:tr>
      <w:tr w14:paraId="2D7A0318">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shd w:val="clear" w:color="auto" w:fill="CCCCCC" w:themeFill="text1" w:themeFillTint="33"/>
            <w:vAlign w:val="center"/>
          </w:tcPr>
          <w:p w14:paraId="28BEFD99">
            <w:pPr>
              <w:rPr>
                <w:rFonts w:hint="eastAsia" w:ascii="微软雅黑" w:hAnsi="微软雅黑" w:eastAsia="微软雅黑"/>
                <w:b w:val="0"/>
                <w:bCs w:val="0"/>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儿童早期发展</w:t>
            </w:r>
          </w:p>
          <w:p w14:paraId="421399F1">
            <w:pPr>
              <w:ind w:firstLine="360"/>
              <w:jc w:val="center"/>
              <w:rPr>
                <w:rFonts w:hint="eastAsia" w:ascii="微软雅黑" w:hAnsi="微软雅黑" w:eastAsia="微软雅黑"/>
                <w:b w:val="0"/>
                <w:bCs w:val="0"/>
                <w:color w:val="000000" w:themeColor="text1"/>
                <w:kern w:val="0"/>
                <w:sz w:val="18"/>
                <w:szCs w:val="18"/>
                <w14:textFill>
                  <w14:solidFill>
                    <w14:schemeClr w14:val="tx1"/>
                  </w14:solidFill>
                </w14:textFill>
              </w:rPr>
            </w:pPr>
          </w:p>
          <w:p w14:paraId="050597B5">
            <w:pP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发育筛查量表</w:t>
            </w:r>
          </w:p>
        </w:tc>
        <w:tc>
          <w:tcPr>
            <w:tcW w:w="8010" w:type="dxa"/>
            <w:shd w:val="clear" w:color="auto" w:fill="CCCCCC" w:themeFill="text1" w:themeFillTint="33"/>
          </w:tcPr>
          <w:p w14:paraId="4299B679">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丹佛发育筛查测验(DDST)</w:t>
            </w:r>
          </w:p>
          <w:p w14:paraId="1DFA10E2">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新生儿20项行为神经测查(NBNA)</w:t>
            </w:r>
          </w:p>
          <w:p w14:paraId="1D66682C">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中文版INFANIB量表（INFANIB）</w:t>
            </w:r>
          </w:p>
          <w:p w14:paraId="7CB7310E">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瑞文智力测试(SPM)</w:t>
            </w:r>
          </w:p>
          <w:p w14:paraId="1AE1D475">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0-6岁儿童智能发育筛查测验（DST）</w:t>
            </w:r>
          </w:p>
          <w:p w14:paraId="64A05568">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心理行为发育评估</w:t>
            </w:r>
          </w:p>
          <w:p w14:paraId="75F96CDE">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儿童学习障碍筛查(5-15岁)</w:t>
            </w:r>
          </w:p>
          <w:p w14:paraId="7CD264AD">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婴幼儿先天疾病筛查量表</w:t>
            </w:r>
          </w:p>
          <w:p w14:paraId="2E6D2D92">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发育行为筛查台账【统计管理】</w:t>
            </w:r>
          </w:p>
        </w:tc>
      </w:tr>
      <w:tr w14:paraId="6A865532">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vAlign w:val="center"/>
          </w:tcPr>
          <w:p w14:paraId="3CD58D61">
            <w:pPr>
              <w:rPr>
                <w:rFonts w:hint="eastAsia" w:ascii="微软雅黑" w:hAnsi="微软雅黑" w:eastAsia="微软雅黑"/>
                <w:b w:val="0"/>
                <w:bCs w:val="0"/>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儿童早期发展</w:t>
            </w:r>
          </w:p>
          <w:p w14:paraId="679D9E06">
            <w:pPr>
              <w:ind w:firstLine="360"/>
              <w:jc w:val="center"/>
              <w:rPr>
                <w:rFonts w:hint="eastAsia" w:ascii="微软雅黑" w:hAnsi="微软雅黑" w:eastAsia="微软雅黑"/>
                <w:b w:val="0"/>
                <w:bCs w:val="0"/>
                <w:color w:val="000000" w:themeColor="text1"/>
                <w:kern w:val="0"/>
                <w:sz w:val="18"/>
                <w:szCs w:val="18"/>
                <w14:textFill>
                  <w14:solidFill>
                    <w14:schemeClr w14:val="tx1"/>
                  </w14:solidFill>
                </w14:textFill>
              </w:rPr>
            </w:pPr>
          </w:p>
          <w:p w14:paraId="24C43994">
            <w:pPr>
              <w:ind w:firstLine="360"/>
              <w:jc w:val="cente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发育诊断量表</w:t>
            </w:r>
          </w:p>
        </w:tc>
        <w:tc>
          <w:tcPr>
            <w:tcW w:w="8010" w:type="dxa"/>
          </w:tcPr>
          <w:p w14:paraId="16E19DBD">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0-6岁儿童发育行为评估（儿心量表-II）</w:t>
            </w:r>
          </w:p>
          <w:p w14:paraId="686D0D43">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0-6岁儿童神经心理发育量表（儿心量表）</w:t>
            </w:r>
          </w:p>
          <w:p w14:paraId="3AA2A69F">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Gesell发育诊断量表（GDS）</w:t>
            </w:r>
          </w:p>
          <w:p w14:paraId="0CDEEF17">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贝利婴幼儿发展量表（BSID）</w:t>
            </w:r>
          </w:p>
          <w:p w14:paraId="5F870A37">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婴幼儿智能发育量表(CDCC)</w:t>
            </w:r>
          </w:p>
          <w:p w14:paraId="5A9FB70C">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中国韦氏智力量表</w:t>
            </w:r>
          </w:p>
          <w:p w14:paraId="3C3E23BF">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ascii="微软雅黑" w:hAnsi="微软雅黑" w:eastAsia="微软雅黑"/>
                <w:color w:val="000000" w:themeColor="text1"/>
                <w:kern w:val="0"/>
                <w:sz w:val="18"/>
                <w:szCs w:val="18"/>
                <w14:textFill>
                  <w14:solidFill>
                    <w14:schemeClr w14:val="tx1"/>
                  </w14:solidFill>
                </w14:textFill>
              </w:rPr>
              <w:t>Alberta</w:t>
            </w:r>
            <w:r>
              <w:rPr>
                <w:rFonts w:hint="eastAsia" w:ascii="微软雅黑" w:hAnsi="微软雅黑" w:eastAsia="微软雅黑"/>
                <w:color w:val="000000" w:themeColor="text1"/>
                <w:kern w:val="0"/>
                <w:sz w:val="18"/>
                <w:szCs w:val="18"/>
                <w14:textFill>
                  <w14:solidFill>
                    <w14:schemeClr w14:val="tx1"/>
                  </w14:solidFill>
                </w14:textFill>
              </w:rPr>
              <w:t>婴儿运动量表（AIMS）</w:t>
            </w:r>
          </w:p>
          <w:p w14:paraId="36EE2ECE">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格里菲斯（Griffiths）发育评估量表</w:t>
            </w:r>
          </w:p>
        </w:tc>
      </w:tr>
      <w:tr w14:paraId="2BEBF3F1">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shd w:val="clear" w:color="auto" w:fill="CCCCCC" w:themeFill="text1" w:themeFillTint="33"/>
            <w:vAlign w:val="center"/>
          </w:tcPr>
          <w:p w14:paraId="3E7F607E">
            <w:pPr>
              <w:rPr>
                <w:rFonts w:hint="eastAsia" w:ascii="微软雅黑" w:hAnsi="微软雅黑" w:eastAsia="微软雅黑"/>
                <w:b w:val="0"/>
                <w:bCs w:val="0"/>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儿童早期发展</w:t>
            </w:r>
          </w:p>
          <w:p w14:paraId="37A588E2">
            <w:pPr>
              <w:ind w:firstLine="360"/>
              <w:jc w:val="center"/>
              <w:rPr>
                <w:rFonts w:hint="eastAsia" w:ascii="微软雅黑" w:hAnsi="微软雅黑" w:eastAsia="微软雅黑"/>
                <w:b w:val="0"/>
                <w:bCs w:val="0"/>
                <w:color w:val="000000" w:themeColor="text1"/>
                <w:kern w:val="0"/>
                <w:sz w:val="18"/>
                <w:szCs w:val="18"/>
                <w14:textFill>
                  <w14:solidFill>
                    <w14:schemeClr w14:val="tx1"/>
                  </w14:solidFill>
                </w14:textFill>
              </w:rPr>
            </w:pPr>
          </w:p>
          <w:p w14:paraId="64810809">
            <w:pP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能力评定量表</w:t>
            </w:r>
          </w:p>
        </w:tc>
        <w:tc>
          <w:tcPr>
            <w:tcW w:w="8010" w:type="dxa"/>
            <w:shd w:val="clear" w:color="auto" w:fill="CCCCCC" w:themeFill="text1" w:themeFillTint="33"/>
          </w:tcPr>
          <w:p w14:paraId="451E3B7A">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0-1岁神经运动检查20项（INMA-20）</w:t>
            </w:r>
          </w:p>
          <w:p w14:paraId="33DC9AFA">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0-1岁神经运动检查52项（INMA-52）</w:t>
            </w:r>
          </w:p>
          <w:p w14:paraId="313232A0">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语言发育迟缓检查（S-S）</w:t>
            </w:r>
          </w:p>
          <w:p w14:paraId="6DCCFABD">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感觉统合评定量表</w:t>
            </w:r>
          </w:p>
          <w:p w14:paraId="6BBC23F6">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Peabody运动发育量表(PDMS-II)</w:t>
            </w:r>
          </w:p>
          <w:p w14:paraId="2BBC8596">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Peabody图片词汇测试（PPVT）</w:t>
            </w:r>
          </w:p>
          <w:p w14:paraId="7A5D90A6">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婴儿-初中生社会生活能力(S-M)</w:t>
            </w:r>
          </w:p>
          <w:p w14:paraId="7283233E">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汉语沟通发展量表</w:t>
            </w:r>
          </w:p>
        </w:tc>
      </w:tr>
      <w:tr w14:paraId="3A805ECA">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vAlign w:val="center"/>
          </w:tcPr>
          <w:p w14:paraId="15FA261E">
            <w:pPr>
              <w:rPr>
                <w:rFonts w:hint="eastAsia" w:ascii="微软雅黑" w:hAnsi="微软雅黑" w:eastAsia="微软雅黑"/>
                <w:b w:val="0"/>
                <w:bCs w:val="0"/>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儿童早期发展</w:t>
            </w:r>
          </w:p>
          <w:p w14:paraId="3894FDE7">
            <w:pPr>
              <w:ind w:firstLine="360"/>
              <w:jc w:val="center"/>
              <w:rPr>
                <w:rFonts w:hint="eastAsia" w:ascii="微软雅黑" w:hAnsi="微软雅黑" w:eastAsia="微软雅黑"/>
                <w:b w:val="0"/>
                <w:bCs w:val="0"/>
                <w:color w:val="000000" w:themeColor="text1"/>
                <w:kern w:val="0"/>
                <w:sz w:val="18"/>
                <w:szCs w:val="18"/>
                <w14:textFill>
                  <w14:solidFill>
                    <w14:schemeClr w14:val="tx1"/>
                  </w14:solidFill>
                </w14:textFill>
              </w:rPr>
            </w:pPr>
          </w:p>
          <w:p w14:paraId="46DD58D1">
            <w:pP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行为症状评定量表</w:t>
            </w:r>
          </w:p>
        </w:tc>
        <w:tc>
          <w:tcPr>
            <w:tcW w:w="8010" w:type="dxa"/>
          </w:tcPr>
          <w:p w14:paraId="34A511DC">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改良婴幼儿孤独症量表(M-CHAT)</w:t>
            </w:r>
          </w:p>
          <w:p w14:paraId="3BAAE6C9">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孤独症行为评定(ABC)</w:t>
            </w:r>
          </w:p>
          <w:p w14:paraId="266479E6">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注意力缺陷多动障碍评定(ADHD)</w:t>
            </w:r>
          </w:p>
          <w:p w14:paraId="77A52DF7">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注意力缺陷-多动障碍(ADHD)评估表（父母教师问卷）</w:t>
            </w:r>
          </w:p>
          <w:p w14:paraId="16E14C87">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ADHD 诊断标准（DSM-V）</w:t>
            </w:r>
          </w:p>
          <w:p w14:paraId="5C418AD1">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ADHD症状及功能损害评定量表</w:t>
            </w:r>
          </w:p>
          <w:p w14:paraId="59776178">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幼儿期孤独症筛查（STAT）</w:t>
            </w:r>
          </w:p>
          <w:p w14:paraId="53E327DD">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0-6 岁儿童期孤独症评估(CARS)</w:t>
            </w:r>
          </w:p>
          <w:p w14:paraId="4C7D1902">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孤独症行为评定(Clancy)</w:t>
            </w:r>
          </w:p>
          <w:p w14:paraId="763545C1">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孤独症诊断观察量表</w:t>
            </w:r>
          </w:p>
          <w:p w14:paraId="74C1E9C2">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孤独症治疗评估量表（ATEC）</w:t>
            </w:r>
          </w:p>
          <w:p w14:paraId="4E31A000">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儿童饮食行为问题筛查（IMFeD）</w:t>
            </w:r>
          </w:p>
          <w:p w14:paraId="60D408D3">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脑瘫粗大运动功能测试量表（GMFM-88）</w:t>
            </w:r>
          </w:p>
          <w:p w14:paraId="416364EA">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0-7 岁脑瘫儿童康复评定</w:t>
            </w:r>
          </w:p>
          <w:p w14:paraId="1D232BD1">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耶鲁综合抽动严重程度量表（YGTSS）</w:t>
            </w:r>
          </w:p>
          <w:p w14:paraId="6954BD5A">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多发性抽动症综合量表（TSGS）</w:t>
            </w:r>
          </w:p>
          <w:p w14:paraId="72F10A06">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简明婴幼儿睡眠问卷（BISQ）</w:t>
            </w:r>
          </w:p>
          <w:p w14:paraId="241A6A56">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儿童睡眠习惯问卷(CSHQ)</w:t>
            </w:r>
          </w:p>
          <w:p w14:paraId="246E3D49">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Conners 评定量表</w:t>
            </w:r>
          </w:p>
          <w:p w14:paraId="3431DD68">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儿童行为评估（Rutter）</w:t>
            </w:r>
          </w:p>
          <w:p w14:paraId="7807A7FC">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SNAP-IV 评定量表</w:t>
            </w:r>
          </w:p>
          <w:p w14:paraId="58C45A25">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婴儿口腔功能测评</w:t>
            </w:r>
          </w:p>
          <w:p w14:paraId="7FC310FC">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儿童行为量表(CBCL)</w:t>
            </w:r>
          </w:p>
          <w:p w14:paraId="796F81B0">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婴幼儿喂养困难评分量表（MCH-FS）</w:t>
            </w:r>
          </w:p>
          <w:p w14:paraId="45CF3DBD">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发育行为评估台账【统计管理】</w:t>
            </w:r>
          </w:p>
        </w:tc>
      </w:tr>
      <w:tr w14:paraId="316074E6">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shd w:val="clear" w:color="auto" w:fill="CCCCCC" w:themeFill="text1" w:themeFillTint="33"/>
            <w:vAlign w:val="center"/>
          </w:tcPr>
          <w:p w14:paraId="385278D1">
            <w:pPr>
              <w:rPr>
                <w:rFonts w:hint="eastAsia" w:ascii="微软雅黑" w:hAnsi="微软雅黑" w:eastAsia="微软雅黑"/>
                <w:b w:val="0"/>
                <w:bCs w:val="0"/>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儿童早期发展气质人格评定量表</w:t>
            </w:r>
          </w:p>
        </w:tc>
        <w:tc>
          <w:tcPr>
            <w:tcW w:w="8010" w:type="dxa"/>
            <w:shd w:val="clear" w:color="auto" w:fill="CCCCCC" w:themeFill="text1" w:themeFillTint="33"/>
          </w:tcPr>
          <w:p w14:paraId="4EF1C03E">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儿童气质量表(Carey)</w:t>
            </w:r>
          </w:p>
          <w:p w14:paraId="2B68EDF4">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中国儿童气质量表(CCTS)</w:t>
            </w:r>
          </w:p>
          <w:p w14:paraId="737D84E7">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艾克森个性测验（EPQ）</w:t>
            </w:r>
          </w:p>
        </w:tc>
      </w:tr>
      <w:tr w14:paraId="6AC5F68D">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vAlign w:val="center"/>
          </w:tcPr>
          <w:p w14:paraId="5C717372">
            <w:pPr>
              <w:rPr>
                <w:rFonts w:hint="eastAsia" w:ascii="微软雅黑" w:hAnsi="微软雅黑" w:eastAsia="微软雅黑"/>
                <w:b w:val="0"/>
                <w:bCs w:val="0"/>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儿童早期发展</w:t>
            </w:r>
          </w:p>
          <w:p w14:paraId="0766B8BB">
            <w:pPr>
              <w:ind w:firstLine="360"/>
              <w:jc w:val="center"/>
              <w:rPr>
                <w:rFonts w:hint="eastAsia" w:ascii="微软雅黑" w:hAnsi="微软雅黑" w:eastAsia="微软雅黑"/>
                <w:b w:val="0"/>
                <w:bCs w:val="0"/>
                <w:color w:val="000000" w:themeColor="text1"/>
                <w:kern w:val="0"/>
                <w:sz w:val="18"/>
                <w:szCs w:val="18"/>
                <w14:textFill>
                  <w14:solidFill>
                    <w14:schemeClr w14:val="tx1"/>
                  </w14:solidFill>
                </w14:textFill>
              </w:rPr>
            </w:pPr>
          </w:p>
          <w:p w14:paraId="0AC98905">
            <w:pPr>
              <w:ind w:firstLine="360"/>
              <w:jc w:val="cente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其他量表</w:t>
            </w:r>
          </w:p>
        </w:tc>
        <w:tc>
          <w:tcPr>
            <w:tcW w:w="8010" w:type="dxa"/>
          </w:tcPr>
          <w:p w14:paraId="709A494C">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0~6 岁儿童家庭养育环境量表(CHNEQ)</w:t>
            </w:r>
          </w:p>
          <w:p w14:paraId="69FAE98F">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幼儿情绪及社会性评估量表（ITSEA）</w:t>
            </w:r>
          </w:p>
          <w:p w14:paraId="59DF0404">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儿童(城市)忽视评价常模量表</w:t>
            </w:r>
          </w:p>
          <w:p w14:paraId="5BA9EAF6">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儿童(农村)忽视评价常模量表</w:t>
            </w:r>
          </w:p>
          <w:p w14:paraId="20A7D395">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发育行为核查量表(波特奇)</w:t>
            </w:r>
          </w:p>
          <w:p w14:paraId="616CCA67">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下肢弯曲评估表</w:t>
            </w:r>
          </w:p>
          <w:p w14:paraId="259DB201">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斜头斜颈评估表</w:t>
            </w:r>
          </w:p>
          <w:p w14:paraId="2DC28903">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功能缺陷量表(Weiss)</w:t>
            </w:r>
          </w:p>
          <w:p w14:paraId="1B0EF7DB">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长处和困难问卷</w:t>
            </w:r>
          </w:p>
          <w:p w14:paraId="28475624">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抑郁自评量表</w:t>
            </w:r>
          </w:p>
          <w:p w14:paraId="53C064CA">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焦虑自评量表</w:t>
            </w:r>
          </w:p>
          <w:p w14:paraId="16E77EB0">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依恋类型调查问卷</w:t>
            </w:r>
          </w:p>
          <w:p w14:paraId="49F3EF97">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SCL-90 症状自评量表</w:t>
            </w:r>
          </w:p>
          <w:p w14:paraId="2E3B62E7">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卡特尔 16 种个性因素</w:t>
            </w:r>
          </w:p>
          <w:p w14:paraId="374DF2BD">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社交反应量表（SRS）</w:t>
            </w:r>
          </w:p>
          <w:p w14:paraId="446606B0">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婴幼儿言语发育进程量表</w:t>
            </w:r>
          </w:p>
          <w:p w14:paraId="191B7976">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QCD 儿童困难问卷</w:t>
            </w:r>
          </w:p>
          <w:p w14:paraId="4E0F7072">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VB-MAPP 评估量表</w:t>
            </w:r>
          </w:p>
          <w:p w14:paraId="41599151">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早期仿说能力评估量表（EESA）</w:t>
            </w:r>
          </w:p>
          <w:p w14:paraId="2428AA57">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0-6 岁中医体质辨识问卷</w:t>
            </w:r>
          </w:p>
          <w:p w14:paraId="471BA43F">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中学生心理健康检测</w:t>
            </w:r>
          </w:p>
          <w:p w14:paraId="0A78DA29">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养育信心问卷</w:t>
            </w:r>
          </w:p>
          <w:p w14:paraId="5955FF21">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自闭症特质问卷（AQadult）</w:t>
            </w:r>
          </w:p>
          <w:p w14:paraId="53298395">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儿童自我意识量表（PHCSS）</w:t>
            </w:r>
          </w:p>
          <w:p w14:paraId="7AA9C8DC">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儿童焦虑性情绪障碍筛查表（SCARED）</w:t>
            </w:r>
          </w:p>
          <w:p w14:paraId="5E8BA90A">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儿童抑郁障碍自评量表（DSRSC）</w:t>
            </w:r>
          </w:p>
          <w:p w14:paraId="2EE0CE0F">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婴幼儿行为问题调查</w:t>
            </w:r>
          </w:p>
          <w:p w14:paraId="014DDEBC">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婴儿牛奶蛋白过敏风险评估</w:t>
            </w:r>
          </w:p>
          <w:p w14:paraId="23667823">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儿童孤独症家长问卷（PDDSQ）</w:t>
            </w:r>
          </w:p>
          <w:p w14:paraId="2D1BA624">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婴幼儿沟通和象征性行为发展量表</w:t>
            </w:r>
          </w:p>
          <w:p w14:paraId="18C186BD">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口部运动功能评估</w:t>
            </w:r>
          </w:p>
          <w:p w14:paraId="535ABFB6">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先兆冲动量表</w:t>
            </w:r>
          </w:p>
          <w:p w14:paraId="5B799068">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感觉讯息处理及自我调节功能检核表</w:t>
            </w:r>
          </w:p>
          <w:p w14:paraId="61A5BB7F">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执行功能的行为评定量表</w:t>
            </w:r>
          </w:p>
          <w:p w14:paraId="2E16EF8C">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重复刻板行为检查表（RBS-R）</w:t>
            </w:r>
          </w:p>
          <w:p w14:paraId="40F0A3BA">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其他量表台账【统计管理】</w:t>
            </w:r>
          </w:p>
        </w:tc>
      </w:tr>
      <w:tr w14:paraId="30D9A647">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shd w:val="clear" w:color="auto" w:fill="CCCCCC" w:themeFill="text1" w:themeFillTint="33"/>
            <w:vAlign w:val="center"/>
          </w:tcPr>
          <w:p w14:paraId="47907336">
            <w:pP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系统模块</w:t>
            </w:r>
          </w:p>
        </w:tc>
        <w:tc>
          <w:tcPr>
            <w:tcW w:w="8010" w:type="dxa"/>
            <w:shd w:val="clear" w:color="auto" w:fill="CCCCCC" w:themeFill="text1" w:themeFillTint="33"/>
          </w:tcPr>
          <w:p w14:paraId="0BA0BF5A">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系统用户角色配置，用户字典维护，LIS数据映射管理，系统互联接口设置，ICD疾病维护，发育评价标准切换设置，全局打印设置，个性化体检选项配置，短信系统管理，医护工作量统计，业务量统计。</w:t>
            </w:r>
          </w:p>
        </w:tc>
      </w:tr>
      <w:tr w14:paraId="58334EAB">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vAlign w:val="center"/>
          </w:tcPr>
          <w:p w14:paraId="28CCCFAE">
            <w:pP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五官保健专科</w:t>
            </w:r>
          </w:p>
        </w:tc>
        <w:tc>
          <w:tcPr>
            <w:tcW w:w="8010" w:type="dxa"/>
          </w:tcPr>
          <w:p w14:paraId="5448108A">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口腔保健门诊:</w:t>
            </w:r>
            <w:r>
              <w:rPr>
                <w:rFonts w:hint="eastAsia"/>
                <w:color w:val="000000" w:themeColor="text1"/>
                <w:kern w:val="0"/>
                <w:sz w:val="22"/>
                <w14:textFill>
                  <w14:solidFill>
                    <w14:schemeClr w14:val="tx1"/>
                  </w14:solidFill>
                </w14:textFill>
              </w:rPr>
              <w:t xml:space="preserve"> </w:t>
            </w:r>
            <w:r>
              <w:rPr>
                <w:rFonts w:hint="eastAsia" w:ascii="微软雅黑" w:hAnsi="微软雅黑" w:eastAsia="微软雅黑"/>
                <w:color w:val="000000" w:themeColor="text1"/>
                <w:kern w:val="0"/>
                <w:sz w:val="18"/>
                <w:szCs w:val="18"/>
                <w14:textFill>
                  <w14:solidFill>
                    <w14:schemeClr w14:val="tx1"/>
                  </w14:solidFill>
                </w14:textFill>
              </w:rPr>
              <w:t>五官保健专科门诊口腔保健指导</w:t>
            </w:r>
          </w:p>
          <w:p w14:paraId="6BAF5F2A">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眼及视力保健门诊：五官保健专科门诊眼及视力保健指导</w:t>
            </w:r>
          </w:p>
          <w:p w14:paraId="41E2B0B7">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耳鼻及听力保健门诊：五官保健专科门诊耳鼻及听力保健指导</w:t>
            </w:r>
          </w:p>
          <w:p w14:paraId="30A22A08">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五官保健台账【统计管理】：口腔保健、眼及视力保健、耳鼻及听力保健各专科管理数据查询统计</w:t>
            </w:r>
          </w:p>
        </w:tc>
      </w:tr>
      <w:tr w14:paraId="780D7120">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shd w:val="clear" w:color="auto" w:fill="CCCCCC" w:themeFill="text1" w:themeFillTint="33"/>
            <w:vAlign w:val="center"/>
          </w:tcPr>
          <w:p w14:paraId="435DE730">
            <w:pPr>
              <w:rPr>
                <w:rFonts w:hint="eastAsia" w:ascii="微软雅黑" w:hAnsi="微软雅黑" w:eastAsia="微软雅黑"/>
                <w:b w:val="0"/>
                <w:bCs w:val="0"/>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新生儿保健</w:t>
            </w:r>
          </w:p>
          <w:p w14:paraId="047AF9F4">
            <w:pP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【适合新生儿科，出院前专用】</w:t>
            </w:r>
          </w:p>
        </w:tc>
        <w:tc>
          <w:tcPr>
            <w:tcW w:w="8010" w:type="dxa"/>
            <w:shd w:val="clear" w:color="auto" w:fill="CCCCCC" w:themeFill="text1" w:themeFillTint="33"/>
          </w:tcPr>
          <w:p w14:paraId="7CD3AD20">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新生儿体检及离院小结</w:t>
            </w:r>
          </w:p>
          <w:p w14:paraId="5FA59A43">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新生儿黄疸监测及监测图:对住院期间新生儿黄疸进行检测，支持时龄黄疸监测图。</w:t>
            </w:r>
          </w:p>
          <w:p w14:paraId="6F1BDD12">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本院分娩新生儿追访表【支持推送】：</w:t>
            </w:r>
          </w:p>
          <w:p w14:paraId="1AFCE87D">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新生儿访视</w:t>
            </w:r>
          </w:p>
          <w:p w14:paraId="736FBB14">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新生儿体检台账【统计管理】</w:t>
            </w:r>
          </w:p>
          <w:p w14:paraId="2068ECE6">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新生儿体检花名册【统计管理】</w:t>
            </w:r>
          </w:p>
          <w:p w14:paraId="7454E621">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新生儿黄疸监测台账【统计管理】</w:t>
            </w:r>
          </w:p>
        </w:tc>
      </w:tr>
      <w:tr w14:paraId="540866D1">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vAlign w:val="center"/>
          </w:tcPr>
          <w:p w14:paraId="36B9E39E">
            <w:pP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专案管理</w:t>
            </w:r>
          </w:p>
        </w:tc>
        <w:tc>
          <w:tcPr>
            <w:tcW w:w="8010" w:type="dxa"/>
          </w:tcPr>
          <w:p w14:paraId="145DFC24">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非专案管理体弱儿筛查</w:t>
            </w:r>
          </w:p>
          <w:p w14:paraId="749EBF73">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高危儿专案管理：针对存在高危因素儿童进行专案建档管理</w:t>
            </w:r>
          </w:p>
          <w:p w14:paraId="09239ED5">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营养性疾病管理登记表：根据不同统计口径对营养性疾病专案管理患者进行数据查询与导出</w:t>
            </w:r>
          </w:p>
          <w:p w14:paraId="36911531">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营养性疾病专案：建立营养性疾病档案以及通过儿童常规体检筛查存在营养性疾病问题儿童推荐转入专案管理</w:t>
            </w:r>
          </w:p>
          <w:p w14:paraId="76E6BB09">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生长发育专案:</w:t>
            </w:r>
            <w:r>
              <w:rPr>
                <w:rFonts w:hint="eastAsia"/>
                <w:color w:val="000000" w:themeColor="text1"/>
                <w:kern w:val="0"/>
                <w:sz w:val="22"/>
                <w14:textFill>
                  <w14:solidFill>
                    <w14:schemeClr w14:val="tx1"/>
                  </w14:solidFill>
                </w14:textFill>
              </w:rPr>
              <w:t xml:space="preserve"> </w:t>
            </w:r>
            <w:r>
              <w:rPr>
                <w:rFonts w:hint="eastAsia" w:ascii="微软雅黑" w:hAnsi="微软雅黑" w:eastAsia="微软雅黑"/>
                <w:color w:val="000000" w:themeColor="text1"/>
                <w:kern w:val="0"/>
                <w:sz w:val="18"/>
                <w:szCs w:val="18"/>
                <w14:textFill>
                  <w14:solidFill>
                    <w14:schemeClr w14:val="tx1"/>
                  </w14:solidFill>
                </w14:textFill>
              </w:rPr>
              <w:t>根据青春期、既往史、出生史、家族史、社会环境和社会心理病史、系统回顾以及高危因素等信息针对就诊儿童建立儿童生长发育专案</w:t>
            </w:r>
          </w:p>
          <w:p w14:paraId="0CA237FE">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早产儿专案：早产儿可专案管理，对高危早产儿和低危早产儿支持分级管理。</w:t>
            </w:r>
          </w:p>
          <w:p w14:paraId="464AB828">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先天性心脏病专案：针对存在先天性心脏病的儿童进行专案建档管理</w:t>
            </w:r>
          </w:p>
          <w:p w14:paraId="3B87A8CE">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过敏专案：针对存在食物过敏、药物过敏等各类过敏因素的儿童进行专案建档管理</w:t>
            </w:r>
          </w:p>
          <w:p w14:paraId="5E63AB3E">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康复专案：儿童保健康复专科门诊就诊儿童专案管理</w:t>
            </w:r>
          </w:p>
          <w:p w14:paraId="30AD6382">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佝偻病专案【带图像采集】：针对存在佝偻病体征、症状的儿童进行专案建档管理</w:t>
            </w:r>
          </w:p>
          <w:p w14:paraId="06CF40FB">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心理行为发育专案:</w:t>
            </w:r>
            <w:r>
              <w:rPr>
                <w:rFonts w:hint="eastAsia"/>
                <w:color w:val="000000" w:themeColor="text1"/>
                <w:kern w:val="0"/>
                <w:sz w:val="22"/>
                <w14:textFill>
                  <w14:solidFill>
                    <w14:schemeClr w14:val="tx1"/>
                  </w14:solidFill>
                </w14:textFill>
              </w:rPr>
              <w:t xml:space="preserve"> </w:t>
            </w:r>
            <w:r>
              <w:rPr>
                <w:rFonts w:hint="eastAsia" w:ascii="微软雅黑" w:hAnsi="微软雅黑" w:eastAsia="微软雅黑"/>
                <w:color w:val="000000" w:themeColor="text1"/>
                <w:kern w:val="0"/>
                <w:sz w:val="18"/>
                <w:szCs w:val="18"/>
                <w14:textFill>
                  <w14:solidFill>
                    <w14:schemeClr w14:val="tx1"/>
                  </w14:solidFill>
                </w14:textFill>
              </w:rPr>
              <w:t>心理行为专案建档、体格检查、诊断处理、历史记录、发育行为筛查量表、发育行为诊断量表、能力评定量表、行为症状评定量表、气质人格评定量表、其他量表。</w:t>
            </w:r>
          </w:p>
          <w:p w14:paraId="57FC8CFD">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婴儿运动训练</w:t>
            </w:r>
          </w:p>
          <w:p w14:paraId="0EB99B68">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高危儿专科检查:</w:t>
            </w:r>
            <w:r>
              <w:rPr>
                <w:rFonts w:hint="eastAsia"/>
                <w:color w:val="000000" w:themeColor="text1"/>
                <w:kern w:val="0"/>
                <w:sz w:val="22"/>
                <w14:textFill>
                  <w14:solidFill>
                    <w14:schemeClr w14:val="tx1"/>
                  </w14:solidFill>
                </w14:textFill>
              </w:rPr>
              <w:t xml:space="preserve"> </w:t>
            </w:r>
            <w:r>
              <w:rPr>
                <w:rFonts w:hint="eastAsia" w:ascii="微软雅黑" w:hAnsi="微软雅黑" w:eastAsia="微软雅黑"/>
                <w:color w:val="000000" w:themeColor="text1"/>
                <w:kern w:val="0"/>
                <w:sz w:val="18"/>
                <w:szCs w:val="18"/>
                <w14:textFill>
                  <w14:solidFill>
                    <w14:schemeClr w14:val="tx1"/>
                  </w14:solidFill>
                </w14:textFill>
              </w:rPr>
              <w:t>针对高危儿童进行专项检查内容</w:t>
            </w:r>
          </w:p>
          <w:p w14:paraId="018BA1ED">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高危儿花名册【统计管理】:</w:t>
            </w:r>
            <w:r>
              <w:rPr>
                <w:rFonts w:hint="eastAsia" w:eastAsiaTheme="minorHAnsi"/>
                <w:color w:val="auto"/>
                <w:kern w:val="2"/>
                <w:sz w:val="24"/>
                <w:szCs w:val="24"/>
              </w:rPr>
              <w:t xml:space="preserve"> </w:t>
            </w:r>
            <w:r>
              <w:rPr>
                <w:rFonts w:hint="eastAsia" w:ascii="微软雅黑" w:hAnsi="微软雅黑" w:eastAsia="微软雅黑"/>
                <w:color w:val="000000" w:themeColor="text1"/>
                <w:kern w:val="0"/>
                <w:sz w:val="18"/>
                <w:szCs w:val="18"/>
                <w14:textFill>
                  <w14:solidFill>
                    <w14:schemeClr w14:val="tx1"/>
                  </w14:solidFill>
                </w14:textFill>
              </w:rPr>
              <w:t>系统管理所有高危儿数据进行统计</w:t>
            </w:r>
          </w:p>
          <w:p w14:paraId="64CFBCF7">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铅暴露监测及干预：针对有铅暴露风险的儿童进行专案建档管理</w:t>
            </w:r>
          </w:p>
          <w:p w14:paraId="10912E98">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早产儿年报【统计管理】</w:t>
            </w:r>
          </w:p>
          <w:p w14:paraId="2CB53A83">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早产儿专案管理登记表：根据不同统计口径对早产儿专案管理患者进行数据查询与导出</w:t>
            </w:r>
          </w:p>
          <w:p w14:paraId="3F927D65">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抽动症专案：对存在抽动障碍的儿童进行专案管理，支持历次检查记录结果的纵向对比。</w:t>
            </w:r>
          </w:p>
          <w:p w14:paraId="71E1624E">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孤独症专案：对存在孤独症障碍的儿童进行专案管理，支持历次检查记录结果的纵向对比。</w:t>
            </w:r>
          </w:p>
          <w:p w14:paraId="6E8549A3">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特殊儿童疫苗接种MDT记录：在疫苗接种中对存在特殊情况的儿童进行专案管理</w:t>
            </w:r>
          </w:p>
          <w:p w14:paraId="0A66E36F">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儿童遗传代谢病专案：对存在遗传代谢疾病的儿童进行专案管理</w:t>
            </w:r>
          </w:p>
          <w:p w14:paraId="282FDE7C">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多动症障碍专案管理：对存在多动症障碍的儿童进行专案管理，支持历次检查记录结果的纵向对比。</w:t>
            </w:r>
          </w:p>
          <w:p w14:paraId="4F77079F">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长期康复治疗专案：</w:t>
            </w:r>
            <w:bookmarkStart w:id="0" w:name="OLE_LINK3"/>
            <w:r>
              <w:rPr>
                <w:rFonts w:hint="eastAsia" w:ascii="微软雅黑" w:hAnsi="微软雅黑" w:eastAsia="微软雅黑"/>
                <w:color w:val="000000" w:themeColor="text1"/>
                <w:kern w:val="0"/>
                <w:sz w:val="18"/>
                <w:szCs w:val="18"/>
                <w14:textFill>
                  <w14:solidFill>
                    <w14:schemeClr w14:val="tx1"/>
                  </w14:solidFill>
                </w14:textFill>
              </w:rPr>
              <w:t>对需要长期康复治疗的儿童进行专案管理</w:t>
            </w:r>
            <w:bookmarkEnd w:id="0"/>
            <w:r>
              <w:rPr>
                <w:rFonts w:hint="eastAsia" w:ascii="微软雅黑" w:hAnsi="微软雅黑" w:eastAsia="微软雅黑"/>
                <w:color w:val="000000" w:themeColor="text1"/>
                <w:kern w:val="0"/>
                <w:sz w:val="18"/>
                <w:szCs w:val="18"/>
                <w14:textFill>
                  <w14:solidFill>
                    <w14:schemeClr w14:val="tx1"/>
                  </w14:solidFill>
                </w14:textFill>
              </w:rPr>
              <w:t>，支持对物理治疗、作业治疗、认知治疗、感统治疗、运动治疗等治疗做详细记录及治疗评价。</w:t>
            </w:r>
          </w:p>
          <w:p w14:paraId="246C5108">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推拿专案：对需要进程中医推拿治疗的儿童进行专案管理，支持对不同中医专断开立对应的中医推拿处方，</w:t>
            </w:r>
          </w:p>
          <w:p w14:paraId="6A6D5374">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儿童癫痫专案：对存在癫痫的儿童进行专案管理</w:t>
            </w:r>
          </w:p>
          <w:p w14:paraId="7F278824">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过敏哮喘专案：对存在过敏哮喘的儿童进行专案管理</w:t>
            </w:r>
          </w:p>
          <w:p w14:paraId="2A9EC8B6">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白血病专案：对白血病儿童进行专案管理</w:t>
            </w:r>
          </w:p>
          <w:p w14:paraId="2886BCDE">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狼疮肾炎专案：对狼疮肾炎儿童进行专案管理</w:t>
            </w:r>
          </w:p>
        </w:tc>
      </w:tr>
      <w:tr w14:paraId="5B763F4A">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shd w:val="clear" w:color="auto" w:fill="CCCCCC" w:themeFill="text1" w:themeFillTint="33"/>
            <w:vAlign w:val="center"/>
          </w:tcPr>
          <w:p w14:paraId="615D356B">
            <w:pP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专项检查</w:t>
            </w:r>
          </w:p>
        </w:tc>
        <w:tc>
          <w:tcPr>
            <w:tcW w:w="8010" w:type="dxa"/>
            <w:shd w:val="clear" w:color="auto" w:fill="CCCCCC" w:themeFill="text1" w:themeFillTint="33"/>
          </w:tcPr>
          <w:p w14:paraId="4FD72D60">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早期教育</w:t>
            </w:r>
          </w:p>
          <w:p w14:paraId="0CF49E1C">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行为心理发育异常</w:t>
            </w:r>
          </w:p>
          <w:p w14:paraId="1F6250AC">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0-4月筛查</w:t>
            </w:r>
          </w:p>
          <w:p w14:paraId="19BD8850">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过敏风险评估</w:t>
            </w:r>
          </w:p>
          <w:p w14:paraId="172336E3">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COMISS评分</w:t>
            </w:r>
          </w:p>
          <w:p w14:paraId="3CFD636E">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开放性食物激发试验</w:t>
            </w:r>
          </w:p>
          <w:p w14:paraId="5FDC38F1">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康复评估</w:t>
            </w:r>
          </w:p>
          <w:p w14:paraId="1E81686B">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婴儿脑神经发育检查</w:t>
            </w:r>
          </w:p>
          <w:p w14:paraId="658F95CE">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婴儿脑神经发育检查台账</w:t>
            </w:r>
          </w:p>
          <w:p w14:paraId="5072DDDF">
            <w:pPr>
              <w:ind w:firstLine="360"/>
              <w:rPr>
                <w:rFonts w:hint="eastAsia" w:ascii="微软雅黑" w:hAnsi="微软雅黑" w:eastAsia="微软雅黑"/>
                <w:color w:val="auto"/>
                <w:kern w:val="0"/>
                <w:sz w:val="18"/>
                <w:szCs w:val="18"/>
              </w:rPr>
            </w:pPr>
            <w:r>
              <w:rPr>
                <w:rFonts w:hint="eastAsia" w:ascii="微软雅黑" w:hAnsi="微软雅黑" w:eastAsia="微软雅黑"/>
                <w:color w:val="auto"/>
                <w:kern w:val="0"/>
                <w:sz w:val="18"/>
                <w:szCs w:val="18"/>
              </w:rPr>
              <w:t>骨密度登记</w:t>
            </w:r>
          </w:p>
          <w:p w14:paraId="61B68C47">
            <w:pPr>
              <w:ind w:firstLine="360"/>
              <w:rPr>
                <w:rFonts w:hint="eastAsia" w:ascii="微软雅黑" w:hAnsi="微软雅黑" w:eastAsia="微软雅黑"/>
                <w:color w:val="auto"/>
                <w:kern w:val="0"/>
                <w:sz w:val="18"/>
                <w:szCs w:val="18"/>
              </w:rPr>
            </w:pPr>
            <w:r>
              <w:rPr>
                <w:rFonts w:hint="eastAsia" w:ascii="微软雅黑" w:hAnsi="微软雅黑" w:eastAsia="微软雅黑"/>
                <w:color w:val="auto"/>
                <w:kern w:val="0"/>
                <w:sz w:val="18"/>
                <w:szCs w:val="18"/>
              </w:rPr>
              <w:t>母乳分析登记</w:t>
            </w:r>
          </w:p>
          <w:p w14:paraId="33305896">
            <w:pPr>
              <w:ind w:firstLine="360"/>
              <w:rPr>
                <w:rFonts w:hint="eastAsia" w:ascii="微软雅黑" w:hAnsi="微软雅黑" w:eastAsia="微软雅黑"/>
                <w:color w:val="auto"/>
                <w:kern w:val="0"/>
                <w:sz w:val="18"/>
                <w:szCs w:val="18"/>
              </w:rPr>
            </w:pPr>
            <w:r>
              <w:rPr>
                <w:rFonts w:hint="eastAsia" w:ascii="微软雅黑" w:hAnsi="微软雅黑" w:eastAsia="微软雅黑"/>
                <w:color w:val="auto"/>
                <w:kern w:val="0"/>
                <w:sz w:val="18"/>
                <w:szCs w:val="18"/>
              </w:rPr>
              <w:t>足态仪登记</w:t>
            </w:r>
          </w:p>
          <w:p w14:paraId="60C32F55">
            <w:pPr>
              <w:ind w:firstLine="360"/>
              <w:rPr>
                <w:rFonts w:hint="eastAsia" w:ascii="微软雅黑" w:hAnsi="微软雅黑" w:eastAsia="微软雅黑"/>
                <w:color w:val="auto"/>
                <w:kern w:val="0"/>
                <w:sz w:val="18"/>
                <w:szCs w:val="18"/>
              </w:rPr>
            </w:pPr>
            <w:r>
              <w:rPr>
                <w:rFonts w:hint="eastAsia" w:ascii="微软雅黑" w:hAnsi="微软雅黑" w:eastAsia="微软雅黑"/>
                <w:color w:val="auto"/>
                <w:kern w:val="0"/>
                <w:sz w:val="18"/>
                <w:szCs w:val="18"/>
              </w:rPr>
              <w:t>体态评估</w:t>
            </w:r>
          </w:p>
          <w:p w14:paraId="3AFBBC9A">
            <w:pPr>
              <w:ind w:firstLine="360"/>
              <w:rPr>
                <w:rFonts w:hint="eastAsia" w:ascii="微软雅黑" w:hAnsi="微软雅黑" w:eastAsia="微软雅黑"/>
                <w:color w:val="auto"/>
                <w:kern w:val="0"/>
                <w:sz w:val="18"/>
                <w:szCs w:val="18"/>
              </w:rPr>
            </w:pPr>
            <w:r>
              <w:rPr>
                <w:rFonts w:hint="eastAsia" w:ascii="微软雅黑" w:hAnsi="微软雅黑" w:eastAsia="微软雅黑"/>
                <w:color w:val="auto"/>
                <w:kern w:val="0"/>
                <w:sz w:val="18"/>
                <w:szCs w:val="18"/>
              </w:rPr>
              <w:t>过敏原皮肤点刺检查</w:t>
            </w:r>
          </w:p>
          <w:p w14:paraId="667F28EC">
            <w:pPr>
              <w:ind w:firstLine="360"/>
              <w:rPr>
                <w:rFonts w:hint="eastAsia" w:ascii="微软雅黑" w:hAnsi="微软雅黑" w:eastAsia="微软雅黑"/>
                <w:color w:val="auto"/>
                <w:kern w:val="0"/>
                <w:sz w:val="18"/>
                <w:szCs w:val="18"/>
              </w:rPr>
            </w:pPr>
            <w:r>
              <w:rPr>
                <w:rFonts w:hint="eastAsia" w:ascii="微软雅黑" w:hAnsi="微软雅黑" w:eastAsia="微软雅黑"/>
                <w:color w:val="auto"/>
                <w:kern w:val="0"/>
                <w:sz w:val="18"/>
                <w:szCs w:val="18"/>
              </w:rPr>
              <w:t>牛奶相关症状评分（CoMiSS）</w:t>
            </w:r>
          </w:p>
          <w:p w14:paraId="3751E2CA">
            <w:pPr>
              <w:ind w:firstLine="360"/>
              <w:rPr>
                <w:rFonts w:hint="eastAsia" w:ascii="微软雅黑" w:hAnsi="微软雅黑" w:eastAsia="微软雅黑"/>
                <w:color w:val="auto"/>
                <w:kern w:val="0"/>
                <w:sz w:val="18"/>
                <w:szCs w:val="18"/>
              </w:rPr>
            </w:pPr>
            <w:r>
              <w:rPr>
                <w:rFonts w:hint="eastAsia" w:ascii="微软雅黑" w:hAnsi="微软雅黑" w:eastAsia="微软雅黑"/>
                <w:color w:val="auto"/>
                <w:kern w:val="0"/>
                <w:sz w:val="18"/>
                <w:szCs w:val="18"/>
              </w:rPr>
              <w:t>龋易感性专项检查</w:t>
            </w:r>
          </w:p>
        </w:tc>
      </w:tr>
      <w:tr w14:paraId="11631A20">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vAlign w:val="center"/>
          </w:tcPr>
          <w:p w14:paraId="6266E6E7">
            <w:pP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转诊会诊管理</w:t>
            </w:r>
          </w:p>
        </w:tc>
        <w:tc>
          <w:tcPr>
            <w:tcW w:w="8010" w:type="dxa"/>
          </w:tcPr>
          <w:p w14:paraId="20B510C6">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转诊管理</w:t>
            </w:r>
          </w:p>
          <w:p w14:paraId="5D514223">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会诊管理</w:t>
            </w:r>
          </w:p>
        </w:tc>
      </w:tr>
      <w:tr w14:paraId="5BF579B8">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shd w:val="clear" w:color="auto" w:fill="CCCCCC" w:themeFill="text1" w:themeFillTint="33"/>
            <w:vAlign w:val="center"/>
          </w:tcPr>
          <w:p w14:paraId="21EDF633">
            <w:pP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增强核心模块</w:t>
            </w:r>
          </w:p>
        </w:tc>
        <w:tc>
          <w:tcPr>
            <w:tcW w:w="8010" w:type="dxa"/>
            <w:shd w:val="clear" w:color="auto" w:fill="CCCCCC" w:themeFill="text1" w:themeFillTint="33"/>
          </w:tcPr>
          <w:p w14:paraId="410ABB53">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持续更新的专家知识库系统</w:t>
            </w:r>
          </w:p>
          <w:p w14:paraId="53C12CDA">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多种评价标准，含早产儿芬顿曲线</w:t>
            </w:r>
          </w:p>
          <w:p w14:paraId="34E28EE6">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支持多院区或分支机构的组织管理</w:t>
            </w:r>
          </w:p>
          <w:p w14:paraId="7290D003">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全科医生自定义流程设置</w:t>
            </w:r>
          </w:p>
          <w:p w14:paraId="388907B7">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LIS数据自动匹配识别自动采集</w:t>
            </w:r>
          </w:p>
          <w:p w14:paraId="7BF9BE6F">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带辅助诊断的智能标签</w:t>
            </w:r>
          </w:p>
          <w:p w14:paraId="370BA90D">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服务端极速打印</w:t>
            </w:r>
          </w:p>
          <w:p w14:paraId="556133F5">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支持多评估标准切换</w:t>
            </w:r>
          </w:p>
          <w:p w14:paraId="0D132ED9">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支持医院信息化安全评级的授权策略</w:t>
            </w:r>
          </w:p>
          <w:p w14:paraId="33F90370">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可配置的病历回写（无需二次开发）</w:t>
            </w:r>
          </w:p>
          <w:p w14:paraId="7305B9E6">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支持微信/小程序端AI儿保助理扩展</w:t>
            </w:r>
          </w:p>
          <w:p w14:paraId="3DB9A112">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提供SDK界面集成</w:t>
            </w:r>
          </w:p>
          <w:p w14:paraId="1564F467">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可二开支持CDR/数据集成平台</w:t>
            </w:r>
          </w:p>
          <w:p w14:paraId="5D00C41F">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可集成公共卫生平台标准数据接口</w:t>
            </w:r>
          </w:p>
          <w:p w14:paraId="0170B5A7">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可集成各种电子健康卡系统和平台</w:t>
            </w:r>
          </w:p>
        </w:tc>
      </w:tr>
      <w:tr w14:paraId="68BA63C2">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vAlign w:val="center"/>
          </w:tcPr>
          <w:p w14:paraId="734B6E92">
            <w:pPr>
              <w:rPr>
                <w:rFonts w:hint="eastAsia" w:ascii="微软雅黑" w:hAnsi="微软雅黑" w:eastAsia="微软雅黑"/>
                <w:b/>
                <w:bCs/>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实施售后服务</w:t>
            </w:r>
          </w:p>
        </w:tc>
        <w:tc>
          <w:tcPr>
            <w:tcW w:w="8010" w:type="dxa"/>
          </w:tcPr>
          <w:p w14:paraId="2FDDBD78">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提供上门实施安装培训服务，建立长期的技术服务交流群</w:t>
            </w:r>
          </w:p>
        </w:tc>
      </w:tr>
      <w:tr w14:paraId="37197B13">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shd w:val="clear" w:color="auto" w:fill="CCCCCC" w:themeFill="text1" w:themeFillTint="33"/>
            <w:vAlign w:val="center"/>
          </w:tcPr>
          <w:p w14:paraId="5191E809">
            <w:pPr>
              <w:rPr>
                <w:rFonts w:hint="eastAsia" w:ascii="微软雅黑" w:hAnsi="微软雅黑" w:eastAsia="微软雅黑"/>
                <w:b w:val="0"/>
                <w:bCs w:val="0"/>
                <w:color w:val="000000" w:themeColor="text1"/>
                <w:kern w:val="0"/>
                <w:sz w:val="18"/>
                <w:szCs w:val="18"/>
                <w14:textFill>
                  <w14:solidFill>
                    <w14:schemeClr w14:val="tx1"/>
                  </w14:solidFill>
                </w14:textFill>
              </w:rPr>
            </w:pPr>
            <w:r>
              <w:rPr>
                <w:rFonts w:hint="eastAsia" w:ascii="微软雅黑" w:hAnsi="微软雅黑" w:eastAsia="微软雅黑"/>
                <w:b/>
                <w:bCs/>
                <w:color w:val="000000" w:themeColor="text1"/>
                <w:kern w:val="0"/>
                <w:sz w:val="18"/>
                <w:szCs w:val="18"/>
                <w14:textFill>
                  <w14:solidFill>
                    <w14:schemeClr w14:val="tx1"/>
                  </w14:solidFill>
                </w14:textFill>
              </w:rPr>
              <w:t>高级对接服务</w:t>
            </w:r>
          </w:p>
        </w:tc>
        <w:tc>
          <w:tcPr>
            <w:tcW w:w="8010" w:type="dxa"/>
            <w:shd w:val="clear" w:color="auto" w:fill="CCCCCC" w:themeFill="text1" w:themeFillTint="33"/>
          </w:tcPr>
          <w:p w14:paraId="657F83F3">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HIS查人，基本档案对接（标准视图）</w:t>
            </w:r>
          </w:p>
          <w:p w14:paraId="05A6B109">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LIS对接（标准视图）</w:t>
            </w:r>
          </w:p>
          <w:p w14:paraId="2618FCB0">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电子病历系统对接</w:t>
            </w:r>
          </w:p>
          <w:p w14:paraId="5F28B0F4">
            <w:pPr>
              <w:ind w:firstLine="360"/>
              <w:rPr>
                <w:rFonts w:hint="eastAsia" w:ascii="微软雅黑" w:hAnsi="微软雅黑" w:eastAsia="微软雅黑"/>
                <w:color w:val="000000" w:themeColor="text1"/>
                <w:kern w:val="0"/>
                <w:sz w:val="18"/>
                <w:szCs w:val="18"/>
                <w14:textFill>
                  <w14:solidFill>
                    <w14:schemeClr w14:val="tx1"/>
                  </w14:solidFill>
                </w14:textFill>
              </w:rPr>
            </w:pPr>
            <w:r>
              <w:rPr>
                <w:rFonts w:hint="eastAsia" w:ascii="微软雅黑" w:hAnsi="微软雅黑" w:eastAsia="微软雅黑"/>
                <w:color w:val="000000" w:themeColor="text1"/>
                <w:kern w:val="0"/>
                <w:sz w:val="18"/>
                <w:szCs w:val="18"/>
                <w14:textFill>
                  <w14:solidFill>
                    <w14:schemeClr w14:val="tx1"/>
                  </w14:solidFill>
                </w14:textFill>
              </w:rPr>
              <w:t>产科系统对接</w:t>
            </w:r>
          </w:p>
        </w:tc>
      </w:tr>
      <w:tr w14:paraId="5BC14773">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c>
          <w:tcPr>
            <w:tcW w:w="1341" w:type="dxa"/>
            <w:vAlign w:val="center"/>
          </w:tcPr>
          <w:p w14:paraId="67935A19">
            <w:pPr>
              <w:rPr>
                <w:rFonts w:hint="eastAsia" w:ascii="微软雅黑" w:hAnsi="微软雅黑" w:eastAsia="微软雅黑" w:cs="仿宋"/>
                <w:b w:val="0"/>
                <w:bCs w:val="0"/>
                <w:color w:val="000000" w:themeColor="text1"/>
                <w:kern w:val="0"/>
                <w:sz w:val="18"/>
                <w:szCs w:val="18"/>
                <w14:textFill>
                  <w14:solidFill>
                    <w14:schemeClr w14:val="tx1"/>
                  </w14:solidFill>
                </w14:textFill>
              </w:rPr>
            </w:pPr>
            <w:r>
              <w:rPr>
                <w:rFonts w:hint="eastAsia" w:ascii="微软雅黑" w:hAnsi="微软雅黑" w:eastAsia="微软雅黑" w:cs="仿宋"/>
                <w:b/>
                <w:bCs/>
                <w:color w:val="000000" w:themeColor="text1"/>
                <w:kern w:val="0"/>
                <w:sz w:val="18"/>
                <w:szCs w:val="18"/>
                <w14:textFill>
                  <w14:solidFill>
                    <w14:schemeClr w14:val="tx1"/>
                  </w14:solidFill>
                </w14:textFill>
              </w:rPr>
              <w:t>微信端儿保 助理功能</w:t>
            </w:r>
          </w:p>
          <w:p w14:paraId="1AF454E4">
            <w:pPr>
              <w:ind w:firstLine="360"/>
              <w:jc w:val="center"/>
              <w:rPr>
                <w:rFonts w:hint="eastAsia" w:ascii="微软雅黑" w:hAnsi="微软雅黑" w:eastAsia="微软雅黑"/>
                <w:b/>
                <w:bCs/>
                <w:color w:val="000000" w:themeColor="text1"/>
                <w:kern w:val="0"/>
                <w:sz w:val="18"/>
                <w:szCs w:val="18"/>
                <w14:textFill>
                  <w14:solidFill>
                    <w14:schemeClr w14:val="tx1"/>
                  </w14:solidFill>
                </w14:textFill>
              </w:rPr>
            </w:pPr>
          </w:p>
        </w:tc>
        <w:tc>
          <w:tcPr>
            <w:tcW w:w="8010" w:type="dxa"/>
          </w:tcPr>
          <w:p w14:paraId="2A696035">
            <w:pPr>
              <w:numPr>
                <w:ilvl w:val="0"/>
                <w:numId w:val="1"/>
              </w:numPr>
              <w:adjustRightInd w:val="0"/>
              <w:spacing w:line="360" w:lineRule="auto"/>
              <w:ind w:firstLine="360"/>
              <w:textAlignment w:val="baseline"/>
              <w:rPr>
                <w:rFonts w:hint="eastAsia" w:ascii="微软雅黑" w:hAnsi="微软雅黑" w:eastAsia="微软雅黑" w:cs="仿宋"/>
                <w:color w:val="000000" w:themeColor="text1"/>
                <w:kern w:val="0"/>
                <w:sz w:val="18"/>
                <w:szCs w:val="18"/>
                <w14:textFill>
                  <w14:solidFill>
                    <w14:schemeClr w14:val="tx1"/>
                  </w14:solidFill>
                </w14:textFill>
              </w:rPr>
            </w:pPr>
            <w:r>
              <w:rPr>
                <w:rFonts w:hint="eastAsia" w:ascii="微软雅黑" w:hAnsi="微软雅黑" w:eastAsia="微软雅黑" w:cs="仿宋"/>
                <w:color w:val="000000" w:themeColor="text1"/>
                <w:kern w:val="0"/>
                <w:sz w:val="18"/>
                <w:szCs w:val="18"/>
                <w14:textFill>
                  <w14:solidFill>
                    <w14:schemeClr w14:val="tx1"/>
                  </w14:solidFill>
                </w14:textFill>
              </w:rPr>
              <w:t>儿童保健临床信息系统档案无缝关联</w:t>
            </w:r>
          </w:p>
          <w:p w14:paraId="279C9FA1">
            <w:pPr>
              <w:numPr>
                <w:ilvl w:val="0"/>
                <w:numId w:val="1"/>
              </w:numPr>
              <w:adjustRightInd w:val="0"/>
              <w:spacing w:line="360" w:lineRule="auto"/>
              <w:ind w:firstLine="360"/>
              <w:textAlignment w:val="baseline"/>
              <w:rPr>
                <w:rFonts w:hint="eastAsia" w:ascii="微软雅黑" w:hAnsi="微软雅黑" w:eastAsia="微软雅黑" w:cs="仿宋"/>
                <w:color w:val="000000" w:themeColor="text1"/>
                <w:kern w:val="0"/>
                <w:sz w:val="18"/>
                <w:szCs w:val="18"/>
                <w14:textFill>
                  <w14:solidFill>
                    <w14:schemeClr w14:val="tx1"/>
                  </w14:solidFill>
                </w14:textFill>
              </w:rPr>
            </w:pPr>
            <w:r>
              <w:rPr>
                <w:rFonts w:hint="eastAsia" w:ascii="微软雅黑" w:hAnsi="微软雅黑" w:eastAsia="微软雅黑" w:cs="仿宋"/>
                <w:color w:val="000000" w:themeColor="text1"/>
                <w:kern w:val="0"/>
                <w:sz w:val="18"/>
                <w:szCs w:val="18"/>
                <w14:textFill>
                  <w14:solidFill>
                    <w14:schemeClr w14:val="tx1"/>
                  </w14:solidFill>
                </w14:textFill>
              </w:rPr>
              <w:t>家长自录信息推送、采集，包含儿童基本信息、出生史信息、养育史信息、父母信息等。</w:t>
            </w:r>
          </w:p>
          <w:p w14:paraId="3EA4BD2E">
            <w:pPr>
              <w:numPr>
                <w:ilvl w:val="0"/>
                <w:numId w:val="1"/>
              </w:numPr>
              <w:adjustRightInd w:val="0"/>
              <w:spacing w:line="360" w:lineRule="auto"/>
              <w:ind w:firstLine="360"/>
              <w:textAlignment w:val="baseline"/>
              <w:rPr>
                <w:rFonts w:hint="eastAsia" w:ascii="微软雅黑" w:hAnsi="微软雅黑" w:eastAsia="微软雅黑" w:cs="仿宋"/>
                <w:color w:val="000000" w:themeColor="text1"/>
                <w:kern w:val="0"/>
                <w:sz w:val="18"/>
                <w:szCs w:val="18"/>
                <w14:textFill>
                  <w14:solidFill>
                    <w14:schemeClr w14:val="tx1"/>
                  </w14:solidFill>
                </w14:textFill>
              </w:rPr>
            </w:pPr>
            <w:r>
              <w:rPr>
                <w:rFonts w:hint="eastAsia" w:ascii="微软雅黑" w:hAnsi="微软雅黑" w:eastAsia="微软雅黑" w:cs="仿宋"/>
                <w:color w:val="000000" w:themeColor="text1"/>
                <w:kern w:val="0"/>
                <w:sz w:val="18"/>
                <w:szCs w:val="18"/>
                <w14:textFill>
                  <w14:solidFill>
                    <w14:schemeClr w14:val="tx1"/>
                  </w14:solidFill>
                </w14:textFill>
              </w:rPr>
              <w:t>诊前筛查问卷信息推送、采集，包含 ABC、M-Chat、Clancy、儿童学习障碍筛查、注意力缺陷多动障碍评定、感觉统合评定测试、儿童饮食行为问题筛查、Conners 评定量表(家长量表)、儿童气质问卷(Carey）、社会生活能力评估(S-M)、幼儿情绪及社会性评估量表、QCD 儿童困难问卷等量表。【取消院内共享 iPad 调查模式，无需反复消毒 ipad，节省院方 IT 资源，实现无接触信息采集】</w:t>
            </w:r>
          </w:p>
          <w:p w14:paraId="50FA5172">
            <w:pPr>
              <w:numPr>
                <w:ilvl w:val="0"/>
                <w:numId w:val="1"/>
              </w:numPr>
              <w:adjustRightInd w:val="0"/>
              <w:spacing w:line="360" w:lineRule="auto"/>
              <w:ind w:firstLine="360"/>
              <w:textAlignment w:val="baseline"/>
              <w:rPr>
                <w:rFonts w:hint="eastAsia" w:ascii="微软雅黑" w:hAnsi="微软雅黑" w:eastAsia="微软雅黑" w:cs="仿宋"/>
                <w:color w:val="000000" w:themeColor="text1"/>
                <w:kern w:val="0"/>
                <w:sz w:val="18"/>
                <w:szCs w:val="18"/>
                <w14:textFill>
                  <w14:solidFill>
                    <w14:schemeClr w14:val="tx1"/>
                  </w14:solidFill>
                </w14:textFill>
              </w:rPr>
            </w:pPr>
            <w:r>
              <w:rPr>
                <w:rFonts w:hint="eastAsia" w:ascii="微软雅黑" w:hAnsi="微软雅黑" w:eastAsia="微软雅黑" w:cs="仿宋"/>
                <w:color w:val="000000" w:themeColor="text1"/>
                <w:kern w:val="0"/>
                <w:sz w:val="18"/>
                <w:szCs w:val="18"/>
                <w14:textFill>
                  <w14:solidFill>
                    <w14:schemeClr w14:val="tx1"/>
                  </w14:solidFill>
                </w14:textFill>
              </w:rPr>
              <w:t>应检儿童消息提醒</w:t>
            </w:r>
          </w:p>
          <w:p w14:paraId="2E13640C">
            <w:pPr>
              <w:numPr>
                <w:ilvl w:val="0"/>
                <w:numId w:val="1"/>
              </w:numPr>
              <w:adjustRightInd w:val="0"/>
              <w:spacing w:line="360" w:lineRule="auto"/>
              <w:ind w:firstLine="360"/>
              <w:textAlignment w:val="baseline"/>
              <w:rPr>
                <w:rFonts w:hint="eastAsia" w:ascii="微软雅黑" w:hAnsi="微软雅黑" w:eastAsia="微软雅黑" w:cs="仿宋"/>
                <w:color w:val="000000" w:themeColor="text1"/>
                <w:kern w:val="0"/>
                <w:sz w:val="18"/>
                <w:szCs w:val="18"/>
                <w14:textFill>
                  <w14:solidFill>
                    <w14:schemeClr w14:val="tx1"/>
                  </w14:solidFill>
                </w14:textFill>
              </w:rPr>
            </w:pPr>
            <w:r>
              <w:rPr>
                <w:rFonts w:hint="eastAsia" w:ascii="微软雅黑" w:hAnsi="微软雅黑" w:eastAsia="微软雅黑" w:cs="仿宋"/>
                <w:color w:val="000000" w:themeColor="text1"/>
                <w:kern w:val="0"/>
                <w:sz w:val="18"/>
                <w:szCs w:val="18"/>
                <w14:textFill>
                  <w14:solidFill>
                    <w14:schemeClr w14:val="tx1"/>
                  </w14:solidFill>
                </w14:textFill>
              </w:rPr>
              <w:t>预约儿童消息提醒</w:t>
            </w:r>
          </w:p>
          <w:p w14:paraId="38F1EDD6">
            <w:pPr>
              <w:numPr>
                <w:ilvl w:val="0"/>
                <w:numId w:val="1"/>
              </w:numPr>
              <w:adjustRightInd w:val="0"/>
              <w:spacing w:line="360" w:lineRule="auto"/>
              <w:ind w:firstLine="360"/>
              <w:textAlignment w:val="baseline"/>
              <w:rPr>
                <w:rFonts w:hint="eastAsia" w:ascii="微软雅黑" w:hAnsi="微软雅黑" w:eastAsia="微软雅黑" w:cs="仿宋"/>
                <w:color w:val="000000" w:themeColor="text1"/>
                <w:kern w:val="0"/>
                <w:sz w:val="18"/>
                <w:szCs w:val="18"/>
                <w14:textFill>
                  <w14:solidFill>
                    <w14:schemeClr w14:val="tx1"/>
                  </w14:solidFill>
                </w14:textFill>
              </w:rPr>
            </w:pPr>
            <w:r>
              <w:rPr>
                <w:rFonts w:hint="eastAsia" w:ascii="微软雅黑" w:hAnsi="微软雅黑" w:eastAsia="微软雅黑" w:cs="仿宋"/>
                <w:color w:val="000000" w:themeColor="text1"/>
                <w:kern w:val="0"/>
                <w:sz w:val="18"/>
                <w:szCs w:val="18"/>
                <w14:textFill>
                  <w14:solidFill>
                    <w14:schemeClr w14:val="tx1"/>
                  </w14:solidFill>
                </w14:textFill>
              </w:rPr>
              <w:t>健康检查报告推送与查阅</w:t>
            </w:r>
          </w:p>
          <w:p w14:paraId="343DFD8A">
            <w:pPr>
              <w:numPr>
                <w:ilvl w:val="0"/>
                <w:numId w:val="1"/>
              </w:numPr>
              <w:adjustRightInd w:val="0"/>
              <w:spacing w:line="360" w:lineRule="auto"/>
              <w:ind w:firstLine="360"/>
              <w:textAlignment w:val="baseline"/>
              <w:rPr>
                <w:rFonts w:hint="eastAsia" w:ascii="微软雅黑" w:hAnsi="微软雅黑" w:eastAsia="微软雅黑" w:cs="仿宋"/>
                <w:color w:val="000000" w:themeColor="text1"/>
                <w:kern w:val="0"/>
                <w:sz w:val="18"/>
                <w:szCs w:val="18"/>
                <w14:textFill>
                  <w14:solidFill>
                    <w14:schemeClr w14:val="tx1"/>
                  </w14:solidFill>
                </w14:textFill>
              </w:rPr>
            </w:pPr>
            <w:r>
              <w:rPr>
                <w:rFonts w:hint="eastAsia" w:ascii="微软雅黑" w:hAnsi="微软雅黑" w:eastAsia="微软雅黑" w:cs="仿宋"/>
                <w:color w:val="000000" w:themeColor="text1"/>
                <w:kern w:val="0"/>
                <w:sz w:val="18"/>
                <w:szCs w:val="18"/>
                <w14:textFill>
                  <w14:solidFill>
                    <w14:schemeClr w14:val="tx1"/>
                  </w14:solidFill>
                </w14:textFill>
              </w:rPr>
              <w:t>儿童心理发育预警症自动化筛查</w:t>
            </w:r>
          </w:p>
          <w:p w14:paraId="493465F5">
            <w:pPr>
              <w:numPr>
                <w:ilvl w:val="0"/>
                <w:numId w:val="1"/>
              </w:numPr>
              <w:adjustRightInd w:val="0"/>
              <w:spacing w:line="360" w:lineRule="auto"/>
              <w:ind w:firstLine="360"/>
              <w:textAlignment w:val="baseline"/>
              <w:rPr>
                <w:rFonts w:hint="eastAsia" w:ascii="微软雅黑" w:hAnsi="微软雅黑" w:eastAsia="微软雅黑" w:cs="仿宋"/>
                <w:color w:val="000000" w:themeColor="text1"/>
                <w:kern w:val="0"/>
                <w:sz w:val="18"/>
                <w:szCs w:val="18"/>
                <w14:textFill>
                  <w14:solidFill>
                    <w14:schemeClr w14:val="tx1"/>
                  </w14:solidFill>
                </w14:textFill>
              </w:rPr>
            </w:pPr>
            <w:r>
              <w:rPr>
                <w:rFonts w:hint="eastAsia" w:ascii="微软雅黑" w:hAnsi="微软雅黑" w:eastAsia="微软雅黑" w:cs="仿宋"/>
                <w:color w:val="000000" w:themeColor="text1"/>
                <w:kern w:val="0"/>
                <w:sz w:val="18"/>
                <w:szCs w:val="18"/>
                <w14:textFill>
                  <w14:solidFill>
                    <w14:schemeClr w14:val="tx1"/>
                  </w14:solidFill>
                </w14:textFill>
              </w:rPr>
              <w:t>宣教内容定向推送</w:t>
            </w:r>
          </w:p>
          <w:p w14:paraId="6ACE7BBD">
            <w:pPr>
              <w:numPr>
                <w:ilvl w:val="0"/>
                <w:numId w:val="1"/>
              </w:numPr>
              <w:adjustRightInd w:val="0"/>
              <w:spacing w:line="360" w:lineRule="auto"/>
              <w:ind w:firstLine="360"/>
              <w:textAlignment w:val="baseline"/>
              <w:rPr>
                <w:rFonts w:hint="eastAsia" w:ascii="微软雅黑" w:hAnsi="微软雅黑" w:eastAsia="微软雅黑" w:cs="仿宋"/>
                <w:color w:val="000000" w:themeColor="text1"/>
                <w:kern w:val="0"/>
                <w:sz w:val="18"/>
                <w:szCs w:val="18"/>
                <w14:textFill>
                  <w14:solidFill>
                    <w14:schemeClr w14:val="tx1"/>
                  </w14:solidFill>
                </w14:textFill>
              </w:rPr>
            </w:pPr>
            <w:r>
              <w:rPr>
                <w:rFonts w:hint="eastAsia" w:ascii="微软雅黑" w:hAnsi="微软雅黑" w:eastAsia="微软雅黑" w:cs="仿宋"/>
                <w:color w:val="000000" w:themeColor="text1"/>
                <w:kern w:val="0"/>
                <w:sz w:val="18"/>
                <w:szCs w:val="18"/>
                <w14:textFill>
                  <w14:solidFill>
                    <w14:schemeClr w14:val="tx1"/>
                  </w14:solidFill>
                </w14:textFill>
              </w:rPr>
              <w:t>家长课堂定向推送和报名管理</w:t>
            </w:r>
          </w:p>
          <w:p w14:paraId="0E6DE23F">
            <w:pPr>
              <w:numPr>
                <w:ilvl w:val="0"/>
                <w:numId w:val="1"/>
              </w:numPr>
              <w:adjustRightInd w:val="0"/>
              <w:spacing w:line="360" w:lineRule="auto"/>
              <w:ind w:firstLine="360"/>
              <w:textAlignment w:val="baseline"/>
              <w:rPr>
                <w:rFonts w:hint="eastAsia" w:ascii="微软雅黑" w:hAnsi="微软雅黑" w:eastAsia="微软雅黑" w:cs="仿宋"/>
                <w:color w:val="000000" w:themeColor="text1"/>
                <w:kern w:val="0"/>
                <w:sz w:val="18"/>
                <w:szCs w:val="18"/>
                <w14:textFill>
                  <w14:solidFill>
                    <w14:schemeClr w14:val="tx1"/>
                  </w14:solidFill>
                </w14:textFill>
              </w:rPr>
            </w:pPr>
            <w:r>
              <w:rPr>
                <w:rFonts w:hint="eastAsia" w:ascii="微软雅黑" w:hAnsi="微软雅黑" w:eastAsia="微软雅黑" w:cs="仿宋"/>
                <w:color w:val="000000" w:themeColor="text1"/>
                <w:kern w:val="0"/>
                <w:sz w:val="18"/>
                <w:szCs w:val="18"/>
                <w14:textFill>
                  <w14:solidFill>
                    <w14:schemeClr w14:val="tx1"/>
                  </w14:solidFill>
                </w14:textFill>
              </w:rPr>
              <w:t>院内随访消息推送、一对一随访沟通</w:t>
            </w:r>
          </w:p>
          <w:p w14:paraId="7A384523">
            <w:pPr>
              <w:numPr>
                <w:ilvl w:val="0"/>
                <w:numId w:val="1"/>
              </w:numPr>
              <w:adjustRightInd w:val="0"/>
              <w:spacing w:line="360" w:lineRule="auto"/>
              <w:ind w:firstLine="360"/>
              <w:textAlignment w:val="baseline"/>
              <w:rPr>
                <w:rFonts w:hint="eastAsia" w:ascii="微软雅黑" w:hAnsi="微软雅黑" w:eastAsia="微软雅黑" w:cs="仿宋"/>
                <w:color w:val="000000" w:themeColor="text1"/>
                <w:kern w:val="0"/>
                <w:sz w:val="18"/>
                <w:szCs w:val="18"/>
                <w14:textFill>
                  <w14:solidFill>
                    <w14:schemeClr w14:val="tx1"/>
                  </w14:solidFill>
                </w14:textFill>
              </w:rPr>
            </w:pPr>
            <w:r>
              <w:rPr>
                <w:rFonts w:hint="eastAsia" w:ascii="微软雅黑" w:hAnsi="微软雅黑" w:eastAsia="微软雅黑" w:cs="仿宋"/>
                <w:color w:val="000000" w:themeColor="text1"/>
                <w:kern w:val="0"/>
                <w:sz w:val="18"/>
                <w:szCs w:val="18"/>
                <w14:textFill>
                  <w14:solidFill>
                    <w14:schemeClr w14:val="tx1"/>
                  </w14:solidFill>
                </w14:textFill>
              </w:rPr>
              <w:t>检查项目自助预约</w:t>
            </w:r>
          </w:p>
        </w:tc>
      </w:tr>
    </w:tbl>
    <w:p w14:paraId="346BA908"/>
    <w:p w14:paraId="51C7A31C">
      <w:pPr>
        <w:spacing w:line="360" w:lineRule="auto"/>
        <w:rPr>
          <w:rFonts w:hint="eastAsia" w:ascii="宋体" w:hAnsi="宋体"/>
          <w:sz w:val="24"/>
          <w:szCs w:val="24"/>
        </w:rPr>
      </w:pPr>
    </w:p>
    <w:p w14:paraId="24BB9450">
      <w:pPr>
        <w:spacing w:line="360" w:lineRule="auto"/>
        <w:jc w:val="left"/>
        <w:rPr>
          <w:rFonts w:hint="eastAsia" w:ascii="宋体" w:hAnsi="宋体" w:eastAsia="宋体" w:cs="仿宋"/>
          <w:b/>
          <w:bCs/>
          <w:szCs w:val="21"/>
        </w:rPr>
      </w:pPr>
      <w:r>
        <w:rPr>
          <w:rFonts w:hint="eastAsia"/>
          <w:lang w:val="en-US" w:eastAsia="zh-CN"/>
        </w:rPr>
        <w:t>二、</w:t>
      </w:r>
      <w:r>
        <w:rPr>
          <w:rFonts w:hint="eastAsia" w:ascii="宋体" w:hAnsi="宋体" w:eastAsia="宋体"/>
          <w:b/>
          <w:bCs/>
          <w:kern w:val="0"/>
          <w:szCs w:val="21"/>
        </w:rPr>
        <w:t>儿童保健临床信息系统软硬件环境推荐配置要求：</w:t>
      </w:r>
    </w:p>
    <w:p w14:paraId="4B357FED">
      <w:pPr>
        <w:spacing w:line="360" w:lineRule="auto"/>
        <w:jc w:val="left"/>
        <w:rPr>
          <w:rFonts w:hint="eastAsia" w:ascii="宋体" w:hAnsi="宋体" w:eastAsia="宋体" w:cs="仿宋"/>
          <w:b/>
          <w:bCs/>
          <w:szCs w:val="21"/>
        </w:rPr>
      </w:pPr>
      <w:r>
        <w:rPr>
          <w:rFonts w:hint="eastAsia" w:ascii="宋体" w:hAnsi="宋体" w:cs="仿宋"/>
          <w:b/>
          <w:bCs/>
          <w:szCs w:val="21"/>
          <w:lang w:eastAsia="zh-CN"/>
        </w:rPr>
        <w:t>（</w:t>
      </w:r>
      <w:r>
        <w:rPr>
          <w:rFonts w:hint="eastAsia" w:ascii="宋体" w:hAnsi="宋体" w:cs="仿宋"/>
          <w:b/>
          <w:bCs/>
          <w:szCs w:val="21"/>
          <w:lang w:val="en-US" w:eastAsia="zh-CN"/>
        </w:rPr>
        <w:t>一</w:t>
      </w:r>
      <w:r>
        <w:rPr>
          <w:rFonts w:hint="eastAsia" w:ascii="宋体" w:hAnsi="宋体" w:cs="仿宋"/>
          <w:b/>
          <w:bCs/>
          <w:szCs w:val="21"/>
          <w:lang w:eastAsia="zh-CN"/>
        </w:rPr>
        <w:t>）</w:t>
      </w:r>
      <w:r>
        <w:rPr>
          <w:rFonts w:hint="eastAsia" w:ascii="宋体" w:hAnsi="宋体" w:eastAsia="宋体" w:cs="仿宋"/>
          <w:b/>
          <w:bCs/>
          <w:szCs w:val="21"/>
        </w:rPr>
        <w:t>医护工作站配置需求：</w:t>
      </w:r>
    </w:p>
    <w:p w14:paraId="5E799025">
      <w:pPr>
        <w:pStyle w:val="3"/>
        <w:tabs>
          <w:tab w:val="left" w:leader="hyphen" w:pos="1297"/>
        </w:tabs>
        <w:kinsoku w:val="0"/>
        <w:overflowPunct w:val="0"/>
        <w:spacing w:before="110"/>
      </w:pPr>
      <w:r>
        <w:t>1</w:t>
      </w:r>
      <w:r>
        <w:rPr>
          <w:rFonts w:hint="eastAsia"/>
        </w:rPr>
        <w:t>，</w:t>
      </w:r>
      <w:r>
        <w:rPr>
          <w:rFonts w:hint="eastAsia"/>
          <w:spacing w:val="-3"/>
        </w:rPr>
        <w:t>网</w:t>
      </w:r>
      <w:r>
        <w:rPr>
          <w:rFonts w:hint="eastAsia"/>
        </w:rPr>
        <w:t>络</w:t>
      </w:r>
      <w:r>
        <w:tab/>
      </w:r>
      <w:r>
        <w:rPr>
          <w:rFonts w:hint="eastAsia"/>
          <w:spacing w:val="-3"/>
        </w:rPr>
        <w:t>必</w:t>
      </w:r>
      <w:r>
        <w:rPr>
          <w:rFonts w:hint="eastAsia"/>
        </w:rPr>
        <w:t>须</w:t>
      </w:r>
      <w:r>
        <w:rPr>
          <w:rFonts w:hint="eastAsia"/>
          <w:spacing w:val="-3"/>
        </w:rPr>
        <w:t>能</w:t>
      </w:r>
      <w:r>
        <w:rPr>
          <w:rFonts w:hint="eastAsia"/>
        </w:rPr>
        <w:t>连</w:t>
      </w:r>
      <w:r>
        <w:rPr>
          <w:rFonts w:hint="eastAsia"/>
          <w:spacing w:val="-3"/>
        </w:rPr>
        <w:t>接</w:t>
      </w:r>
      <w:r>
        <w:rPr>
          <w:rFonts w:hint="eastAsia"/>
        </w:rPr>
        <w:t>到《儿童保健临床信息系统</w:t>
      </w:r>
      <w:r>
        <w:rPr>
          <w:rFonts w:hint="eastAsia"/>
          <w:spacing w:val="-3"/>
        </w:rPr>
        <w:t>服</w:t>
      </w:r>
      <w:r>
        <w:rPr>
          <w:rFonts w:hint="eastAsia"/>
        </w:rPr>
        <w:t>务</w:t>
      </w:r>
      <w:r>
        <w:rPr>
          <w:rFonts w:hint="eastAsia"/>
          <w:spacing w:val="-3"/>
        </w:rPr>
        <w:t>器</w:t>
      </w:r>
      <w:r>
        <w:rPr>
          <w:rFonts w:hint="eastAsia"/>
        </w:rPr>
        <w:t>》</w:t>
      </w:r>
      <w:r>
        <w:rPr>
          <w:rFonts w:hint="eastAsia"/>
          <w:spacing w:val="-3"/>
        </w:rPr>
        <w:t>配</w:t>
      </w:r>
      <w:r>
        <w:rPr>
          <w:rFonts w:hint="eastAsia"/>
        </w:rPr>
        <w:t>置</w:t>
      </w:r>
      <w:r>
        <w:rPr>
          <w:rFonts w:hint="eastAsia"/>
          <w:spacing w:val="-3"/>
        </w:rPr>
        <w:t>的服</w:t>
      </w:r>
      <w:r>
        <w:rPr>
          <w:rFonts w:hint="eastAsia"/>
        </w:rPr>
        <w:t>务</w:t>
      </w:r>
      <w:r>
        <w:rPr>
          <w:spacing w:val="-54"/>
        </w:rPr>
        <w:t xml:space="preserve"> </w:t>
      </w:r>
      <w:r>
        <w:t>TCP</w:t>
      </w:r>
      <w:r>
        <w:rPr>
          <w:spacing w:val="-52"/>
        </w:rPr>
        <w:t xml:space="preserve"> </w:t>
      </w:r>
      <w:r>
        <w:rPr>
          <w:rFonts w:hint="eastAsia"/>
          <w:spacing w:val="-3"/>
        </w:rPr>
        <w:t>端</w:t>
      </w:r>
      <w:r>
        <w:rPr>
          <w:rFonts w:hint="eastAsia"/>
        </w:rPr>
        <w:t>口</w:t>
      </w:r>
      <w:r>
        <w:rPr>
          <w:rFonts w:hint="eastAsia"/>
          <w:spacing w:val="-3"/>
        </w:rPr>
        <w:t>。</w:t>
      </w:r>
      <w:r>
        <w:t xml:space="preserve"> </w:t>
      </w:r>
    </w:p>
    <w:p w14:paraId="789BCE9A">
      <w:pPr>
        <w:pStyle w:val="3"/>
        <w:tabs>
          <w:tab w:val="left" w:leader="hyphen" w:pos="1297"/>
        </w:tabs>
        <w:kinsoku w:val="0"/>
        <w:overflowPunct w:val="0"/>
        <w:spacing w:before="110"/>
      </w:pPr>
      <w:r>
        <w:t>2</w:t>
      </w:r>
      <w:r>
        <w:rPr>
          <w:rFonts w:hint="eastAsia"/>
        </w:rPr>
        <w:t>，</w:t>
      </w:r>
      <w:r>
        <w:rPr>
          <w:rFonts w:hint="eastAsia"/>
          <w:spacing w:val="-3"/>
        </w:rPr>
        <w:t>系</w:t>
      </w:r>
      <w:r>
        <w:rPr>
          <w:rFonts w:hint="eastAsia"/>
        </w:rPr>
        <w:t>统</w:t>
      </w:r>
      <w:r>
        <w:tab/>
      </w:r>
      <w:r>
        <w:t>Windows</w:t>
      </w:r>
      <w:r>
        <w:rPr>
          <w:spacing w:val="50"/>
        </w:rPr>
        <w:t xml:space="preserve"> </w:t>
      </w:r>
      <w:r>
        <w:t>7</w:t>
      </w:r>
      <w:r>
        <w:rPr>
          <w:spacing w:val="-50"/>
        </w:rPr>
        <w:t xml:space="preserve"> </w:t>
      </w:r>
      <w:r>
        <w:rPr>
          <w:rFonts w:hint="eastAsia"/>
          <w:spacing w:val="-3"/>
        </w:rPr>
        <w:t>以</w:t>
      </w:r>
      <w:r>
        <w:rPr>
          <w:rFonts w:hint="eastAsia"/>
        </w:rPr>
        <w:t>上操</w:t>
      </w:r>
      <w:r>
        <w:rPr>
          <w:rFonts w:hint="eastAsia"/>
          <w:spacing w:val="-3"/>
        </w:rPr>
        <w:t>作</w:t>
      </w:r>
      <w:r>
        <w:rPr>
          <w:rFonts w:hint="eastAsia"/>
        </w:rPr>
        <w:t>系</w:t>
      </w:r>
      <w:r>
        <w:rPr>
          <w:rFonts w:hint="eastAsia"/>
          <w:spacing w:val="-3"/>
        </w:rPr>
        <w:t>统</w:t>
      </w:r>
      <w:r>
        <w:rPr>
          <w:rFonts w:hint="eastAsia"/>
        </w:rPr>
        <w:t>（</w:t>
      </w:r>
      <w:r>
        <w:rPr>
          <w:rFonts w:hint="eastAsia"/>
          <w:spacing w:val="-3"/>
        </w:rPr>
        <w:t>不</w:t>
      </w:r>
      <w:r>
        <w:rPr>
          <w:rFonts w:hint="eastAsia"/>
        </w:rPr>
        <w:t>建议</w:t>
      </w:r>
      <w:r>
        <w:rPr>
          <w:rFonts w:hint="eastAsia"/>
          <w:spacing w:val="-3"/>
        </w:rPr>
        <w:t>采</w:t>
      </w:r>
      <w:r>
        <w:rPr>
          <w:rFonts w:hint="eastAsia"/>
        </w:rPr>
        <w:t>用</w:t>
      </w:r>
      <w:r>
        <w:rPr>
          <w:spacing w:val="-53"/>
        </w:rPr>
        <w:t xml:space="preserve"> </w:t>
      </w:r>
      <w:r>
        <w:t>XP</w:t>
      </w:r>
      <w:r>
        <w:rPr>
          <w:spacing w:val="-51"/>
        </w:rPr>
        <w:t xml:space="preserve"> </w:t>
      </w:r>
      <w:r>
        <w:rPr>
          <w:rFonts w:hint="eastAsia"/>
          <w:spacing w:val="-3"/>
        </w:rPr>
        <w:t>系</w:t>
      </w:r>
      <w:r>
        <w:rPr>
          <w:rFonts w:hint="eastAsia"/>
        </w:rPr>
        <w:t>统</w:t>
      </w:r>
      <w:r>
        <w:rPr>
          <w:rFonts w:hint="eastAsia"/>
          <w:spacing w:val="-3"/>
        </w:rPr>
        <w:t>，</w:t>
      </w:r>
      <w:r>
        <w:rPr>
          <w:rFonts w:hint="eastAsia"/>
        </w:rPr>
        <w:t>因</w:t>
      </w:r>
      <w:r>
        <w:rPr>
          <w:rFonts w:hint="eastAsia"/>
          <w:spacing w:val="-3"/>
        </w:rPr>
        <w:t>微</w:t>
      </w:r>
      <w:r>
        <w:rPr>
          <w:rFonts w:hint="eastAsia"/>
        </w:rPr>
        <w:t>软</w:t>
      </w:r>
      <w:r>
        <w:rPr>
          <w:rFonts w:hint="eastAsia"/>
          <w:spacing w:val="-3"/>
        </w:rPr>
        <w:t>已</w:t>
      </w:r>
      <w:r>
        <w:rPr>
          <w:rFonts w:hint="eastAsia"/>
        </w:rPr>
        <w:t>停止</w:t>
      </w:r>
      <w:r>
        <w:rPr>
          <w:rFonts w:hint="eastAsia"/>
          <w:spacing w:val="-3"/>
        </w:rPr>
        <w:t>支</w:t>
      </w:r>
      <w:r>
        <w:rPr>
          <w:rFonts w:hint="eastAsia"/>
        </w:rPr>
        <w:t>持</w:t>
      </w:r>
      <w:r>
        <w:rPr>
          <w:spacing w:val="-52"/>
        </w:rPr>
        <w:t xml:space="preserve"> </w:t>
      </w:r>
      <w:r>
        <w:t>XP</w:t>
      </w:r>
      <w:r>
        <w:rPr>
          <w:spacing w:val="-53"/>
        </w:rPr>
        <w:t xml:space="preserve"> </w:t>
      </w:r>
      <w:r>
        <w:rPr>
          <w:rFonts w:hint="eastAsia"/>
        </w:rPr>
        <w:t>系</w:t>
      </w:r>
      <w:r>
        <w:rPr>
          <w:rFonts w:hint="eastAsia"/>
          <w:spacing w:val="-3"/>
        </w:rPr>
        <w:t>统</w:t>
      </w:r>
      <w:r>
        <w:rPr>
          <w:rFonts w:hint="eastAsia"/>
        </w:rPr>
        <w:t>，因</w:t>
      </w:r>
      <w:r>
        <w:rPr>
          <w:spacing w:val="-53"/>
        </w:rPr>
        <w:t xml:space="preserve"> </w:t>
      </w:r>
      <w:r>
        <w:t>XP</w:t>
      </w:r>
      <w:r>
        <w:rPr>
          <w:spacing w:val="-51"/>
        </w:rPr>
        <w:t xml:space="preserve"> </w:t>
      </w:r>
      <w:r>
        <w:rPr>
          <w:rFonts w:hint="eastAsia"/>
        </w:rPr>
        <w:t>系统导致的软件兼容性将可能得不到维护）</w:t>
      </w:r>
      <w:r>
        <w:t xml:space="preserve"> </w:t>
      </w:r>
    </w:p>
    <w:p w14:paraId="0C51F11F">
      <w:pPr>
        <w:pStyle w:val="3"/>
        <w:tabs>
          <w:tab w:val="left" w:leader="hyphen" w:pos="1822"/>
        </w:tabs>
        <w:kinsoku w:val="0"/>
        <w:overflowPunct w:val="0"/>
        <w:spacing w:before="110"/>
      </w:pPr>
      <w:r>
        <w:t>3</w:t>
      </w:r>
      <w:r>
        <w:rPr>
          <w:rFonts w:hint="eastAsia"/>
        </w:rPr>
        <w:t>，</w:t>
      </w:r>
      <w:r>
        <w:rPr>
          <w:rFonts w:hint="eastAsia"/>
          <w:spacing w:val="-3"/>
        </w:rPr>
        <w:t>显</w:t>
      </w:r>
      <w:r>
        <w:rPr>
          <w:rFonts w:hint="eastAsia"/>
        </w:rPr>
        <w:t>示</w:t>
      </w:r>
      <w:r>
        <w:rPr>
          <w:rFonts w:hint="eastAsia"/>
          <w:spacing w:val="-3"/>
        </w:rPr>
        <w:t>分</w:t>
      </w:r>
      <w:r>
        <w:rPr>
          <w:rFonts w:hint="eastAsia"/>
        </w:rPr>
        <w:t>辨率</w:t>
      </w:r>
      <w:r>
        <w:tab/>
      </w:r>
      <w:r>
        <w:rPr>
          <w:rFonts w:hint="eastAsia"/>
          <w:spacing w:val="-3"/>
        </w:rPr>
        <w:t>分</w:t>
      </w:r>
      <w:r>
        <w:rPr>
          <w:rFonts w:hint="eastAsia"/>
        </w:rPr>
        <w:t>辨率设置</w:t>
      </w:r>
      <w:r>
        <w:rPr>
          <w:rFonts w:hint="eastAsia"/>
          <w:spacing w:val="-3"/>
        </w:rPr>
        <w:t>不低</w:t>
      </w:r>
      <w:r>
        <w:rPr>
          <w:rFonts w:hint="eastAsia"/>
        </w:rPr>
        <w:t>于</w:t>
      </w:r>
      <w:r>
        <w:rPr>
          <w:spacing w:val="-53"/>
        </w:rPr>
        <w:t xml:space="preserve"> </w:t>
      </w:r>
      <w:r>
        <w:t>1024x786</w:t>
      </w:r>
      <w:r>
        <w:rPr>
          <w:spacing w:val="-52"/>
        </w:rPr>
        <w:t xml:space="preserve"> </w:t>
      </w:r>
      <w:r>
        <w:rPr>
          <w:rFonts w:hint="eastAsia"/>
          <w:spacing w:val="-3"/>
        </w:rPr>
        <w:t>分辨</w:t>
      </w:r>
      <w:r>
        <w:rPr>
          <w:rFonts w:hint="eastAsia"/>
        </w:rPr>
        <w:t>率，</w:t>
      </w:r>
      <w:r>
        <w:rPr>
          <w:rFonts w:hint="eastAsia"/>
          <w:spacing w:val="-3"/>
        </w:rPr>
        <w:t>最</w:t>
      </w:r>
      <w:r>
        <w:rPr>
          <w:rFonts w:hint="eastAsia"/>
        </w:rPr>
        <w:t>佳</w:t>
      </w:r>
      <w:r>
        <w:rPr>
          <w:rFonts w:hint="eastAsia"/>
          <w:spacing w:val="-3"/>
        </w:rPr>
        <w:t>分辨</w:t>
      </w:r>
      <w:r>
        <w:rPr>
          <w:rFonts w:hint="eastAsia"/>
        </w:rPr>
        <w:t>率</w:t>
      </w:r>
      <w:r>
        <w:rPr>
          <w:spacing w:val="-52"/>
        </w:rPr>
        <w:t xml:space="preserve"> </w:t>
      </w:r>
      <w:r>
        <w:t xml:space="preserve">1920x1080 </w:t>
      </w:r>
    </w:p>
    <w:p w14:paraId="3E9BD973">
      <w:pPr>
        <w:pStyle w:val="3"/>
        <w:tabs>
          <w:tab w:val="left" w:leader="hyphen" w:pos="1822"/>
        </w:tabs>
        <w:kinsoku w:val="0"/>
        <w:overflowPunct w:val="0"/>
        <w:spacing w:before="111"/>
      </w:pPr>
      <w:r>
        <w:t>4</w:t>
      </w:r>
      <w:r>
        <w:rPr>
          <w:rFonts w:hint="eastAsia"/>
        </w:rPr>
        <w:t>，</w:t>
      </w:r>
      <w:r>
        <w:rPr>
          <w:rFonts w:hint="eastAsia"/>
          <w:spacing w:val="-3"/>
        </w:rPr>
        <w:t>通</w:t>
      </w:r>
      <w:r>
        <w:rPr>
          <w:rFonts w:hint="eastAsia"/>
          <w:spacing w:val="-1"/>
        </w:rPr>
        <w:t>用</w:t>
      </w:r>
      <w:r>
        <w:rPr>
          <w:rFonts w:hint="eastAsia"/>
          <w:spacing w:val="-3"/>
        </w:rPr>
        <w:t>客</w:t>
      </w:r>
      <w:r>
        <w:rPr>
          <w:rFonts w:hint="eastAsia"/>
        </w:rPr>
        <w:t>户端</w:t>
      </w:r>
      <w:r>
        <w:rPr>
          <w:rFonts w:ascii="Times New Roman" w:cs="Times New Roman"/>
        </w:rPr>
        <w:t xml:space="preserve"> </w:t>
      </w:r>
      <w:r>
        <w:rPr>
          <w:rFonts w:ascii="Times New Roman" w:cs="Times New Roman"/>
        </w:rPr>
        <w:tab/>
      </w:r>
      <w:r>
        <w:rPr>
          <w:rFonts w:hint="eastAsia"/>
          <w:spacing w:val="-3"/>
        </w:rPr>
        <w:t>最</w:t>
      </w:r>
      <w:r>
        <w:rPr>
          <w:rFonts w:hint="eastAsia"/>
        </w:rPr>
        <w:t>低</w:t>
      </w:r>
      <w:r>
        <w:rPr>
          <w:rFonts w:hint="eastAsia"/>
          <w:spacing w:val="-3"/>
        </w:rPr>
        <w:t>采</w:t>
      </w:r>
      <w:r>
        <w:rPr>
          <w:rFonts w:hint="eastAsia"/>
        </w:rPr>
        <w:t>用</w:t>
      </w:r>
      <w:r>
        <w:rPr>
          <w:spacing w:val="-53"/>
        </w:rPr>
        <w:t xml:space="preserve"> </w:t>
      </w:r>
      <w:r>
        <w:t>Ch</w:t>
      </w:r>
      <w:r>
        <w:rPr>
          <w:spacing w:val="-3"/>
        </w:rPr>
        <w:t>r</w:t>
      </w:r>
      <w:r>
        <w:t>ome</w:t>
      </w:r>
      <w:r>
        <w:rPr>
          <w:spacing w:val="-3"/>
        </w:rPr>
        <w:t xml:space="preserve"> 4</w:t>
      </w:r>
      <w:r>
        <w:t>9</w:t>
      </w:r>
      <w:r>
        <w:rPr>
          <w:spacing w:val="-53"/>
        </w:rPr>
        <w:t xml:space="preserve"> </w:t>
      </w:r>
      <w:r>
        <w:rPr>
          <w:rFonts w:hint="eastAsia"/>
          <w:spacing w:val="-3"/>
        </w:rPr>
        <w:t>内</w:t>
      </w:r>
      <w:r>
        <w:rPr>
          <w:rFonts w:hint="eastAsia"/>
        </w:rPr>
        <w:t>核</w:t>
      </w:r>
      <w:r>
        <w:rPr>
          <w:rFonts w:hint="eastAsia"/>
          <w:spacing w:val="-3"/>
        </w:rPr>
        <w:t>（</w:t>
      </w:r>
      <w:r>
        <w:rPr>
          <w:rFonts w:hint="eastAsia"/>
        </w:rPr>
        <w:t>低</w:t>
      </w:r>
      <w:r>
        <w:rPr>
          <w:rFonts w:hint="eastAsia"/>
          <w:spacing w:val="-3"/>
        </w:rPr>
        <w:t>于</w:t>
      </w:r>
      <w:r>
        <w:rPr>
          <w:rFonts w:hint="eastAsia"/>
        </w:rPr>
        <w:t>此版</w:t>
      </w:r>
      <w:r>
        <w:rPr>
          <w:rFonts w:hint="eastAsia"/>
          <w:spacing w:val="-3"/>
        </w:rPr>
        <w:t>本</w:t>
      </w:r>
      <w:r>
        <w:rPr>
          <w:rFonts w:hint="eastAsia"/>
          <w:spacing w:val="-1"/>
        </w:rPr>
        <w:t>不</w:t>
      </w:r>
      <w:r>
        <w:rPr>
          <w:rFonts w:hint="eastAsia"/>
          <w:spacing w:val="-3"/>
        </w:rPr>
        <w:t>再</w:t>
      </w:r>
      <w:r>
        <w:rPr>
          <w:rFonts w:hint="eastAsia"/>
        </w:rPr>
        <w:t>支</w:t>
      </w:r>
      <w:r>
        <w:rPr>
          <w:rFonts w:hint="eastAsia"/>
          <w:spacing w:val="-3"/>
        </w:rPr>
        <w:t>持</w:t>
      </w:r>
      <w:r>
        <w:rPr>
          <w:rFonts w:hint="eastAsia"/>
          <w:spacing w:val="-106"/>
        </w:rPr>
        <w:t>）</w:t>
      </w:r>
      <w:r>
        <w:rPr>
          <w:rFonts w:hint="eastAsia"/>
          <w:spacing w:val="-3"/>
        </w:rPr>
        <w:t>，</w:t>
      </w:r>
      <w:r>
        <w:rPr>
          <w:rFonts w:hint="eastAsia"/>
        </w:rPr>
        <w:t>推</w:t>
      </w:r>
      <w:r>
        <w:rPr>
          <w:rFonts w:hint="eastAsia"/>
          <w:spacing w:val="-3"/>
        </w:rPr>
        <w:t>荐采</w:t>
      </w:r>
      <w:r>
        <w:rPr>
          <w:rFonts w:hint="eastAsia"/>
        </w:rPr>
        <w:t>用</w:t>
      </w:r>
      <w:r>
        <w:rPr>
          <w:spacing w:val="-53"/>
        </w:rPr>
        <w:t xml:space="preserve"> </w:t>
      </w:r>
      <w:r>
        <w:t>Ch</w:t>
      </w:r>
      <w:r>
        <w:rPr>
          <w:spacing w:val="-3"/>
        </w:rPr>
        <w:t>r</w:t>
      </w:r>
      <w:r>
        <w:t>ome</w:t>
      </w:r>
      <w:r>
        <w:rPr>
          <w:spacing w:val="-3"/>
        </w:rPr>
        <w:t xml:space="preserve"> v</w:t>
      </w:r>
      <w:r>
        <w:t>63</w:t>
      </w:r>
      <w:r>
        <w:rPr>
          <w:spacing w:val="-55"/>
        </w:rPr>
        <w:t xml:space="preserve"> </w:t>
      </w:r>
      <w:r>
        <w:rPr>
          <w:rFonts w:hint="eastAsia"/>
        </w:rPr>
        <w:t>以</w:t>
      </w:r>
      <w:r>
        <w:rPr>
          <w:rFonts w:hint="eastAsia"/>
          <w:spacing w:val="-3"/>
        </w:rPr>
        <w:t>上</w:t>
      </w:r>
      <w:r>
        <w:rPr>
          <w:rFonts w:hint="eastAsia"/>
        </w:rPr>
        <w:t>内核浏览器将获得极速体验。</w:t>
      </w:r>
      <w:r>
        <w:t xml:space="preserve"> </w:t>
      </w:r>
    </w:p>
    <w:p w14:paraId="7BF1EA8A">
      <w:pPr>
        <w:pStyle w:val="3"/>
        <w:tabs>
          <w:tab w:val="left" w:leader="hyphen" w:pos="1950"/>
        </w:tabs>
        <w:kinsoku w:val="0"/>
        <w:overflowPunct w:val="0"/>
        <w:spacing w:before="110"/>
      </w:pPr>
      <w:r>
        <w:rPr>
          <w:spacing w:val="15"/>
        </w:rPr>
        <w:t>5</w:t>
      </w:r>
      <w:r>
        <w:rPr>
          <w:rFonts w:hint="eastAsia"/>
          <w:spacing w:val="15"/>
        </w:rPr>
        <w:t>，</w:t>
      </w:r>
      <w:r>
        <w:rPr>
          <w:rFonts w:hint="eastAsia"/>
          <w:spacing w:val="14"/>
        </w:rPr>
        <w:t>专用客</w:t>
      </w:r>
      <w:r>
        <w:rPr>
          <w:rFonts w:hint="eastAsia"/>
          <w:spacing w:val="16"/>
        </w:rPr>
        <w:t>户</w:t>
      </w:r>
      <w:r>
        <w:rPr>
          <w:rFonts w:hint="eastAsia"/>
        </w:rPr>
        <w:t>端</w:t>
      </w:r>
      <w:r>
        <w:tab/>
      </w:r>
      <w:r>
        <w:rPr>
          <w:rFonts w:hint="eastAsia"/>
          <w:spacing w:val="14"/>
        </w:rPr>
        <w:t>如需要</w:t>
      </w:r>
      <w:r>
        <w:rPr>
          <w:rFonts w:hint="eastAsia"/>
          <w:spacing w:val="16"/>
        </w:rPr>
        <w:t>读</w:t>
      </w:r>
      <w:r>
        <w:rPr>
          <w:rFonts w:hint="eastAsia"/>
          <w:spacing w:val="14"/>
        </w:rPr>
        <w:t>卡</w:t>
      </w:r>
      <w:r>
        <w:rPr>
          <w:rFonts w:hint="eastAsia"/>
          <w:spacing w:val="15"/>
        </w:rPr>
        <w:t>等</w:t>
      </w:r>
      <w:r>
        <w:rPr>
          <w:rFonts w:hint="eastAsia"/>
          <w:spacing w:val="14"/>
        </w:rPr>
        <w:t>外部</w:t>
      </w:r>
      <w:r>
        <w:rPr>
          <w:rFonts w:hint="eastAsia"/>
          <w:spacing w:val="16"/>
        </w:rPr>
        <w:t>设</w:t>
      </w:r>
      <w:r>
        <w:rPr>
          <w:rFonts w:hint="eastAsia"/>
          <w:spacing w:val="14"/>
        </w:rPr>
        <w:t>备驱动，</w:t>
      </w:r>
      <w:r>
        <w:rPr>
          <w:rFonts w:hint="eastAsia"/>
          <w:spacing w:val="16"/>
        </w:rPr>
        <w:t>需</w:t>
      </w:r>
      <w:r>
        <w:rPr>
          <w:rFonts w:hint="eastAsia"/>
          <w:spacing w:val="14"/>
        </w:rPr>
        <w:t>要安装专</w:t>
      </w:r>
      <w:r>
        <w:rPr>
          <w:rFonts w:hint="eastAsia"/>
          <w:spacing w:val="16"/>
        </w:rPr>
        <w:t>用</w:t>
      </w:r>
      <w:r>
        <w:rPr>
          <w:rFonts w:hint="eastAsia"/>
          <w:spacing w:val="14"/>
        </w:rPr>
        <w:t>客户端，</w:t>
      </w:r>
      <w:r>
        <w:rPr>
          <w:rFonts w:hint="eastAsia"/>
          <w:spacing w:val="21"/>
        </w:rPr>
        <w:t>需</w:t>
      </w:r>
      <w:r>
        <w:rPr>
          <w:rFonts w:hint="eastAsia"/>
          <w:spacing w:val="14"/>
        </w:rPr>
        <w:t>提前在系</w:t>
      </w:r>
      <w:r>
        <w:rPr>
          <w:rFonts w:hint="eastAsia"/>
          <w:spacing w:val="16"/>
        </w:rPr>
        <w:t>统</w:t>
      </w:r>
      <w:r>
        <w:rPr>
          <w:rFonts w:hint="eastAsia"/>
          <w:spacing w:val="14"/>
        </w:rPr>
        <w:t>上安</w:t>
      </w:r>
      <w:r>
        <w:rPr>
          <w:rFonts w:hint="eastAsia"/>
        </w:rPr>
        <w:t>装</w:t>
      </w:r>
      <w:r>
        <w:t xml:space="preserve">Microsoft .Net 2.0 Framework </w:t>
      </w:r>
      <w:r>
        <w:rPr>
          <w:rFonts w:hint="eastAsia"/>
        </w:rPr>
        <w:t>框架（</w:t>
      </w:r>
      <w:r>
        <w:t xml:space="preserve">XP </w:t>
      </w:r>
      <w:r>
        <w:rPr>
          <w:rFonts w:hint="eastAsia"/>
        </w:rPr>
        <w:t>以上系统都支持）</w:t>
      </w:r>
      <w:r>
        <w:t xml:space="preserve"> </w:t>
      </w:r>
    </w:p>
    <w:p w14:paraId="0ABFA134">
      <w:pPr>
        <w:pStyle w:val="3"/>
        <w:tabs>
          <w:tab w:val="left" w:leader="hyphen" w:pos="1681"/>
        </w:tabs>
        <w:kinsoku w:val="0"/>
        <w:overflowPunct w:val="0"/>
        <w:spacing w:before="113"/>
      </w:pPr>
      <w:r>
        <w:rPr>
          <w:spacing w:val="-7"/>
        </w:rPr>
        <w:t>6</w:t>
      </w:r>
      <w:r>
        <w:rPr>
          <w:rFonts w:hint="eastAsia"/>
          <w:spacing w:val="-7"/>
        </w:rPr>
        <w:t>，</w:t>
      </w:r>
      <w:r>
        <w:rPr>
          <w:spacing w:val="-7"/>
        </w:rPr>
        <w:t>CPU/</w:t>
      </w:r>
      <w:r>
        <w:rPr>
          <w:rFonts w:hint="eastAsia"/>
          <w:spacing w:val="-3"/>
        </w:rPr>
        <w:t>内存</w:t>
      </w:r>
      <w:r>
        <w:rPr>
          <w:spacing w:val="-3"/>
        </w:rPr>
        <w:tab/>
      </w:r>
      <w:r>
        <w:rPr>
          <w:rFonts w:hint="eastAsia"/>
          <w:spacing w:val="-3"/>
        </w:rPr>
        <w:t>现</w:t>
      </w:r>
      <w:r>
        <w:rPr>
          <w:rFonts w:hint="eastAsia"/>
        </w:rPr>
        <w:t>有</w:t>
      </w:r>
      <w:r>
        <w:rPr>
          <w:rFonts w:hint="eastAsia"/>
          <w:spacing w:val="-3"/>
        </w:rPr>
        <w:t>工作</w:t>
      </w:r>
      <w:r>
        <w:rPr>
          <w:rFonts w:hint="eastAsia"/>
        </w:rPr>
        <w:t>站最</w:t>
      </w:r>
      <w:r>
        <w:rPr>
          <w:rFonts w:hint="eastAsia"/>
          <w:spacing w:val="-3"/>
        </w:rPr>
        <w:t>低内</w:t>
      </w:r>
      <w:r>
        <w:rPr>
          <w:rFonts w:hint="eastAsia"/>
        </w:rPr>
        <w:t>存</w:t>
      </w:r>
      <w:r>
        <w:rPr>
          <w:spacing w:val="-49"/>
        </w:rPr>
        <w:t xml:space="preserve"> </w:t>
      </w:r>
      <w:r>
        <w:t>2GB</w:t>
      </w:r>
      <w:r>
        <w:rPr>
          <w:spacing w:val="-52"/>
        </w:rPr>
        <w:t xml:space="preserve"> </w:t>
      </w:r>
      <w:r>
        <w:rPr>
          <w:rFonts w:hint="eastAsia"/>
        </w:rPr>
        <w:t>以上</w:t>
      </w:r>
      <w:r>
        <w:rPr>
          <w:rFonts w:hint="eastAsia"/>
          <w:spacing w:val="-39"/>
        </w:rPr>
        <w:t>，</w:t>
      </w:r>
      <w:r>
        <w:rPr>
          <w:rFonts w:hint="eastAsia"/>
          <w:spacing w:val="-3"/>
        </w:rPr>
        <w:t>对</w:t>
      </w:r>
      <w:r>
        <w:rPr>
          <w:rFonts w:hint="eastAsia"/>
        </w:rPr>
        <w:t>于客</w:t>
      </w:r>
      <w:r>
        <w:rPr>
          <w:rFonts w:hint="eastAsia"/>
          <w:spacing w:val="-3"/>
        </w:rPr>
        <w:t>户</w:t>
      </w:r>
      <w:r>
        <w:rPr>
          <w:rFonts w:hint="eastAsia"/>
        </w:rPr>
        <w:t>机</w:t>
      </w:r>
      <w:r>
        <w:rPr>
          <w:rFonts w:hint="eastAsia"/>
          <w:spacing w:val="-3"/>
        </w:rPr>
        <w:t>需</w:t>
      </w:r>
      <w:r>
        <w:rPr>
          <w:rFonts w:hint="eastAsia"/>
        </w:rPr>
        <w:t>采用计</w:t>
      </w:r>
      <w:r>
        <w:rPr>
          <w:rFonts w:hint="eastAsia"/>
          <w:spacing w:val="-3"/>
        </w:rPr>
        <w:t>算</w:t>
      </w:r>
      <w:r>
        <w:rPr>
          <w:rFonts w:hint="eastAsia"/>
        </w:rPr>
        <w:t>机</w:t>
      </w:r>
      <w:r>
        <w:rPr>
          <w:rFonts w:hint="eastAsia"/>
          <w:spacing w:val="-3"/>
        </w:rPr>
        <w:t>辅</w:t>
      </w:r>
      <w:r>
        <w:rPr>
          <w:rFonts w:hint="eastAsia"/>
        </w:rPr>
        <w:t>助诊</w:t>
      </w:r>
      <w:r>
        <w:rPr>
          <w:rFonts w:hint="eastAsia"/>
          <w:spacing w:val="-3"/>
        </w:rPr>
        <w:t>断</w:t>
      </w:r>
      <w:r>
        <w:rPr>
          <w:rFonts w:hint="eastAsia"/>
        </w:rPr>
        <w:t>等</w:t>
      </w:r>
      <w:r>
        <w:rPr>
          <w:rFonts w:hint="eastAsia"/>
          <w:spacing w:val="-3"/>
        </w:rPr>
        <w:t>高</w:t>
      </w:r>
      <w:r>
        <w:rPr>
          <w:rFonts w:hint="eastAsia"/>
        </w:rPr>
        <w:t>级</w:t>
      </w:r>
      <w:r>
        <w:rPr>
          <w:rFonts w:hint="eastAsia"/>
          <w:spacing w:val="-3"/>
        </w:rPr>
        <w:t>功能</w:t>
      </w:r>
      <w:r>
        <w:rPr>
          <w:rFonts w:hint="eastAsia"/>
          <w:spacing w:val="-36"/>
        </w:rPr>
        <w:t>，</w:t>
      </w:r>
      <w:r>
        <w:rPr>
          <w:rFonts w:hint="eastAsia"/>
        </w:rPr>
        <w:t>建议内存不低于</w:t>
      </w:r>
      <w:r>
        <w:t xml:space="preserve"> 4GB</w:t>
      </w:r>
      <w:r>
        <w:rPr>
          <w:rFonts w:hint="eastAsia"/>
        </w:rPr>
        <w:t>。一般最近</w:t>
      </w:r>
      <w:r>
        <w:t xml:space="preserve"> 5 </w:t>
      </w:r>
      <w:r>
        <w:rPr>
          <w:rFonts w:hint="eastAsia"/>
        </w:rPr>
        <w:t>年内采购的计算机能轻松满足业务使用。</w:t>
      </w:r>
      <w:r>
        <w:t xml:space="preserve"> </w:t>
      </w:r>
    </w:p>
    <w:p w14:paraId="7497FF1C">
      <w:pPr>
        <w:pStyle w:val="3"/>
        <w:tabs>
          <w:tab w:val="left" w:leader="hyphen" w:pos="1611"/>
        </w:tabs>
        <w:kinsoku w:val="0"/>
        <w:overflowPunct w:val="0"/>
        <w:spacing w:before="110"/>
      </w:pPr>
      <w:r>
        <w:t>7</w:t>
      </w:r>
      <w:r>
        <w:rPr>
          <w:rFonts w:hint="eastAsia"/>
        </w:rPr>
        <w:t>，外</w:t>
      </w:r>
      <w:r>
        <w:rPr>
          <w:rFonts w:hint="eastAsia"/>
          <w:spacing w:val="-3"/>
        </w:rPr>
        <w:t>设</w:t>
      </w:r>
      <w:r>
        <w:rPr>
          <w:rFonts w:hint="eastAsia"/>
        </w:rPr>
        <w:t>连接</w:t>
      </w:r>
      <w:r>
        <w:tab/>
      </w:r>
      <w:r>
        <w:rPr>
          <w:rFonts w:hint="eastAsia"/>
          <w:spacing w:val="-3"/>
        </w:rPr>
        <w:t>如</w:t>
      </w:r>
      <w:r>
        <w:rPr>
          <w:rFonts w:hint="eastAsia"/>
        </w:rPr>
        <w:t>有</w:t>
      </w:r>
      <w:r>
        <w:rPr>
          <w:rFonts w:hint="eastAsia"/>
          <w:spacing w:val="-3"/>
        </w:rPr>
        <w:t>读卡</w:t>
      </w:r>
      <w:r>
        <w:rPr>
          <w:rFonts w:hint="eastAsia"/>
        </w:rPr>
        <w:t>器</w:t>
      </w:r>
      <w:r>
        <w:rPr>
          <w:rFonts w:hint="eastAsia"/>
          <w:spacing w:val="-3"/>
        </w:rPr>
        <w:t>（</w:t>
      </w:r>
      <w:r>
        <w:rPr>
          <w:rFonts w:hint="eastAsia"/>
        </w:rPr>
        <w:t>需</w:t>
      </w:r>
      <w:r>
        <w:rPr>
          <w:rFonts w:hint="eastAsia"/>
          <w:spacing w:val="-3"/>
        </w:rPr>
        <w:t>定</w:t>
      </w:r>
      <w:r>
        <w:rPr>
          <w:rFonts w:hint="eastAsia"/>
        </w:rPr>
        <w:t>制</w:t>
      </w:r>
      <w:r>
        <w:rPr>
          <w:rFonts w:hint="eastAsia"/>
          <w:spacing w:val="-3"/>
        </w:rPr>
        <w:t>开发</w:t>
      </w:r>
      <w:r>
        <w:rPr>
          <w:rFonts w:hint="eastAsia"/>
        </w:rPr>
        <w:t>）</w:t>
      </w:r>
      <w:r>
        <w:rPr>
          <w:rFonts w:hint="eastAsia"/>
          <w:spacing w:val="-3"/>
        </w:rPr>
        <w:t>或</w:t>
      </w:r>
      <w:r>
        <w:rPr>
          <w:rFonts w:hint="eastAsia"/>
        </w:rPr>
        <w:t>身</w:t>
      </w:r>
      <w:r>
        <w:rPr>
          <w:rFonts w:hint="eastAsia"/>
          <w:spacing w:val="-3"/>
        </w:rPr>
        <w:t>高</w:t>
      </w:r>
      <w:r>
        <w:rPr>
          <w:rFonts w:hint="eastAsia"/>
        </w:rPr>
        <w:t>体重</w:t>
      </w:r>
      <w:r>
        <w:rPr>
          <w:rFonts w:hint="eastAsia"/>
          <w:spacing w:val="-3"/>
        </w:rPr>
        <w:t>测</w:t>
      </w:r>
      <w:r>
        <w:rPr>
          <w:rFonts w:hint="eastAsia"/>
        </w:rPr>
        <w:t>量</w:t>
      </w:r>
      <w:r>
        <w:rPr>
          <w:rFonts w:hint="eastAsia"/>
          <w:spacing w:val="-3"/>
        </w:rPr>
        <w:t>仪</w:t>
      </w:r>
      <w:r>
        <w:rPr>
          <w:rFonts w:hint="eastAsia"/>
        </w:rPr>
        <w:t>等</w:t>
      </w:r>
      <w:r>
        <w:rPr>
          <w:rFonts w:hint="eastAsia"/>
          <w:spacing w:val="-3"/>
        </w:rPr>
        <w:t>外</w:t>
      </w:r>
      <w:r>
        <w:rPr>
          <w:rFonts w:hint="eastAsia"/>
        </w:rPr>
        <w:t>部</w:t>
      </w:r>
      <w:r>
        <w:rPr>
          <w:rFonts w:hint="eastAsia"/>
          <w:spacing w:val="-3"/>
        </w:rPr>
        <w:t>设</w:t>
      </w:r>
      <w:r>
        <w:rPr>
          <w:rFonts w:hint="eastAsia"/>
        </w:rPr>
        <w:t>备</w:t>
      </w:r>
      <w:r>
        <w:rPr>
          <w:rFonts w:hint="eastAsia"/>
          <w:spacing w:val="-3"/>
        </w:rPr>
        <w:t>需</w:t>
      </w:r>
      <w:r>
        <w:rPr>
          <w:rFonts w:hint="eastAsia"/>
        </w:rPr>
        <w:t>要连</w:t>
      </w:r>
      <w:r>
        <w:rPr>
          <w:rFonts w:hint="eastAsia"/>
          <w:spacing w:val="-3"/>
        </w:rPr>
        <w:t>接，</w:t>
      </w:r>
      <w:r>
        <w:rPr>
          <w:rFonts w:hint="eastAsia"/>
        </w:rPr>
        <w:t>需</w:t>
      </w:r>
      <w:r>
        <w:rPr>
          <w:rFonts w:hint="eastAsia"/>
          <w:spacing w:val="-3"/>
        </w:rPr>
        <w:t>开</w:t>
      </w:r>
      <w:r>
        <w:rPr>
          <w:rFonts w:hint="eastAsia"/>
        </w:rPr>
        <w:t>启</w:t>
      </w:r>
      <w:r>
        <w:rPr>
          <w:spacing w:val="-49"/>
        </w:rPr>
        <w:t xml:space="preserve"> </w:t>
      </w:r>
      <w:r>
        <w:t>USB</w:t>
      </w:r>
      <w:r>
        <w:rPr>
          <w:spacing w:val="-49"/>
        </w:rPr>
        <w:t xml:space="preserve"> </w:t>
      </w:r>
      <w:r>
        <w:rPr>
          <w:rFonts w:hint="eastAsia"/>
        </w:rPr>
        <w:t>数据传输功能。</w:t>
      </w:r>
      <w:r>
        <w:t xml:space="preserve"> </w:t>
      </w:r>
    </w:p>
    <w:p w14:paraId="0622D05C">
      <w:pPr>
        <w:spacing w:line="360" w:lineRule="auto"/>
        <w:ind w:firstLine="105" w:firstLineChars="50"/>
        <w:jc w:val="left"/>
        <w:rPr>
          <w:rFonts w:hint="eastAsia"/>
          <w:spacing w:val="-3"/>
        </w:rPr>
      </w:pPr>
      <w:r>
        <w:t>8</w:t>
      </w:r>
      <w:r>
        <w:rPr>
          <w:rFonts w:hint="eastAsia"/>
        </w:rPr>
        <w:t>，</w:t>
      </w:r>
      <w:r>
        <w:rPr>
          <w:rFonts w:hint="eastAsia"/>
          <w:spacing w:val="-3"/>
        </w:rPr>
        <w:t>终</w:t>
      </w:r>
      <w:r>
        <w:rPr>
          <w:rFonts w:hint="eastAsia"/>
        </w:rPr>
        <w:t>端</w:t>
      </w:r>
      <w:r>
        <w:rPr>
          <w:rFonts w:hint="eastAsia"/>
          <w:spacing w:val="-3"/>
        </w:rPr>
        <w:t>安</w:t>
      </w:r>
      <w:r>
        <w:rPr>
          <w:rFonts w:hint="eastAsia"/>
        </w:rPr>
        <w:t>全</w:t>
      </w:r>
      <w:r>
        <w:tab/>
      </w:r>
      <w:r>
        <w:rPr>
          <w:rFonts w:hint="eastAsia"/>
        </w:rPr>
        <w:t>安装有</w:t>
      </w:r>
      <w:r>
        <w:rPr>
          <w:rFonts w:hint="eastAsia"/>
          <w:spacing w:val="-3"/>
        </w:rPr>
        <w:t>还</w:t>
      </w:r>
      <w:r>
        <w:rPr>
          <w:rFonts w:hint="eastAsia"/>
        </w:rPr>
        <w:t>原精</w:t>
      </w:r>
      <w:r>
        <w:rPr>
          <w:rFonts w:hint="eastAsia"/>
          <w:spacing w:val="-3"/>
        </w:rPr>
        <w:t>灵</w:t>
      </w:r>
      <w:r>
        <w:rPr>
          <w:rFonts w:hint="eastAsia"/>
        </w:rPr>
        <w:t>或</w:t>
      </w:r>
      <w:r>
        <w:rPr>
          <w:rFonts w:hint="eastAsia"/>
          <w:spacing w:val="-3"/>
        </w:rPr>
        <w:t>个</w:t>
      </w:r>
      <w:r>
        <w:rPr>
          <w:rFonts w:hint="eastAsia"/>
        </w:rPr>
        <w:t>人</w:t>
      </w:r>
      <w:r>
        <w:rPr>
          <w:rFonts w:hint="eastAsia"/>
          <w:spacing w:val="-3"/>
        </w:rPr>
        <w:t>防</w:t>
      </w:r>
      <w:r>
        <w:rPr>
          <w:rFonts w:hint="eastAsia"/>
        </w:rPr>
        <w:t>火</w:t>
      </w:r>
      <w:r>
        <w:rPr>
          <w:rFonts w:hint="eastAsia"/>
          <w:spacing w:val="-3"/>
        </w:rPr>
        <w:t>墙</w:t>
      </w:r>
      <w:r>
        <w:t>/</w:t>
      </w:r>
      <w:r>
        <w:rPr>
          <w:rFonts w:hint="eastAsia"/>
          <w:spacing w:val="-3"/>
        </w:rPr>
        <w:t>防病</w:t>
      </w:r>
      <w:r>
        <w:rPr>
          <w:rFonts w:hint="eastAsia"/>
        </w:rPr>
        <w:t>毒需</w:t>
      </w:r>
      <w:r>
        <w:rPr>
          <w:rFonts w:hint="eastAsia"/>
          <w:spacing w:val="-3"/>
        </w:rPr>
        <w:t>要</w:t>
      </w:r>
      <w:r>
        <w:rPr>
          <w:rFonts w:hint="eastAsia"/>
        </w:rPr>
        <w:t>允</w:t>
      </w:r>
      <w:r>
        <w:rPr>
          <w:rFonts w:hint="eastAsia"/>
          <w:spacing w:val="-3"/>
        </w:rPr>
        <w:t>许</w:t>
      </w:r>
      <w:r>
        <w:rPr>
          <w:rFonts w:hint="eastAsia"/>
        </w:rPr>
        <w:t>上</w:t>
      </w:r>
      <w:r>
        <w:rPr>
          <w:rFonts w:hint="eastAsia"/>
          <w:spacing w:val="-3"/>
        </w:rPr>
        <w:t>述</w:t>
      </w:r>
      <w:r>
        <w:rPr>
          <w:rFonts w:hint="eastAsia"/>
        </w:rPr>
        <w:t>安装的</w:t>
      </w:r>
      <w:r>
        <w:rPr>
          <w:rFonts w:hint="eastAsia"/>
          <w:spacing w:val="-3"/>
        </w:rPr>
        <w:t>程</w:t>
      </w:r>
      <w:r>
        <w:rPr>
          <w:rFonts w:hint="eastAsia"/>
        </w:rPr>
        <w:t>序运</w:t>
      </w:r>
      <w:r>
        <w:rPr>
          <w:rFonts w:hint="eastAsia"/>
          <w:spacing w:val="-3"/>
        </w:rPr>
        <w:t>行</w:t>
      </w:r>
      <w:r>
        <w:rPr>
          <w:rFonts w:hint="eastAsia"/>
        </w:rPr>
        <w:t>和</w:t>
      </w:r>
      <w:r>
        <w:rPr>
          <w:rFonts w:hint="eastAsia"/>
          <w:spacing w:val="-3"/>
        </w:rPr>
        <w:t>端</w:t>
      </w:r>
      <w:r>
        <w:rPr>
          <w:rFonts w:hint="eastAsia"/>
        </w:rPr>
        <w:t>口</w:t>
      </w:r>
      <w:r>
        <w:rPr>
          <w:rFonts w:hint="eastAsia"/>
          <w:spacing w:val="-3"/>
        </w:rPr>
        <w:t>通</w:t>
      </w:r>
      <w:r>
        <w:rPr>
          <w:rFonts w:hint="eastAsia"/>
        </w:rPr>
        <w:t>信</w:t>
      </w:r>
      <w:r>
        <w:rPr>
          <w:rFonts w:hint="eastAsia"/>
          <w:spacing w:val="-3"/>
        </w:rPr>
        <w:t>。</w:t>
      </w:r>
    </w:p>
    <w:p w14:paraId="009FFE37">
      <w:pPr>
        <w:pStyle w:val="3"/>
        <w:tabs>
          <w:tab w:val="left" w:leader="hyphen" w:pos="1297"/>
        </w:tabs>
        <w:kinsoku w:val="0"/>
        <w:overflowPunct w:val="0"/>
        <w:spacing w:before="112" w:line="338" w:lineRule="auto"/>
        <w:ind w:right="100"/>
        <w:rPr>
          <w:b/>
          <w:bCs/>
        </w:rPr>
      </w:pPr>
      <w:r>
        <w:rPr>
          <w:rFonts w:hint="eastAsia"/>
          <w:b/>
          <w:bCs/>
          <w:lang w:eastAsia="zh-CN"/>
        </w:rPr>
        <w:t>（</w:t>
      </w:r>
      <w:r>
        <w:rPr>
          <w:rFonts w:hint="eastAsia"/>
          <w:b/>
          <w:bCs/>
          <w:lang w:val="en-US" w:eastAsia="zh-CN"/>
        </w:rPr>
        <w:t>二</w:t>
      </w:r>
      <w:r>
        <w:rPr>
          <w:rFonts w:hint="eastAsia"/>
          <w:b/>
          <w:bCs/>
          <w:lang w:eastAsia="zh-CN"/>
        </w:rPr>
        <w:t>）</w:t>
      </w:r>
      <w:r>
        <w:rPr>
          <w:rFonts w:hint="eastAsia"/>
          <w:b/>
          <w:bCs/>
        </w:rPr>
        <w:t>服务器最低配置需</w:t>
      </w:r>
      <w:r>
        <w:rPr>
          <w:rFonts w:hint="eastAsia"/>
          <w:b/>
          <w:bCs/>
          <w:spacing w:val="-3"/>
        </w:rPr>
        <w:t>求</w:t>
      </w:r>
      <w:r>
        <w:rPr>
          <w:rFonts w:hint="eastAsia"/>
          <w:b/>
          <w:bCs/>
        </w:rPr>
        <w:t>：</w:t>
      </w:r>
      <w:r>
        <w:rPr>
          <w:b/>
          <w:bCs/>
        </w:rPr>
        <w:t xml:space="preserve">                                                                      </w:t>
      </w:r>
    </w:p>
    <w:p w14:paraId="14E83E94">
      <w:pPr>
        <w:pStyle w:val="3"/>
        <w:tabs>
          <w:tab w:val="left" w:leader="hyphen" w:pos="1297"/>
        </w:tabs>
        <w:kinsoku w:val="0"/>
        <w:overflowPunct w:val="0"/>
        <w:spacing w:before="112" w:line="338" w:lineRule="auto"/>
        <w:ind w:right="100"/>
        <w:rPr>
          <w:spacing w:val="-3"/>
        </w:rPr>
      </w:pPr>
      <w:r>
        <w:t>1</w:t>
      </w:r>
      <w:r>
        <w:rPr>
          <w:rFonts w:hint="eastAsia"/>
        </w:rPr>
        <w:t>，</w:t>
      </w:r>
      <w:r>
        <w:rPr>
          <w:rFonts w:hint="eastAsia"/>
          <w:spacing w:val="-3"/>
        </w:rPr>
        <w:t>网</w:t>
      </w:r>
      <w:r>
        <w:rPr>
          <w:rFonts w:hint="eastAsia"/>
        </w:rPr>
        <w:t>络</w:t>
      </w:r>
      <w:r>
        <w:tab/>
      </w:r>
      <w:r>
        <w:rPr>
          <w:rFonts w:hint="eastAsia"/>
        </w:rPr>
        <w:t>系统</w:t>
      </w:r>
      <w:r>
        <w:rPr>
          <w:spacing w:val="-29"/>
        </w:rPr>
        <w:t xml:space="preserve"> </w:t>
      </w:r>
      <w:r>
        <w:t>8871-8874</w:t>
      </w:r>
      <w:r>
        <w:rPr>
          <w:rFonts w:hint="eastAsia"/>
        </w:rPr>
        <w:t>，</w:t>
      </w:r>
      <w:r>
        <w:t>10000</w:t>
      </w:r>
      <w:r>
        <w:rPr>
          <w:rFonts w:hint="eastAsia"/>
        </w:rPr>
        <w:t>（</w:t>
      </w:r>
      <w:r>
        <w:t>WEB</w:t>
      </w:r>
      <w:r>
        <w:rPr>
          <w:spacing w:val="-28"/>
        </w:rPr>
        <w:t xml:space="preserve"> </w:t>
      </w:r>
      <w:r>
        <w:rPr>
          <w:rFonts w:hint="eastAsia"/>
        </w:rPr>
        <w:t>或）等</w:t>
      </w:r>
      <w:r>
        <w:rPr>
          <w:spacing w:val="-26"/>
        </w:rPr>
        <w:t xml:space="preserve"> </w:t>
      </w:r>
      <w:r>
        <w:t>TCP</w:t>
      </w:r>
      <w:r>
        <w:rPr>
          <w:spacing w:val="-26"/>
        </w:rPr>
        <w:t xml:space="preserve"> </w:t>
      </w:r>
      <w:r>
        <w:rPr>
          <w:rFonts w:hint="eastAsia"/>
        </w:rPr>
        <w:t>端</w:t>
      </w:r>
      <w:r>
        <w:rPr>
          <w:rFonts w:hint="eastAsia"/>
          <w:spacing w:val="-3"/>
        </w:rPr>
        <w:t>口</w:t>
      </w:r>
      <w:r>
        <w:rPr>
          <w:rFonts w:hint="eastAsia"/>
        </w:rPr>
        <w:t>不</w:t>
      </w:r>
      <w:r>
        <w:rPr>
          <w:rFonts w:hint="eastAsia"/>
          <w:spacing w:val="-3"/>
        </w:rPr>
        <w:t>被</w:t>
      </w:r>
      <w:r>
        <w:rPr>
          <w:rFonts w:hint="eastAsia"/>
        </w:rPr>
        <w:t>占用，</w:t>
      </w:r>
      <w:r>
        <w:rPr>
          <w:rFonts w:hint="eastAsia"/>
          <w:spacing w:val="-3"/>
        </w:rPr>
        <w:t>并</w:t>
      </w:r>
      <w:r>
        <w:rPr>
          <w:rFonts w:hint="eastAsia"/>
        </w:rPr>
        <w:t>且</w:t>
      </w:r>
      <w:r>
        <w:rPr>
          <w:rFonts w:hint="eastAsia"/>
          <w:spacing w:val="-3"/>
        </w:rPr>
        <w:t>防</w:t>
      </w:r>
      <w:r>
        <w:rPr>
          <w:rFonts w:hint="eastAsia"/>
        </w:rPr>
        <w:t>火墙</w:t>
      </w:r>
      <w:r>
        <w:rPr>
          <w:rFonts w:hint="eastAsia"/>
          <w:spacing w:val="-3"/>
        </w:rPr>
        <w:t>开</w:t>
      </w:r>
      <w:r>
        <w:rPr>
          <w:rFonts w:hint="eastAsia"/>
        </w:rPr>
        <w:t>启</w:t>
      </w:r>
      <w:r>
        <w:rPr>
          <w:rFonts w:hint="eastAsia"/>
          <w:spacing w:val="-3"/>
        </w:rPr>
        <w:t>对</w:t>
      </w:r>
      <w:r>
        <w:rPr>
          <w:rFonts w:hint="eastAsia"/>
        </w:rPr>
        <w:t>外</w:t>
      </w:r>
      <w:r>
        <w:rPr>
          <w:rFonts w:hint="eastAsia"/>
          <w:spacing w:val="-3"/>
        </w:rPr>
        <w:t>访</w:t>
      </w:r>
      <w:r>
        <w:rPr>
          <w:rFonts w:hint="eastAsia"/>
        </w:rPr>
        <w:t>问权限。</w:t>
      </w:r>
      <w:r>
        <w:rPr>
          <w:rFonts w:hint="eastAsia"/>
          <w:spacing w:val="-3"/>
        </w:rPr>
        <w:t>后</w:t>
      </w:r>
      <w:r>
        <w:rPr>
          <w:rFonts w:hint="eastAsia"/>
        </w:rPr>
        <w:t>期</w:t>
      </w:r>
      <w:r>
        <w:rPr>
          <w:rFonts w:hint="eastAsia"/>
          <w:spacing w:val="-3"/>
        </w:rPr>
        <w:t>需对</w:t>
      </w:r>
      <w:r>
        <w:rPr>
          <w:rFonts w:hint="eastAsia"/>
        </w:rPr>
        <w:t>接</w:t>
      </w:r>
      <w:r>
        <w:rPr>
          <w:spacing w:val="-42"/>
        </w:rPr>
        <w:t xml:space="preserve"> </w:t>
      </w:r>
      <w:r>
        <w:t>HIS/LIS/</w:t>
      </w:r>
      <w:r>
        <w:rPr>
          <w:rFonts w:hint="eastAsia"/>
        </w:rPr>
        <w:t>区域</w:t>
      </w:r>
      <w:r>
        <w:rPr>
          <w:rFonts w:hint="eastAsia"/>
          <w:spacing w:val="-3"/>
        </w:rPr>
        <w:t>平</w:t>
      </w:r>
      <w:r>
        <w:rPr>
          <w:rFonts w:hint="eastAsia"/>
        </w:rPr>
        <w:t>台</w:t>
      </w:r>
      <w:r>
        <w:rPr>
          <w:spacing w:val="-3"/>
        </w:rPr>
        <w:t>/</w:t>
      </w:r>
      <w:r>
        <w:rPr>
          <w:rFonts w:hint="eastAsia"/>
        </w:rPr>
        <w:t>互</w:t>
      </w:r>
      <w:r>
        <w:rPr>
          <w:rFonts w:hint="eastAsia"/>
          <w:spacing w:val="-3"/>
        </w:rPr>
        <w:t>联</w:t>
      </w:r>
      <w:r>
        <w:rPr>
          <w:rFonts w:hint="eastAsia"/>
        </w:rPr>
        <w:t>网</w:t>
      </w:r>
      <w:r>
        <w:rPr>
          <w:rFonts w:hint="eastAsia"/>
          <w:spacing w:val="-3"/>
        </w:rPr>
        <w:t>应</w:t>
      </w:r>
      <w:r>
        <w:rPr>
          <w:rFonts w:hint="eastAsia"/>
        </w:rPr>
        <w:t>用</w:t>
      </w:r>
      <w:r>
        <w:rPr>
          <w:rFonts w:hint="eastAsia"/>
          <w:spacing w:val="-3"/>
        </w:rPr>
        <w:t>请确</w:t>
      </w:r>
      <w:r>
        <w:rPr>
          <w:rFonts w:hint="eastAsia"/>
        </w:rPr>
        <w:t>保该</w:t>
      </w:r>
      <w:r>
        <w:rPr>
          <w:rFonts w:hint="eastAsia"/>
          <w:spacing w:val="-3"/>
        </w:rPr>
        <w:t>服</w:t>
      </w:r>
      <w:r>
        <w:rPr>
          <w:rFonts w:hint="eastAsia"/>
        </w:rPr>
        <w:t>务</w:t>
      </w:r>
      <w:r>
        <w:rPr>
          <w:rFonts w:hint="eastAsia"/>
          <w:spacing w:val="-3"/>
        </w:rPr>
        <w:t>器</w:t>
      </w:r>
      <w:r>
        <w:rPr>
          <w:rFonts w:hint="eastAsia"/>
        </w:rPr>
        <w:t>能</w:t>
      </w:r>
      <w:r>
        <w:rPr>
          <w:rFonts w:hint="eastAsia"/>
          <w:spacing w:val="-3"/>
        </w:rPr>
        <w:t>与</w:t>
      </w:r>
      <w:r>
        <w:rPr>
          <w:rFonts w:hint="eastAsia"/>
        </w:rPr>
        <w:t>其</w:t>
      </w:r>
      <w:r>
        <w:rPr>
          <w:rFonts w:hint="eastAsia"/>
          <w:spacing w:val="-3"/>
        </w:rPr>
        <w:t>前</w:t>
      </w:r>
      <w:r>
        <w:rPr>
          <w:rFonts w:hint="eastAsia"/>
        </w:rPr>
        <w:t>置</w:t>
      </w:r>
      <w:r>
        <w:rPr>
          <w:rFonts w:hint="eastAsia"/>
          <w:spacing w:val="-3"/>
        </w:rPr>
        <w:t>机</w:t>
      </w:r>
      <w:r>
        <w:rPr>
          <w:rFonts w:hint="eastAsia"/>
        </w:rPr>
        <w:t>或数</w:t>
      </w:r>
      <w:r>
        <w:rPr>
          <w:rFonts w:hint="eastAsia"/>
          <w:spacing w:val="-3"/>
        </w:rPr>
        <w:t>据</w:t>
      </w:r>
      <w:r>
        <w:rPr>
          <w:rFonts w:hint="eastAsia"/>
        </w:rPr>
        <w:t>库</w:t>
      </w:r>
      <w:r>
        <w:rPr>
          <w:rFonts w:hint="eastAsia"/>
          <w:spacing w:val="-3"/>
        </w:rPr>
        <w:t>互</w:t>
      </w:r>
      <w:r>
        <w:rPr>
          <w:rFonts w:hint="eastAsia"/>
        </w:rPr>
        <w:t>通</w:t>
      </w:r>
      <w:r>
        <w:rPr>
          <w:rFonts w:hint="eastAsia"/>
          <w:spacing w:val="-3"/>
        </w:rPr>
        <w:t>。</w:t>
      </w:r>
      <w:r>
        <w:rPr>
          <w:spacing w:val="-3"/>
        </w:rPr>
        <w:t xml:space="preserve">  </w:t>
      </w:r>
    </w:p>
    <w:p w14:paraId="2CB568E4">
      <w:pPr>
        <w:pStyle w:val="3"/>
        <w:tabs>
          <w:tab w:val="left" w:leader="hyphen" w:pos="1297"/>
        </w:tabs>
        <w:kinsoku w:val="0"/>
        <w:overflowPunct w:val="0"/>
        <w:spacing w:before="112" w:line="338" w:lineRule="auto"/>
        <w:ind w:right="100"/>
      </w:pPr>
      <w:r>
        <w:t>2</w:t>
      </w:r>
      <w:r>
        <w:rPr>
          <w:rFonts w:hint="eastAsia"/>
        </w:rPr>
        <w:t>，</w:t>
      </w:r>
      <w:r>
        <w:rPr>
          <w:rFonts w:hint="eastAsia"/>
          <w:spacing w:val="-3"/>
        </w:rPr>
        <w:t>系</w:t>
      </w:r>
      <w:r>
        <w:rPr>
          <w:rFonts w:hint="eastAsia"/>
        </w:rPr>
        <w:t>统</w:t>
      </w:r>
      <w:r>
        <w:tab/>
      </w:r>
      <w:r>
        <w:rPr>
          <w:rFonts w:hint="eastAsia"/>
          <w:spacing w:val="-3"/>
        </w:rPr>
        <w:t>仅</w:t>
      </w:r>
      <w:r>
        <w:rPr>
          <w:rFonts w:hint="eastAsia"/>
        </w:rPr>
        <w:t>支持</w:t>
      </w:r>
      <w:r>
        <w:rPr>
          <w:spacing w:val="-55"/>
        </w:rPr>
        <w:t xml:space="preserve"> </w:t>
      </w:r>
      <w:r>
        <w:t>64</w:t>
      </w:r>
      <w:r>
        <w:rPr>
          <w:spacing w:val="-53"/>
        </w:rPr>
        <w:t xml:space="preserve"> </w:t>
      </w:r>
      <w:r>
        <w:rPr>
          <w:rFonts w:hint="eastAsia"/>
          <w:spacing w:val="-3"/>
        </w:rPr>
        <w:t>位</w:t>
      </w:r>
      <w:r>
        <w:rPr>
          <w:rFonts w:hint="eastAsia"/>
        </w:rPr>
        <w:t>操作</w:t>
      </w:r>
      <w:r>
        <w:rPr>
          <w:rFonts w:hint="eastAsia"/>
          <w:spacing w:val="-3"/>
        </w:rPr>
        <w:t>系</w:t>
      </w:r>
      <w:r>
        <w:rPr>
          <w:rFonts w:hint="eastAsia"/>
        </w:rPr>
        <w:t>统，</w:t>
      </w:r>
      <w:r>
        <w:t>Windows</w:t>
      </w:r>
      <w:r>
        <w:rPr>
          <w:spacing w:val="-1"/>
        </w:rPr>
        <w:t xml:space="preserve"> </w:t>
      </w:r>
      <w:r>
        <w:t>2008</w:t>
      </w:r>
      <w:r>
        <w:rPr>
          <w:spacing w:val="-2"/>
        </w:rPr>
        <w:t xml:space="preserve"> </w:t>
      </w:r>
      <w:r>
        <w:t>R2</w:t>
      </w:r>
      <w:r>
        <w:rPr>
          <w:spacing w:val="2"/>
        </w:rPr>
        <w:t xml:space="preserve"> </w:t>
      </w:r>
      <w:r>
        <w:t>SP1</w:t>
      </w:r>
      <w:r>
        <w:rPr>
          <w:spacing w:val="-53"/>
        </w:rPr>
        <w:t xml:space="preserve"> </w:t>
      </w:r>
      <w:r>
        <w:rPr>
          <w:rFonts w:hint="eastAsia"/>
          <w:spacing w:val="-3"/>
        </w:rPr>
        <w:t>以</w:t>
      </w:r>
      <w:r>
        <w:rPr>
          <w:rFonts w:hint="eastAsia"/>
        </w:rPr>
        <w:t>上</w:t>
      </w:r>
      <w:r>
        <w:rPr>
          <w:rFonts w:hint="eastAsia"/>
          <w:spacing w:val="-3"/>
        </w:rPr>
        <w:t>操</w:t>
      </w:r>
      <w:r>
        <w:rPr>
          <w:rFonts w:hint="eastAsia"/>
        </w:rPr>
        <w:t>作</w:t>
      </w:r>
      <w:r>
        <w:rPr>
          <w:rFonts w:hint="eastAsia"/>
          <w:spacing w:val="-3"/>
        </w:rPr>
        <w:t>系</w:t>
      </w:r>
      <w:r>
        <w:rPr>
          <w:rFonts w:hint="eastAsia"/>
        </w:rPr>
        <w:t>统</w:t>
      </w:r>
      <w:r>
        <w:rPr>
          <w:rFonts w:hint="eastAsia"/>
          <w:spacing w:val="-3"/>
        </w:rPr>
        <w:t>。</w:t>
      </w:r>
      <w:r>
        <w:t xml:space="preserve"> </w:t>
      </w:r>
    </w:p>
    <w:p w14:paraId="4685CFDA">
      <w:pPr>
        <w:pStyle w:val="3"/>
        <w:kinsoku w:val="0"/>
        <w:overflowPunct w:val="0"/>
        <w:spacing w:line="266" w:lineRule="exact"/>
      </w:pPr>
      <w:r>
        <w:t>3</w:t>
      </w:r>
      <w:r>
        <w:rPr>
          <w:rFonts w:hint="eastAsia"/>
        </w:rPr>
        <w:t>，基础安装包</w:t>
      </w:r>
      <w:r>
        <w:t xml:space="preserve">----Microsoft .Net 4.5 Framework </w:t>
      </w:r>
      <w:r>
        <w:rPr>
          <w:rFonts w:hint="eastAsia"/>
        </w:rPr>
        <w:t>和</w:t>
      </w:r>
      <w:r>
        <w:t xml:space="preserve"> Microsoft C++ 2013</w:t>
      </w:r>
      <w:r>
        <w:rPr>
          <w:rFonts w:hint="eastAsia"/>
        </w:rPr>
        <w:t>。</w:t>
      </w:r>
      <w:r>
        <w:t xml:space="preserve"> </w:t>
      </w:r>
    </w:p>
    <w:p w14:paraId="1683B84D">
      <w:pPr>
        <w:rPr>
          <w:rFonts w:hint="eastAsia"/>
        </w:rPr>
      </w:pPr>
    </w:p>
    <w:p w14:paraId="56421286">
      <w:pPr>
        <w:ind w:firstLine="105" w:firstLineChars="50"/>
        <w:rPr>
          <w:rFonts w:hint="eastAsia"/>
          <w:b/>
          <w:bCs/>
        </w:rPr>
      </w:pPr>
      <w:r>
        <w:rPr>
          <w:rFonts w:hint="eastAsia"/>
          <w:b/>
          <w:bCs/>
          <w:lang w:eastAsia="zh-CN"/>
        </w:rPr>
        <w:t>（</w:t>
      </w:r>
      <w:r>
        <w:rPr>
          <w:rFonts w:hint="eastAsia"/>
          <w:b/>
          <w:bCs/>
          <w:lang w:val="en-US" w:eastAsia="zh-CN"/>
        </w:rPr>
        <w:t>三</w:t>
      </w:r>
      <w:bookmarkStart w:id="1" w:name="_GoBack"/>
      <w:bookmarkEnd w:id="1"/>
      <w:r>
        <w:rPr>
          <w:rFonts w:hint="eastAsia"/>
          <w:b/>
          <w:bCs/>
          <w:lang w:eastAsia="zh-CN"/>
        </w:rPr>
        <w:t>）</w:t>
      </w:r>
      <w:r>
        <w:rPr>
          <w:rFonts w:hint="eastAsia"/>
          <w:b/>
          <w:bCs/>
        </w:rPr>
        <w:t>硬件最低配置：</w:t>
      </w:r>
    </w:p>
    <w:tbl>
      <w:tblPr>
        <w:tblStyle w:val="8"/>
        <w:tblW w:w="0" w:type="auto"/>
        <w:jc w:val="center"/>
        <w:tblLayout w:type="fixed"/>
        <w:tblCellMar>
          <w:top w:w="0" w:type="dxa"/>
          <w:left w:w="0" w:type="dxa"/>
          <w:bottom w:w="0" w:type="dxa"/>
          <w:right w:w="0" w:type="dxa"/>
        </w:tblCellMar>
      </w:tblPr>
      <w:tblGrid>
        <w:gridCol w:w="2559"/>
        <w:gridCol w:w="3959"/>
        <w:gridCol w:w="2420"/>
      </w:tblGrid>
      <w:tr w14:paraId="50484731">
        <w:tblPrEx>
          <w:tblCellMar>
            <w:top w:w="0" w:type="dxa"/>
            <w:left w:w="0" w:type="dxa"/>
            <w:bottom w:w="0" w:type="dxa"/>
            <w:right w:w="0" w:type="dxa"/>
          </w:tblCellMar>
        </w:tblPrEx>
        <w:trPr>
          <w:trHeight w:val="623" w:hRule="atLeast"/>
          <w:jc w:val="center"/>
        </w:trPr>
        <w:tc>
          <w:tcPr>
            <w:tcW w:w="2559" w:type="dxa"/>
            <w:tcBorders>
              <w:top w:val="single" w:color="BCD5ED" w:sz="4" w:space="0"/>
              <w:left w:val="single" w:color="BCD5ED" w:sz="4" w:space="0"/>
              <w:bottom w:val="single" w:color="9CC2E4" w:sz="12" w:space="0"/>
              <w:right w:val="single" w:color="BCD5ED" w:sz="4" w:space="0"/>
            </w:tcBorders>
            <w:shd w:val="clear" w:color="auto" w:fill="5B9BD4"/>
          </w:tcPr>
          <w:p w14:paraId="3FCD937E">
            <w:pPr>
              <w:pStyle w:val="20"/>
              <w:kinsoku w:val="0"/>
              <w:overflowPunct w:val="0"/>
              <w:spacing w:before="116"/>
              <w:ind w:left="837" w:right="831"/>
              <w:jc w:val="center"/>
              <w:rPr>
                <w:b/>
                <w:bCs/>
                <w:color w:val="FFFFFF"/>
                <w:sz w:val="21"/>
                <w:szCs w:val="21"/>
              </w:rPr>
            </w:pPr>
            <w:r>
              <w:rPr>
                <w:rFonts w:hint="eastAsia"/>
                <w:b/>
                <w:bCs/>
                <w:color w:val="FFFFFF"/>
                <w:sz w:val="21"/>
                <w:szCs w:val="21"/>
              </w:rPr>
              <w:t>硬件配置</w:t>
            </w:r>
          </w:p>
        </w:tc>
        <w:tc>
          <w:tcPr>
            <w:tcW w:w="3959" w:type="dxa"/>
            <w:tcBorders>
              <w:top w:val="single" w:color="BCD5ED" w:sz="4" w:space="0"/>
              <w:left w:val="single" w:color="BCD5ED" w:sz="4" w:space="0"/>
              <w:bottom w:val="single" w:color="9CC2E4" w:sz="12" w:space="0"/>
              <w:right w:val="single" w:color="BCD5ED" w:sz="4" w:space="0"/>
            </w:tcBorders>
            <w:shd w:val="clear" w:color="auto" w:fill="5B9BD4"/>
          </w:tcPr>
          <w:p w14:paraId="4CA0296E">
            <w:pPr>
              <w:pStyle w:val="20"/>
              <w:kinsoku w:val="0"/>
              <w:overflowPunct w:val="0"/>
              <w:spacing w:before="116"/>
              <w:ind w:left="1240"/>
              <w:rPr>
                <w:b/>
                <w:bCs/>
                <w:color w:val="FFFFFF"/>
                <w:sz w:val="21"/>
                <w:szCs w:val="21"/>
              </w:rPr>
            </w:pPr>
            <w:r>
              <w:rPr>
                <w:rFonts w:hint="eastAsia"/>
                <w:b/>
                <w:bCs/>
                <w:color w:val="FFFFFF"/>
                <w:sz w:val="21"/>
                <w:szCs w:val="21"/>
              </w:rPr>
              <w:t>系统及软件配置</w:t>
            </w:r>
          </w:p>
        </w:tc>
        <w:tc>
          <w:tcPr>
            <w:tcW w:w="2420" w:type="dxa"/>
            <w:tcBorders>
              <w:top w:val="single" w:color="BCD5ED" w:sz="4" w:space="0"/>
              <w:left w:val="single" w:color="BCD5ED" w:sz="4" w:space="0"/>
              <w:bottom w:val="single" w:color="9CC2E4" w:sz="12" w:space="0"/>
              <w:right w:val="single" w:color="BCD5ED" w:sz="4" w:space="0"/>
            </w:tcBorders>
            <w:shd w:val="clear" w:color="auto" w:fill="5B9BD4"/>
          </w:tcPr>
          <w:p w14:paraId="376246F0">
            <w:pPr>
              <w:pStyle w:val="20"/>
              <w:kinsoku w:val="0"/>
              <w:overflowPunct w:val="0"/>
              <w:spacing w:before="116"/>
              <w:ind w:left="788"/>
              <w:rPr>
                <w:b/>
                <w:bCs/>
                <w:color w:val="FFFFFF"/>
                <w:sz w:val="21"/>
                <w:szCs w:val="21"/>
              </w:rPr>
            </w:pPr>
            <w:r>
              <w:rPr>
                <w:rFonts w:hint="eastAsia"/>
                <w:b/>
                <w:bCs/>
                <w:color w:val="FFFFFF"/>
                <w:sz w:val="21"/>
                <w:szCs w:val="21"/>
              </w:rPr>
              <w:t>特别说明</w:t>
            </w:r>
          </w:p>
        </w:tc>
      </w:tr>
      <w:tr w14:paraId="4DE3FFBE">
        <w:tblPrEx>
          <w:tblCellMar>
            <w:top w:w="0" w:type="dxa"/>
            <w:left w:w="0" w:type="dxa"/>
            <w:bottom w:w="0" w:type="dxa"/>
            <w:right w:w="0" w:type="dxa"/>
          </w:tblCellMar>
        </w:tblPrEx>
        <w:trPr>
          <w:trHeight w:val="1890" w:hRule="atLeast"/>
          <w:jc w:val="center"/>
        </w:trPr>
        <w:tc>
          <w:tcPr>
            <w:tcW w:w="2559" w:type="dxa"/>
            <w:tcBorders>
              <w:top w:val="single" w:color="9CC2E4" w:sz="12" w:space="0"/>
              <w:left w:val="single" w:color="BCD5ED" w:sz="4" w:space="0"/>
              <w:bottom w:val="single" w:color="BCD5ED" w:sz="4" w:space="0"/>
              <w:right w:val="single" w:color="BCD5ED" w:sz="4" w:space="0"/>
            </w:tcBorders>
          </w:tcPr>
          <w:p w14:paraId="7FE0131D">
            <w:pPr>
              <w:pStyle w:val="20"/>
              <w:kinsoku w:val="0"/>
              <w:overflowPunct w:val="0"/>
              <w:spacing w:line="225" w:lineRule="auto"/>
              <w:ind w:right="98"/>
              <w:rPr>
                <w:b/>
                <w:bCs/>
                <w:sz w:val="18"/>
                <w:szCs w:val="18"/>
              </w:rPr>
            </w:pPr>
            <w:r>
              <w:rPr>
                <w:b/>
                <w:bCs/>
                <w:sz w:val="18"/>
                <w:szCs w:val="18"/>
              </w:rPr>
              <w:t>CPU</w:t>
            </w:r>
            <w:r>
              <w:rPr>
                <w:rFonts w:hint="eastAsia"/>
                <w:b/>
                <w:bCs/>
                <w:sz w:val="18"/>
                <w:szCs w:val="18"/>
              </w:rPr>
              <w:t>：</w:t>
            </w:r>
            <w:r>
              <w:rPr>
                <w:b/>
                <w:bCs/>
                <w:sz w:val="18"/>
                <w:szCs w:val="18"/>
              </w:rPr>
              <w:t xml:space="preserve">16 * 1.8GHz </w:t>
            </w:r>
            <w:r>
              <w:rPr>
                <w:rFonts w:hint="eastAsia"/>
                <w:b/>
                <w:bCs/>
                <w:sz w:val="18"/>
                <w:szCs w:val="18"/>
              </w:rPr>
              <w:t>以上（至强）</w:t>
            </w:r>
          </w:p>
          <w:p w14:paraId="524A4A74">
            <w:pPr>
              <w:pStyle w:val="20"/>
              <w:kinsoku w:val="0"/>
              <w:overflowPunct w:val="0"/>
              <w:spacing w:line="308" w:lineRule="exact"/>
              <w:rPr>
                <w:b/>
                <w:bCs/>
                <w:sz w:val="18"/>
                <w:szCs w:val="18"/>
              </w:rPr>
            </w:pPr>
            <w:r>
              <w:rPr>
                <w:rFonts w:hint="eastAsia"/>
                <w:b/>
                <w:bCs/>
                <w:sz w:val="18"/>
                <w:szCs w:val="18"/>
              </w:rPr>
              <w:t>内存：</w:t>
            </w:r>
            <w:r>
              <w:rPr>
                <w:b/>
                <w:bCs/>
                <w:sz w:val="18"/>
                <w:szCs w:val="18"/>
              </w:rPr>
              <w:t xml:space="preserve">16GB </w:t>
            </w:r>
            <w:r>
              <w:rPr>
                <w:rFonts w:hint="eastAsia"/>
                <w:b/>
                <w:bCs/>
                <w:sz w:val="18"/>
                <w:szCs w:val="18"/>
              </w:rPr>
              <w:t>或以上（推荐</w:t>
            </w:r>
            <w:r>
              <w:rPr>
                <w:b/>
                <w:bCs/>
                <w:sz w:val="18"/>
                <w:szCs w:val="18"/>
              </w:rPr>
              <w:t>16GB</w:t>
            </w:r>
            <w:r>
              <w:rPr>
                <w:rFonts w:hint="eastAsia"/>
                <w:b/>
                <w:bCs/>
                <w:sz w:val="18"/>
                <w:szCs w:val="18"/>
              </w:rPr>
              <w:t>）</w:t>
            </w:r>
          </w:p>
          <w:p w14:paraId="071714FE">
            <w:pPr>
              <w:pStyle w:val="20"/>
              <w:kinsoku w:val="0"/>
              <w:overflowPunct w:val="0"/>
              <w:spacing w:line="308" w:lineRule="exact"/>
              <w:rPr>
                <w:b/>
                <w:bCs/>
                <w:sz w:val="18"/>
                <w:szCs w:val="18"/>
              </w:rPr>
            </w:pPr>
            <w:r>
              <w:rPr>
                <w:rFonts w:hint="eastAsia"/>
                <w:b/>
                <w:bCs/>
                <w:sz w:val="18"/>
                <w:szCs w:val="18"/>
              </w:rPr>
              <w:t>硬盘：4</w:t>
            </w:r>
            <w:r>
              <w:rPr>
                <w:b/>
                <w:bCs/>
                <w:sz w:val="18"/>
                <w:szCs w:val="18"/>
              </w:rPr>
              <w:t>00GB</w:t>
            </w:r>
            <w:r>
              <w:rPr>
                <w:b/>
                <w:bCs/>
                <w:spacing w:val="-7"/>
                <w:sz w:val="18"/>
                <w:szCs w:val="18"/>
              </w:rPr>
              <w:t xml:space="preserve"> </w:t>
            </w:r>
            <w:r>
              <w:rPr>
                <w:rFonts w:hint="eastAsia"/>
                <w:b/>
                <w:bCs/>
                <w:spacing w:val="-7"/>
                <w:sz w:val="18"/>
                <w:szCs w:val="18"/>
              </w:rPr>
              <w:t>以上</w:t>
            </w:r>
            <w:r>
              <w:rPr>
                <w:rFonts w:hint="eastAsia"/>
                <w:b/>
                <w:bCs/>
                <w:sz w:val="18"/>
                <w:szCs w:val="18"/>
              </w:rPr>
              <w:t>（数据盘</w:t>
            </w:r>
            <w:r>
              <w:rPr>
                <w:rFonts w:hint="eastAsia"/>
                <w:b/>
                <w:bCs/>
                <w:spacing w:val="-14"/>
                <w:sz w:val="18"/>
                <w:szCs w:val="18"/>
              </w:rPr>
              <w:t>）</w:t>
            </w:r>
            <w:r>
              <w:rPr>
                <w:rFonts w:hint="eastAsia"/>
                <w:b/>
                <w:bCs/>
                <w:sz w:val="18"/>
                <w:szCs w:val="18"/>
              </w:rPr>
              <w:t>系统盘：</w:t>
            </w:r>
            <w:r>
              <w:rPr>
                <w:b/>
                <w:bCs/>
                <w:sz w:val="18"/>
                <w:szCs w:val="18"/>
              </w:rPr>
              <w:t>100GB</w:t>
            </w:r>
          </w:p>
          <w:p w14:paraId="1B8D0761">
            <w:pPr>
              <w:pStyle w:val="20"/>
              <w:kinsoku w:val="0"/>
              <w:overflowPunct w:val="0"/>
              <w:spacing w:before="4" w:line="225" w:lineRule="auto"/>
              <w:ind w:right="9"/>
              <w:rPr>
                <w:b/>
                <w:bCs/>
                <w:spacing w:val="-4"/>
                <w:sz w:val="18"/>
                <w:szCs w:val="18"/>
              </w:rPr>
            </w:pPr>
            <w:r>
              <w:rPr>
                <w:rFonts w:hint="eastAsia"/>
                <w:b/>
                <w:bCs/>
                <w:sz w:val="18"/>
                <w:szCs w:val="18"/>
              </w:rPr>
              <w:t>网卡：</w:t>
            </w:r>
            <w:r>
              <w:rPr>
                <w:b/>
                <w:bCs/>
                <w:sz w:val="18"/>
                <w:szCs w:val="18"/>
              </w:rPr>
              <w:t>1000M</w:t>
            </w:r>
            <w:r>
              <w:rPr>
                <w:b/>
                <w:bCs/>
                <w:spacing w:val="-4"/>
                <w:sz w:val="18"/>
                <w:szCs w:val="18"/>
              </w:rPr>
              <w:t xml:space="preserve"> </w:t>
            </w:r>
            <w:r>
              <w:rPr>
                <w:rFonts w:hint="eastAsia"/>
                <w:b/>
                <w:bCs/>
                <w:spacing w:val="-4"/>
                <w:sz w:val="18"/>
                <w:szCs w:val="18"/>
              </w:rPr>
              <w:t>网卡</w:t>
            </w:r>
          </w:p>
        </w:tc>
        <w:tc>
          <w:tcPr>
            <w:tcW w:w="3959" w:type="dxa"/>
            <w:tcBorders>
              <w:top w:val="single" w:color="9CC2E4" w:sz="12" w:space="0"/>
              <w:left w:val="single" w:color="BCD5ED" w:sz="4" w:space="0"/>
              <w:bottom w:val="single" w:color="BCD5ED" w:sz="4" w:space="0"/>
              <w:right w:val="single" w:color="BCD5ED" w:sz="4" w:space="0"/>
            </w:tcBorders>
          </w:tcPr>
          <w:p w14:paraId="0C60C312">
            <w:pPr>
              <w:pStyle w:val="20"/>
              <w:kinsoku w:val="0"/>
              <w:overflowPunct w:val="0"/>
              <w:spacing w:before="1" w:line="225" w:lineRule="auto"/>
              <w:ind w:left="105" w:right="214"/>
              <w:rPr>
                <w:sz w:val="18"/>
                <w:szCs w:val="18"/>
              </w:rPr>
            </w:pPr>
            <w:r>
              <w:rPr>
                <w:rFonts w:hint="eastAsia"/>
                <w:sz w:val="18"/>
                <w:szCs w:val="18"/>
              </w:rPr>
              <w:t>操作系统：</w:t>
            </w:r>
            <w:r>
              <w:rPr>
                <w:sz w:val="18"/>
                <w:szCs w:val="18"/>
              </w:rPr>
              <w:t xml:space="preserve">Windows server 2008 R2 SP1 </w:t>
            </w:r>
            <w:r>
              <w:rPr>
                <w:rFonts w:hint="eastAsia"/>
                <w:sz w:val="18"/>
                <w:szCs w:val="18"/>
              </w:rPr>
              <w:t>及以</w:t>
            </w:r>
            <w:r>
              <w:rPr>
                <w:sz w:val="18"/>
                <w:szCs w:val="18"/>
              </w:rPr>
              <w:t xml:space="preserve"> </w:t>
            </w:r>
            <w:r>
              <w:rPr>
                <w:rFonts w:hint="eastAsia"/>
                <w:sz w:val="18"/>
                <w:szCs w:val="18"/>
              </w:rPr>
              <w:t>上</w:t>
            </w:r>
            <w:r>
              <w:rPr>
                <w:sz w:val="18"/>
                <w:szCs w:val="18"/>
              </w:rPr>
              <w:t xml:space="preserve"> </w:t>
            </w:r>
            <w:r>
              <w:rPr>
                <w:rFonts w:hint="eastAsia"/>
                <w:sz w:val="18"/>
                <w:szCs w:val="18"/>
              </w:rPr>
              <w:t>，</w:t>
            </w:r>
            <w:r>
              <w:rPr>
                <w:sz w:val="18"/>
                <w:szCs w:val="18"/>
              </w:rPr>
              <w:t xml:space="preserve"> </w:t>
            </w:r>
            <w:r>
              <w:rPr>
                <w:rFonts w:hint="eastAsia"/>
                <w:sz w:val="18"/>
                <w:szCs w:val="18"/>
              </w:rPr>
              <w:t>系</w:t>
            </w:r>
            <w:r>
              <w:rPr>
                <w:sz w:val="18"/>
                <w:szCs w:val="18"/>
              </w:rPr>
              <w:t xml:space="preserve"> </w:t>
            </w:r>
            <w:r>
              <w:rPr>
                <w:rFonts w:hint="eastAsia"/>
                <w:sz w:val="18"/>
                <w:szCs w:val="18"/>
              </w:rPr>
              <w:t>统</w:t>
            </w:r>
            <w:r>
              <w:rPr>
                <w:sz w:val="18"/>
                <w:szCs w:val="18"/>
              </w:rPr>
              <w:t xml:space="preserve"> </w:t>
            </w:r>
            <w:r>
              <w:rPr>
                <w:rFonts w:hint="eastAsia"/>
                <w:sz w:val="18"/>
                <w:szCs w:val="18"/>
              </w:rPr>
              <w:t>依</w:t>
            </w:r>
            <w:r>
              <w:rPr>
                <w:sz w:val="18"/>
                <w:szCs w:val="18"/>
              </w:rPr>
              <w:t xml:space="preserve"> </w:t>
            </w:r>
            <w:r>
              <w:rPr>
                <w:rFonts w:hint="eastAsia"/>
                <w:sz w:val="18"/>
                <w:szCs w:val="18"/>
              </w:rPr>
              <w:t>赖</w:t>
            </w:r>
            <w:r>
              <w:rPr>
                <w:sz w:val="18"/>
                <w:szCs w:val="18"/>
              </w:rPr>
              <w:t xml:space="preserve"> </w:t>
            </w:r>
            <w:r>
              <w:rPr>
                <w:rFonts w:hint="eastAsia"/>
                <w:sz w:val="18"/>
                <w:szCs w:val="18"/>
              </w:rPr>
              <w:t>包</w:t>
            </w:r>
            <w:r>
              <w:rPr>
                <w:sz w:val="18"/>
                <w:szCs w:val="18"/>
              </w:rPr>
              <w:t xml:space="preserve"> </w:t>
            </w:r>
            <w:r>
              <w:rPr>
                <w:rFonts w:hint="eastAsia"/>
                <w:sz w:val="18"/>
                <w:szCs w:val="18"/>
              </w:rPr>
              <w:t>：</w:t>
            </w:r>
            <w:r>
              <w:rPr>
                <w:sz w:val="18"/>
                <w:szCs w:val="18"/>
              </w:rPr>
              <w:t>Microsoft .NET Framework 4.5.2+</w:t>
            </w:r>
            <w:r>
              <w:rPr>
                <w:rFonts w:hint="eastAsia"/>
                <w:sz w:val="18"/>
                <w:szCs w:val="18"/>
              </w:rPr>
              <w:t>，</w:t>
            </w:r>
            <w:r>
              <w:rPr>
                <w:sz w:val="18"/>
                <w:szCs w:val="18"/>
              </w:rPr>
              <w:t>Microsoft VC++ 2013, Microsoft VC++ 2015</w:t>
            </w:r>
          </w:p>
          <w:p w14:paraId="7728512B">
            <w:pPr>
              <w:pStyle w:val="20"/>
              <w:kinsoku w:val="0"/>
              <w:overflowPunct w:val="0"/>
              <w:spacing w:before="5"/>
              <w:ind w:left="0"/>
              <w:rPr>
                <w:rFonts w:ascii="宋体" w:eastAsia="宋体" w:cs="宋体"/>
                <w:b/>
                <w:bCs/>
                <w:sz w:val="22"/>
                <w:szCs w:val="22"/>
              </w:rPr>
            </w:pPr>
          </w:p>
          <w:p w14:paraId="60BED156">
            <w:pPr>
              <w:pStyle w:val="20"/>
              <w:kinsoku w:val="0"/>
              <w:overflowPunct w:val="0"/>
              <w:spacing w:line="312" w:lineRule="exact"/>
              <w:ind w:left="105" w:right="168"/>
              <w:rPr>
                <w:sz w:val="18"/>
                <w:szCs w:val="18"/>
              </w:rPr>
            </w:pPr>
            <w:r>
              <w:rPr>
                <w:spacing w:val="-6"/>
                <w:sz w:val="18"/>
                <w:szCs w:val="18"/>
              </w:rPr>
              <w:t>W</w:t>
            </w:r>
            <w:r>
              <w:rPr>
                <w:sz w:val="18"/>
                <w:szCs w:val="18"/>
              </w:rPr>
              <w:t>eb</w:t>
            </w:r>
            <w:r>
              <w:rPr>
                <w:spacing w:val="-3"/>
                <w:sz w:val="18"/>
                <w:szCs w:val="18"/>
              </w:rPr>
              <w:t xml:space="preserve"> </w:t>
            </w:r>
            <w:r>
              <w:rPr>
                <w:rFonts w:hint="eastAsia"/>
                <w:spacing w:val="-3"/>
                <w:sz w:val="18"/>
                <w:szCs w:val="18"/>
              </w:rPr>
              <w:t>服务</w:t>
            </w:r>
            <w:r>
              <w:rPr>
                <w:rFonts w:hint="eastAsia"/>
                <w:sz w:val="18"/>
                <w:szCs w:val="18"/>
              </w:rPr>
              <w:t>：</w:t>
            </w:r>
            <w:r>
              <w:rPr>
                <w:sz w:val="18"/>
                <w:szCs w:val="18"/>
              </w:rPr>
              <w:t>Nginx</w:t>
            </w:r>
            <w:r>
              <w:rPr>
                <w:rFonts w:hint="eastAsia"/>
                <w:sz w:val="18"/>
                <w:szCs w:val="18"/>
              </w:rPr>
              <w:t>（预装</w:t>
            </w:r>
            <w:r>
              <w:rPr>
                <w:rFonts w:hint="eastAsia"/>
                <w:spacing w:val="-92"/>
                <w:sz w:val="18"/>
                <w:szCs w:val="18"/>
              </w:rPr>
              <w:t>）</w:t>
            </w:r>
            <w:r>
              <w:rPr>
                <w:rFonts w:hint="eastAsia"/>
                <w:sz w:val="18"/>
                <w:szCs w:val="18"/>
              </w:rPr>
              <w:t>，</w:t>
            </w:r>
            <w:r>
              <w:rPr>
                <w:sz w:val="18"/>
                <w:szCs w:val="18"/>
              </w:rPr>
              <w:t>IIS</w:t>
            </w:r>
            <w:r>
              <w:rPr>
                <w:spacing w:val="-1"/>
                <w:sz w:val="18"/>
                <w:szCs w:val="18"/>
              </w:rPr>
              <w:t xml:space="preserve"> 7.5</w:t>
            </w:r>
            <w:r>
              <w:rPr>
                <w:spacing w:val="1"/>
                <w:sz w:val="18"/>
                <w:szCs w:val="18"/>
              </w:rPr>
              <w:t>+</w:t>
            </w:r>
            <w:r>
              <w:rPr>
                <w:rFonts w:hint="eastAsia"/>
                <w:sz w:val="18"/>
                <w:szCs w:val="18"/>
              </w:rPr>
              <w:t>（可选</w:t>
            </w:r>
            <w:r>
              <w:rPr>
                <w:rFonts w:hint="eastAsia"/>
                <w:spacing w:val="-11"/>
                <w:sz w:val="18"/>
                <w:szCs w:val="18"/>
              </w:rPr>
              <w:t>）</w:t>
            </w:r>
            <w:r>
              <w:rPr>
                <w:rFonts w:hint="eastAsia"/>
                <w:sz w:val="18"/>
                <w:szCs w:val="18"/>
              </w:rPr>
              <w:t>数据库：</w:t>
            </w:r>
            <w:r>
              <w:rPr>
                <w:sz w:val="18"/>
                <w:szCs w:val="18"/>
              </w:rPr>
              <w:t>MariaDB10.2</w:t>
            </w:r>
            <w:r>
              <w:rPr>
                <w:spacing w:val="-3"/>
                <w:sz w:val="18"/>
                <w:szCs w:val="18"/>
              </w:rPr>
              <w:t xml:space="preserve"> </w:t>
            </w:r>
            <w:r>
              <w:rPr>
                <w:rFonts w:hint="eastAsia"/>
                <w:spacing w:val="-3"/>
                <w:sz w:val="18"/>
                <w:szCs w:val="18"/>
              </w:rPr>
              <w:t>及以上</w:t>
            </w:r>
            <w:r>
              <w:rPr>
                <w:rFonts w:hint="eastAsia"/>
                <w:sz w:val="18"/>
                <w:szCs w:val="18"/>
              </w:rPr>
              <w:t>（预装）</w:t>
            </w:r>
          </w:p>
        </w:tc>
        <w:tc>
          <w:tcPr>
            <w:tcW w:w="2420" w:type="dxa"/>
            <w:tcBorders>
              <w:top w:val="single" w:color="9CC2E4" w:sz="12" w:space="0"/>
              <w:left w:val="single" w:color="BCD5ED" w:sz="4" w:space="0"/>
              <w:bottom w:val="single" w:color="BCD5ED" w:sz="4" w:space="0"/>
              <w:right w:val="single" w:color="BCD5ED" w:sz="4" w:space="0"/>
            </w:tcBorders>
          </w:tcPr>
          <w:p w14:paraId="1371ADAE">
            <w:pPr>
              <w:pStyle w:val="20"/>
              <w:kinsoku w:val="0"/>
              <w:overflowPunct w:val="0"/>
              <w:spacing w:before="1" w:line="225" w:lineRule="auto"/>
              <w:ind w:right="89"/>
              <w:rPr>
                <w:sz w:val="18"/>
                <w:szCs w:val="18"/>
              </w:rPr>
            </w:pPr>
            <w:r>
              <w:rPr>
                <w:rFonts w:hint="eastAsia"/>
                <w:sz w:val="18"/>
                <w:szCs w:val="18"/>
              </w:rPr>
              <w:t>部署方式：专用服务器或独立的虚拟化主机。</w:t>
            </w:r>
          </w:p>
          <w:p w14:paraId="0B20B319">
            <w:pPr>
              <w:pStyle w:val="20"/>
              <w:kinsoku w:val="0"/>
              <w:overflowPunct w:val="0"/>
              <w:spacing w:before="5"/>
              <w:ind w:left="0"/>
              <w:rPr>
                <w:rFonts w:ascii="宋体" w:eastAsia="宋体" w:cs="宋体"/>
                <w:b/>
                <w:bCs/>
                <w:sz w:val="22"/>
                <w:szCs w:val="22"/>
              </w:rPr>
            </w:pPr>
          </w:p>
          <w:p w14:paraId="0083731E">
            <w:pPr>
              <w:pStyle w:val="20"/>
              <w:kinsoku w:val="0"/>
              <w:overflowPunct w:val="0"/>
              <w:spacing w:line="312" w:lineRule="exact"/>
              <w:ind w:right="95"/>
              <w:jc w:val="both"/>
              <w:rPr>
                <w:sz w:val="18"/>
                <w:szCs w:val="18"/>
              </w:rPr>
            </w:pPr>
          </w:p>
        </w:tc>
      </w:tr>
    </w:tbl>
    <w:p w14:paraId="1CE3F6D7">
      <w:pPr>
        <w:rPr>
          <w:rFonts w:hint="eastAsia" w:eastAsia="宋体"/>
          <w:lang w:val="en-US" w:eastAsia="zh-CN"/>
        </w:rPr>
      </w:pPr>
    </w:p>
    <w:sectPr>
      <w:footerReference r:id="rId3" w:type="default"/>
      <w:endnotePr>
        <w:numFmt w:val="decimal"/>
      </w:endnote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幼圆">
    <w:altName w:val="宋体"/>
    <w:panose1 w:val="02010509060101010101"/>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31488">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3</w:t>
    </w:r>
    <w:r>
      <w:rPr>
        <w:b/>
        <w:sz w:val="24"/>
        <w:szCs w:val="24"/>
      </w:rPr>
      <w:fldChar w:fldCharType="end"/>
    </w:r>
  </w:p>
  <w:p w14:paraId="75776B89">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6D25FFF"/>
    <w:multiLevelType w:val="singleLevel"/>
    <w:tmpl w:val="F6D25FFF"/>
    <w:lvl w:ilvl="0" w:tentative="0">
      <w:start w:val="1"/>
      <w:numFmt w:val="decimal"/>
      <w:lvlText w:val="%1."/>
      <w:lvlJc w:val="left"/>
      <w:pPr>
        <w:ind w:left="425" w:hanging="425"/>
      </w:pPr>
      <w:rPr>
        <w:rFonts w:hint="default"/>
        <w:b w:val="0"/>
        <w:bCs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9"/>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AE4"/>
    <w:rsid w:val="00083FB7"/>
    <w:rsid w:val="000F2F00"/>
    <w:rsid w:val="001015F9"/>
    <w:rsid w:val="001053AB"/>
    <w:rsid w:val="0025371C"/>
    <w:rsid w:val="0027498A"/>
    <w:rsid w:val="002E1299"/>
    <w:rsid w:val="002F6AF2"/>
    <w:rsid w:val="00303902"/>
    <w:rsid w:val="00332041"/>
    <w:rsid w:val="0038176D"/>
    <w:rsid w:val="003F017A"/>
    <w:rsid w:val="004976F3"/>
    <w:rsid w:val="004A5E85"/>
    <w:rsid w:val="004D3366"/>
    <w:rsid w:val="00560B7D"/>
    <w:rsid w:val="005A319B"/>
    <w:rsid w:val="005A755E"/>
    <w:rsid w:val="006140FA"/>
    <w:rsid w:val="00634E8D"/>
    <w:rsid w:val="006F2DC2"/>
    <w:rsid w:val="00843BE0"/>
    <w:rsid w:val="00853AE4"/>
    <w:rsid w:val="00875EDD"/>
    <w:rsid w:val="008A2DE8"/>
    <w:rsid w:val="00A457C5"/>
    <w:rsid w:val="00A5441F"/>
    <w:rsid w:val="00A71B88"/>
    <w:rsid w:val="00A82A75"/>
    <w:rsid w:val="00A860B6"/>
    <w:rsid w:val="00AB5914"/>
    <w:rsid w:val="00B03EE6"/>
    <w:rsid w:val="00B24079"/>
    <w:rsid w:val="00B3538A"/>
    <w:rsid w:val="00BF34B7"/>
    <w:rsid w:val="00C238E9"/>
    <w:rsid w:val="00CE29C6"/>
    <w:rsid w:val="00CE5362"/>
    <w:rsid w:val="00D01BE0"/>
    <w:rsid w:val="00D42C0F"/>
    <w:rsid w:val="00DB42AD"/>
    <w:rsid w:val="00E22BE6"/>
    <w:rsid w:val="00E35CDB"/>
    <w:rsid w:val="00E64AA6"/>
    <w:rsid w:val="00E73CC0"/>
    <w:rsid w:val="00F211B5"/>
    <w:rsid w:val="00F801DA"/>
    <w:rsid w:val="00FE4ECE"/>
    <w:rsid w:val="2221328A"/>
    <w:rsid w:val="26204307"/>
    <w:rsid w:val="3E7963AD"/>
    <w:rsid w:val="4A290DBA"/>
    <w:rsid w:val="4BFC12A4"/>
    <w:rsid w:val="54EC75A4"/>
    <w:rsid w:val="575136EE"/>
    <w:rsid w:val="58B84917"/>
    <w:rsid w:val="668512A7"/>
    <w:rsid w:val="699B4C9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Body Text"/>
    <w:basedOn w:val="1"/>
    <w:qFormat/>
    <w:uiPriority w:val="1"/>
    <w:pPr>
      <w:autoSpaceDE w:val="0"/>
      <w:autoSpaceDN w:val="0"/>
      <w:adjustRightInd w:val="0"/>
      <w:ind w:left="140"/>
      <w:jc w:val="left"/>
    </w:pPr>
    <w:rPr>
      <w:rFonts w:ascii="宋体" w:hAnsi="Times New Roman" w:eastAsia="宋体" w:cs="宋体"/>
      <w:kern w:val="0"/>
      <w:szCs w:val="21"/>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paragraph" w:styleId="7">
    <w:name w:val="Title"/>
    <w:basedOn w:val="1"/>
    <w:next w:val="1"/>
    <w:link w:val="18"/>
    <w:qFormat/>
    <w:uiPriority w:val="10"/>
    <w:pPr>
      <w:spacing w:before="240" w:after="60"/>
      <w:jc w:val="center"/>
      <w:outlineLvl w:val="0"/>
    </w:pPr>
    <w:rPr>
      <w:rFonts w:ascii="Cambria" w:hAnsi="Cambria"/>
      <w:b/>
      <w:bCs/>
      <w:sz w:val="32"/>
      <w:szCs w:val="32"/>
    </w:rPr>
  </w:style>
  <w:style w:type="character" w:styleId="10">
    <w:name w:val="Strong"/>
    <w:basedOn w:val="9"/>
    <w:qFormat/>
    <w:uiPriority w:val="22"/>
    <w:rPr>
      <w:b/>
    </w:rPr>
  </w:style>
  <w:style w:type="character" w:customStyle="1" w:styleId="11">
    <w:name w:val="页眉 字符"/>
    <w:basedOn w:val="9"/>
    <w:link w:val="5"/>
    <w:qFormat/>
    <w:uiPriority w:val="99"/>
    <w:rPr>
      <w:sz w:val="18"/>
      <w:szCs w:val="18"/>
    </w:rPr>
  </w:style>
  <w:style w:type="character" w:customStyle="1" w:styleId="12">
    <w:name w:val="页脚 字符"/>
    <w:basedOn w:val="9"/>
    <w:link w:val="4"/>
    <w:qFormat/>
    <w:uiPriority w:val="99"/>
    <w:rPr>
      <w:sz w:val="18"/>
      <w:szCs w:val="18"/>
    </w:rPr>
  </w:style>
  <w:style w:type="character" w:customStyle="1" w:styleId="13">
    <w:name w:val="页脚 Char"/>
    <w:qFormat/>
    <w:uiPriority w:val="99"/>
    <w:rPr>
      <w:kern w:val="2"/>
      <w:sz w:val="18"/>
      <w:szCs w:val="18"/>
    </w:rPr>
  </w:style>
  <w:style w:type="paragraph" w:customStyle="1" w:styleId="14">
    <w:name w:val="_Style 8"/>
    <w:basedOn w:val="1"/>
    <w:next w:val="15"/>
    <w:qFormat/>
    <w:uiPriority w:val="34"/>
    <w:pPr>
      <w:ind w:firstLine="420" w:firstLineChars="200"/>
    </w:pPr>
  </w:style>
  <w:style w:type="paragraph" w:styleId="15">
    <w:name w:val="List Paragraph"/>
    <w:basedOn w:val="1"/>
    <w:qFormat/>
    <w:uiPriority w:val="34"/>
    <w:pPr>
      <w:ind w:firstLine="420" w:firstLineChars="200"/>
    </w:pPr>
  </w:style>
  <w:style w:type="paragraph" w:customStyle="1" w:styleId="16">
    <w:name w:val="列出段落1"/>
    <w:basedOn w:val="1"/>
    <w:qFormat/>
    <w:uiPriority w:val="34"/>
    <w:pPr>
      <w:ind w:firstLine="420" w:firstLineChars="200"/>
    </w:pPr>
    <w:rPr>
      <w:rFonts w:ascii="Times New Roman" w:hAnsi="Times New Roman"/>
      <w:szCs w:val="20"/>
    </w:rPr>
  </w:style>
  <w:style w:type="character" w:customStyle="1" w:styleId="17">
    <w:name w:val="标题 字符"/>
    <w:basedOn w:val="9"/>
    <w:qFormat/>
    <w:uiPriority w:val="10"/>
    <w:rPr>
      <w:rFonts w:asciiTheme="majorHAnsi" w:hAnsiTheme="majorHAnsi" w:eastAsiaTheme="majorEastAsia" w:cstheme="majorBidi"/>
      <w:b/>
      <w:bCs/>
      <w:sz w:val="32"/>
      <w:szCs w:val="32"/>
    </w:rPr>
  </w:style>
  <w:style w:type="character" w:customStyle="1" w:styleId="18">
    <w:name w:val="标题 字符1"/>
    <w:link w:val="7"/>
    <w:qFormat/>
    <w:uiPriority w:val="10"/>
    <w:rPr>
      <w:rFonts w:ascii="Cambria" w:hAnsi="Cambria" w:eastAsia="宋体" w:cs="Times New Roman"/>
      <w:b/>
      <w:bCs/>
      <w:sz w:val="32"/>
      <w:szCs w:val="32"/>
    </w:rPr>
  </w:style>
  <w:style w:type="table" w:customStyle="1" w:styleId="19">
    <w:name w:val="Grid Table 6 Colorful"/>
    <w:basedOn w:val="8"/>
    <w:qFormat/>
    <w:uiPriority w:val="51"/>
    <w:rPr>
      <w:color w:val="000000" w:themeColor="text1"/>
      <w:kern w:val="0"/>
      <w:sz w:val="22"/>
      <w14:textFill>
        <w14:solidFill>
          <w14:schemeClr w14:val="tx1"/>
        </w14:solidFill>
      </w14:textFill>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paragraph" w:customStyle="1" w:styleId="20">
    <w:name w:val="Table Paragraph"/>
    <w:basedOn w:val="1"/>
    <w:qFormat/>
    <w:uiPriority w:val="1"/>
    <w:pPr>
      <w:autoSpaceDE w:val="0"/>
      <w:autoSpaceDN w:val="0"/>
      <w:adjustRightInd w:val="0"/>
      <w:ind w:left="107"/>
      <w:jc w:val="left"/>
    </w:pPr>
    <w:rPr>
      <w:rFonts w:ascii="微软雅黑" w:hAnsi="Times New Roman" w:eastAsia="微软雅黑" w:cs="微软雅黑"/>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5504</Words>
  <Characters>5897</Characters>
  <Lines>60</Lines>
  <Paragraphs>17</Paragraphs>
  <TotalTime>0</TotalTime>
  <ScaleCrop>false</ScaleCrop>
  <LinksUpToDate>false</LinksUpToDate>
  <CharactersWithSpaces>5945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2021-09-21T04:23:00Z</dcterms:created>
  <dc:creator>American</dc:creator>
  <cp:lastModifiedBy>zq</cp:lastModifiedBy>
  <dcterms:modified xsi:type="dcterms:W3CDTF">2026-09-09T02:41:41Z</dcterms:modified>
  <cp:revision>177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4137F2EE328C4C31930669590C0D6923_13</vt:lpwstr>
  </property>
  <property fmtid="{D5CDD505-2E9C-101B-9397-08002B2CF9AE}" pid="4" name="KSOTemplateDocerSaveRecord">
    <vt:lpwstr>eyJoZGlkIjoiY2U3ZmMzMmEyY2EzMzEyMDIxNDQ2ZDc1NDk4MzcyYWYiLCJ1c2VySWQiOiI2NzUyNDQ2ODUifQ==</vt:lpwstr>
  </property>
</Properties>
</file>