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DA68C">
      <w:pPr>
        <w:pStyle w:val="12"/>
        <w:ind w:left="0" w:leftChars="0" w:firstLine="0" w:firstLineChars="0"/>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中山大学孙逸仙纪念医院花都院区2027—2029年轨道物流系统维保服务</w:t>
      </w:r>
    </w:p>
    <w:p w14:paraId="3D3F700E">
      <w:pPr>
        <w:pStyle w:val="12"/>
        <w:ind w:left="0" w:leftChars="0" w:firstLine="0" w:firstLineChars="0"/>
        <w:jc w:val="center"/>
        <w:rPr>
          <w:rFonts w:hint="default"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项目用户需求书</w:t>
      </w:r>
    </w:p>
    <w:p w14:paraId="46E79DDB">
      <w:pPr>
        <w:pStyle w:val="12"/>
        <w:rPr>
          <w:rFonts w:hint="default"/>
          <w:color w:val="auto"/>
          <w:lang w:val="en-US" w:eastAsia="zh-CN"/>
        </w:rPr>
      </w:pPr>
    </w:p>
    <w:p w14:paraId="1C9E9781">
      <w:pPr>
        <w:snapToGrid w:val="0"/>
        <w:spacing w:line="288"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cs="宋体"/>
          <w:b/>
          <w:bCs/>
          <w:color w:val="auto"/>
          <w:sz w:val="24"/>
          <w:szCs w:val="24"/>
          <w:lang w:val="en-US" w:eastAsia="zh-CN"/>
        </w:rPr>
        <w:t>.</w:t>
      </w:r>
      <w:r>
        <w:rPr>
          <w:rFonts w:hint="eastAsia" w:ascii="宋体" w:hAnsi="宋体" w:eastAsia="宋体" w:cs="宋体"/>
          <w:b/>
          <w:bCs/>
          <w:color w:val="auto"/>
          <w:sz w:val="24"/>
          <w:szCs w:val="24"/>
        </w:rPr>
        <w:t>项目概况</w:t>
      </w:r>
    </w:p>
    <w:p w14:paraId="58633F8C">
      <w:pPr>
        <w:keepNext w:val="0"/>
        <w:keepLines w:val="0"/>
        <w:pageBreakBefore w:val="0"/>
        <w:kinsoku/>
        <w:wordWrap/>
        <w:overflowPunct/>
        <w:topLinePunct w:val="0"/>
        <w:autoSpaceDE/>
        <w:autoSpaceDN/>
        <w:bidi w:val="0"/>
        <w:adjustRightInd/>
        <w:snapToGrid w:val="0"/>
        <w:spacing w:line="288"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花都院区轨道物流系统于2024年底投入使用，共设站点35个，分布于门诊楼和住院楼各楼层，配备运输小车49辆，单台小车最大载重量为10KG；系统主要部件（如轨道、转轨器、小车、基本软件包等）为德列孚品牌，目前日均输送量约460次。</w:t>
      </w:r>
    </w:p>
    <w:p w14:paraId="182E6764">
      <w:pPr>
        <w:keepNext w:val="0"/>
        <w:keepLines w:val="0"/>
        <w:pageBreakBefore w:val="0"/>
        <w:kinsoku/>
        <w:wordWrap/>
        <w:overflowPunct/>
        <w:topLinePunct w:val="0"/>
        <w:autoSpaceDE/>
        <w:autoSpaceDN/>
        <w:bidi w:val="0"/>
        <w:adjustRightInd/>
        <w:snapToGrid w:val="0"/>
        <w:spacing w:line="288" w:lineRule="auto"/>
        <w:ind w:firstLine="480" w:firstLineChars="200"/>
        <w:rPr>
          <w:rFonts w:hint="eastAsia" w:eastAsia="宋体"/>
          <w:lang w:eastAsia="zh-CN"/>
        </w:rPr>
      </w:pPr>
      <w:r>
        <w:rPr>
          <w:rFonts w:hint="eastAsia" w:ascii="仿宋" w:hAnsi="仿宋" w:eastAsia="仿宋" w:cs="仿宋"/>
          <w:color w:val="auto"/>
          <w:sz w:val="24"/>
          <w:szCs w:val="24"/>
          <w:lang w:val="en-US" w:eastAsia="zh-CN"/>
        </w:rPr>
        <w:t>本项目拟为花都院区轨道物流系统采购维保服务，要求提供7×24小时全天候维保服务，服务模式为全包服务，由中标人承担保障该物流系统正常运行所需的全部费用，采购人除支付本项目合同约定费用外，不再支付任何额外费用。</w:t>
      </w:r>
    </w:p>
    <w:p w14:paraId="1529471C">
      <w:pPr>
        <w:keepNext w:val="0"/>
        <w:keepLines w:val="0"/>
        <w:pageBreakBefore w:val="0"/>
        <w:kinsoku/>
        <w:wordWrap/>
        <w:overflowPunct/>
        <w:topLinePunct w:val="0"/>
        <w:autoSpaceDE/>
        <w:autoSpaceDN/>
        <w:bidi w:val="0"/>
        <w:adjustRightInd/>
        <w:snapToGrid w:val="0"/>
        <w:spacing w:line="288" w:lineRule="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2.服务期</w:t>
      </w:r>
    </w:p>
    <w:p w14:paraId="0A03FEEA">
      <w:pPr>
        <w:keepNext w:val="0"/>
        <w:keepLines w:val="0"/>
        <w:pageBreakBefore w:val="0"/>
        <w:kinsoku/>
        <w:wordWrap/>
        <w:overflowPunct/>
        <w:topLinePunct w:val="0"/>
        <w:autoSpaceDE/>
        <w:autoSpaceDN/>
        <w:bidi w:val="0"/>
        <w:adjustRightInd/>
        <w:snapToGrid w:val="0"/>
        <w:spacing w:line="288" w:lineRule="auto"/>
        <w:ind w:firstLine="480" w:firstLineChars="200"/>
        <w:rPr>
          <w:rFonts w:hint="eastAsia" w:eastAsia="宋体"/>
          <w:lang w:eastAsia="zh-CN"/>
        </w:rPr>
      </w:pPr>
      <w:r>
        <w:rPr>
          <w:rFonts w:hint="eastAsia" w:ascii="仿宋" w:hAnsi="仿宋" w:eastAsia="仿宋" w:cs="仿宋"/>
          <w:color w:val="auto"/>
          <w:sz w:val="24"/>
          <w:szCs w:val="24"/>
          <w:lang w:val="en-US" w:eastAsia="zh-CN"/>
        </w:rPr>
        <w:t>本次维保服务服务期为2年，服务时段为2027年5月1日至2029年4月30日。</w:t>
      </w:r>
    </w:p>
    <w:p w14:paraId="6C3820BE">
      <w:pPr>
        <w:keepNext w:val="0"/>
        <w:keepLines w:val="0"/>
        <w:pageBreakBefore w:val="0"/>
        <w:numPr>
          <w:ilvl w:val="0"/>
          <w:numId w:val="1"/>
        </w:numPr>
        <w:kinsoku/>
        <w:wordWrap/>
        <w:overflowPunct/>
        <w:topLinePunct w:val="0"/>
        <w:autoSpaceDE/>
        <w:autoSpaceDN/>
        <w:bidi w:val="0"/>
        <w:adjustRightInd/>
        <w:snapToGrid w:val="0"/>
        <w:spacing w:line="288"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rPr>
        <w:t>服务内容</w:t>
      </w:r>
    </w:p>
    <w:p w14:paraId="7DF156F3">
      <w:pPr>
        <w:pStyle w:val="13"/>
        <w:ind w:left="0" w:leftChars="0" w:firstLine="0" w:firstLineChars="0"/>
        <w:rPr>
          <w:rFonts w:hint="default" w:ascii="仿宋" w:hAnsi="仿宋" w:eastAsia="仿宋" w:cs="仿宋"/>
          <w:b/>
          <w:bCs/>
          <w:color w:val="auto"/>
          <w:sz w:val="24"/>
          <w:szCs w:val="24"/>
          <w:lang w:val="en-US" w:eastAsia="zh-CN"/>
        </w:rPr>
      </w:pPr>
      <w:r>
        <w:rPr>
          <w:rFonts w:hint="eastAsia" w:ascii="宋体" w:hAnsi="宋体" w:cs="宋体"/>
          <w:b w:val="0"/>
          <w:bCs w:val="0"/>
          <w:color w:val="auto"/>
          <w:sz w:val="24"/>
          <w:szCs w:val="24"/>
          <w:lang w:val="en-US" w:eastAsia="zh-CN"/>
        </w:rPr>
        <w:t>3.1</w:t>
      </w:r>
      <w:r>
        <w:rPr>
          <w:rFonts w:hint="eastAsia" w:ascii="仿宋" w:hAnsi="仿宋" w:eastAsia="仿宋"/>
          <w:color w:val="auto"/>
          <w:sz w:val="24"/>
          <w:szCs w:val="24"/>
          <w:lang w:val="en-US" w:eastAsia="zh-CN"/>
        </w:rPr>
        <w:t>中标方需按照</w:t>
      </w:r>
      <w:r>
        <w:rPr>
          <w:rFonts w:hint="eastAsia" w:ascii="仿宋" w:hAnsi="仿宋" w:eastAsia="仿宋"/>
          <w:b w:val="0"/>
          <w:bCs w:val="0"/>
          <w:color w:val="auto"/>
          <w:sz w:val="24"/>
          <w:szCs w:val="24"/>
          <w:lang w:val="en-US" w:eastAsia="zh-CN"/>
        </w:rPr>
        <w:t>定期维护保养服务清单规定</w:t>
      </w:r>
      <w:r>
        <w:rPr>
          <w:rFonts w:hint="eastAsia" w:ascii="仿宋" w:hAnsi="仿宋" w:eastAsia="仿宋"/>
          <w:color w:val="auto"/>
          <w:sz w:val="24"/>
          <w:szCs w:val="24"/>
          <w:lang w:val="en-US" w:eastAsia="zh-CN"/>
        </w:rPr>
        <w:t>的检修周期与标准，对轨道物流系统各类型设备的使用及运行状态开展检查、维护作业，通过检查、紧固、除尘除锈、加注润滑脂、更换易损件、调试、测试等作业方式，保障设备符合既定维护标准，对排查发现的问题与缺陷及时开展维修作业。</w:t>
      </w:r>
      <w:r>
        <w:rPr>
          <w:rFonts w:hint="eastAsia" w:ascii="仿宋" w:hAnsi="仿宋" w:eastAsia="仿宋"/>
          <w:b w:val="0"/>
          <w:bCs w:val="0"/>
          <w:color w:val="auto"/>
          <w:sz w:val="24"/>
          <w:szCs w:val="24"/>
          <w:lang w:val="en-US" w:eastAsia="zh-CN"/>
        </w:rPr>
        <w:t>定期维护保养服务清单如下表所示。</w:t>
      </w:r>
    </w:p>
    <w:tbl>
      <w:tblPr>
        <w:tblStyle w:val="14"/>
        <w:tblW w:w="10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350"/>
        <w:gridCol w:w="408"/>
        <w:gridCol w:w="384"/>
        <w:gridCol w:w="391"/>
        <w:gridCol w:w="4025"/>
        <w:gridCol w:w="4743"/>
      </w:tblGrid>
      <w:tr w14:paraId="7AE3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433" w:type="dxa"/>
            <w:vMerge w:val="restart"/>
            <w:shd w:val="clear" w:color="auto" w:fill="FFFFFF"/>
            <w:noWrap w:val="0"/>
            <w:vAlign w:val="center"/>
          </w:tcPr>
          <w:p w14:paraId="60A5442D">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部位</w:t>
            </w:r>
          </w:p>
        </w:tc>
        <w:tc>
          <w:tcPr>
            <w:tcW w:w="1533" w:type="dxa"/>
            <w:gridSpan w:val="4"/>
            <w:shd w:val="clear" w:color="auto" w:fill="auto"/>
            <w:noWrap w:val="0"/>
            <w:vAlign w:val="center"/>
          </w:tcPr>
          <w:p w14:paraId="75AA88DD">
            <w:pPr>
              <w:snapToGrid w:val="0"/>
              <w:spacing w:line="240" w:lineRule="auto"/>
              <w:ind w:firstLine="0" w:firstLineChars="0"/>
              <w:jc w:val="center"/>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服务频率</w:t>
            </w:r>
          </w:p>
        </w:tc>
        <w:tc>
          <w:tcPr>
            <w:tcW w:w="4025" w:type="dxa"/>
            <w:vMerge w:val="restart"/>
            <w:shd w:val="clear" w:color="auto" w:fill="FFFFFF"/>
            <w:noWrap w:val="0"/>
            <w:vAlign w:val="center"/>
          </w:tcPr>
          <w:p w14:paraId="5EF86272">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维护内容</w:t>
            </w:r>
          </w:p>
        </w:tc>
        <w:tc>
          <w:tcPr>
            <w:tcW w:w="4743" w:type="dxa"/>
            <w:vMerge w:val="restart"/>
            <w:shd w:val="clear" w:color="auto" w:fill="FFFFFF"/>
            <w:noWrap w:val="0"/>
            <w:vAlign w:val="center"/>
          </w:tcPr>
          <w:p w14:paraId="7B277088">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维护标准</w:t>
            </w:r>
          </w:p>
        </w:tc>
      </w:tr>
      <w:tr w14:paraId="6EC2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433" w:type="dxa"/>
            <w:vMerge w:val="continue"/>
            <w:shd w:val="clear" w:color="auto" w:fill="FFFFFF"/>
            <w:noWrap w:val="0"/>
            <w:vAlign w:val="center"/>
          </w:tcPr>
          <w:p w14:paraId="779982AC">
            <w:pPr>
              <w:snapToGrid w:val="0"/>
              <w:spacing w:line="240" w:lineRule="auto"/>
              <w:ind w:firstLine="0" w:firstLineChars="0"/>
              <w:jc w:val="center"/>
              <w:rPr>
                <w:rFonts w:hint="eastAsia" w:ascii="楷体" w:hAnsi="楷体" w:eastAsia="楷体" w:cs="楷体"/>
                <w:color w:val="auto"/>
                <w:sz w:val="21"/>
                <w:szCs w:val="21"/>
              </w:rPr>
            </w:pPr>
          </w:p>
        </w:tc>
        <w:tc>
          <w:tcPr>
            <w:tcW w:w="350" w:type="dxa"/>
            <w:shd w:val="clear" w:color="auto" w:fill="auto"/>
            <w:noWrap w:val="0"/>
            <w:vAlign w:val="center"/>
          </w:tcPr>
          <w:p w14:paraId="72791D73">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日</w:t>
            </w:r>
          </w:p>
        </w:tc>
        <w:tc>
          <w:tcPr>
            <w:tcW w:w="408" w:type="dxa"/>
            <w:shd w:val="clear" w:color="auto" w:fill="auto"/>
            <w:noWrap w:val="0"/>
            <w:vAlign w:val="center"/>
          </w:tcPr>
          <w:p w14:paraId="56B50F4E">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周</w:t>
            </w:r>
          </w:p>
        </w:tc>
        <w:tc>
          <w:tcPr>
            <w:tcW w:w="384" w:type="dxa"/>
            <w:shd w:val="clear" w:color="auto" w:fill="auto"/>
            <w:noWrap w:val="0"/>
            <w:vAlign w:val="center"/>
          </w:tcPr>
          <w:p w14:paraId="4C21C848">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月</w:t>
            </w:r>
          </w:p>
        </w:tc>
        <w:tc>
          <w:tcPr>
            <w:tcW w:w="391" w:type="dxa"/>
            <w:shd w:val="clear" w:color="auto" w:fill="auto"/>
            <w:noWrap w:val="0"/>
            <w:vAlign w:val="center"/>
          </w:tcPr>
          <w:p w14:paraId="051D565B">
            <w:pPr>
              <w:snapToGrid w:val="0"/>
              <w:spacing w:line="240" w:lineRule="auto"/>
              <w:ind w:firstLine="0" w:firstLineChars="0"/>
              <w:jc w:val="center"/>
              <w:rPr>
                <w:rFonts w:hint="eastAsia" w:ascii="楷体" w:hAnsi="楷体" w:eastAsia="楷体" w:cs="楷体"/>
                <w:color w:val="auto"/>
                <w:sz w:val="21"/>
                <w:szCs w:val="21"/>
              </w:rPr>
            </w:pPr>
            <w:r>
              <w:rPr>
                <w:rFonts w:hint="eastAsia" w:ascii="楷体" w:hAnsi="楷体" w:eastAsia="楷体" w:cs="楷体"/>
                <w:color w:val="auto"/>
                <w:sz w:val="21"/>
                <w:szCs w:val="21"/>
              </w:rPr>
              <w:t>季</w:t>
            </w:r>
          </w:p>
        </w:tc>
        <w:tc>
          <w:tcPr>
            <w:tcW w:w="4025" w:type="dxa"/>
            <w:vMerge w:val="continue"/>
            <w:shd w:val="clear" w:color="auto" w:fill="FFFFFF"/>
            <w:noWrap w:val="0"/>
            <w:vAlign w:val="center"/>
          </w:tcPr>
          <w:p w14:paraId="3DBADC23">
            <w:pPr>
              <w:snapToGrid w:val="0"/>
              <w:spacing w:line="240" w:lineRule="auto"/>
              <w:ind w:firstLine="0" w:firstLineChars="0"/>
              <w:jc w:val="center"/>
              <w:rPr>
                <w:rFonts w:hint="eastAsia" w:ascii="楷体" w:hAnsi="楷体" w:eastAsia="楷体" w:cs="楷体"/>
                <w:color w:val="auto"/>
                <w:sz w:val="21"/>
                <w:szCs w:val="21"/>
              </w:rPr>
            </w:pPr>
          </w:p>
        </w:tc>
        <w:tc>
          <w:tcPr>
            <w:tcW w:w="4743" w:type="dxa"/>
            <w:vMerge w:val="continue"/>
            <w:shd w:val="clear" w:color="auto" w:fill="FFFFFF"/>
            <w:noWrap w:val="0"/>
            <w:vAlign w:val="center"/>
          </w:tcPr>
          <w:p w14:paraId="554E922B">
            <w:pPr>
              <w:snapToGrid w:val="0"/>
              <w:spacing w:line="240" w:lineRule="auto"/>
              <w:ind w:firstLine="0" w:firstLineChars="0"/>
              <w:jc w:val="center"/>
              <w:rPr>
                <w:rFonts w:hint="eastAsia" w:ascii="楷体" w:hAnsi="楷体" w:eastAsia="楷体" w:cs="楷体"/>
                <w:color w:val="auto"/>
                <w:sz w:val="21"/>
                <w:szCs w:val="21"/>
              </w:rPr>
            </w:pPr>
          </w:p>
        </w:tc>
      </w:tr>
      <w:tr w14:paraId="316A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restart"/>
            <w:shd w:val="clear" w:color="auto" w:fill="FFFFFF"/>
            <w:noWrap w:val="0"/>
            <w:vAlign w:val="center"/>
          </w:tcPr>
          <w:p w14:paraId="3AF90F9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轨道</w:t>
            </w:r>
          </w:p>
        </w:tc>
        <w:tc>
          <w:tcPr>
            <w:tcW w:w="350" w:type="dxa"/>
            <w:noWrap w:val="0"/>
            <w:vAlign w:val="center"/>
          </w:tcPr>
          <w:p w14:paraId="14225AA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4A4F5EE">
            <w:pPr>
              <w:snapToGrid w:val="0"/>
              <w:spacing w:line="240" w:lineRule="auto"/>
              <w:ind w:firstLine="0" w:firstLineChars="0"/>
              <w:rPr>
                <w:rFonts w:hint="eastAsia" w:ascii="楷体" w:hAnsi="楷体" w:eastAsia="楷体" w:cs="楷体"/>
                <w:color w:val="auto"/>
                <w:sz w:val="21"/>
                <w:szCs w:val="21"/>
                <w:lang w:eastAsia="zh-CN"/>
              </w:rPr>
            </w:pPr>
            <w:r>
              <w:rPr>
                <w:rFonts w:hint="eastAsia" w:ascii="楷体" w:hAnsi="楷体" w:eastAsia="楷体" w:cs="楷体"/>
                <w:color w:val="auto"/>
                <w:sz w:val="21"/>
                <w:szCs w:val="21"/>
                <w:lang w:val="en-US" w:eastAsia="zh-CN"/>
              </w:rPr>
              <w:t>√</w:t>
            </w:r>
          </w:p>
        </w:tc>
        <w:tc>
          <w:tcPr>
            <w:tcW w:w="384" w:type="dxa"/>
            <w:noWrap w:val="0"/>
            <w:vAlign w:val="center"/>
          </w:tcPr>
          <w:p w14:paraId="37E36981">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0E3426E">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D2CF94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检查轨道外观，轨道内是否有异物</w:t>
            </w:r>
          </w:p>
        </w:tc>
        <w:tc>
          <w:tcPr>
            <w:tcW w:w="4743" w:type="dxa"/>
            <w:noWrap/>
            <w:vAlign w:val="center"/>
          </w:tcPr>
          <w:p w14:paraId="07C228C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无灰尘，无异物，无损伤，无变形，无氧化膜</w:t>
            </w:r>
          </w:p>
        </w:tc>
      </w:tr>
      <w:tr w14:paraId="2FB7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BD8F38B">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9D573D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F4A7DEE">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0DB56D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56A02FB8">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CB47D5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检查轨道安装及间隙</w:t>
            </w:r>
          </w:p>
        </w:tc>
        <w:tc>
          <w:tcPr>
            <w:tcW w:w="4743" w:type="dxa"/>
            <w:noWrap/>
            <w:vAlign w:val="center"/>
          </w:tcPr>
          <w:p w14:paraId="1843526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固定良好，无晃动和脱落，无过大间隙</w:t>
            </w:r>
          </w:p>
        </w:tc>
      </w:tr>
      <w:tr w14:paraId="78864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001EFF3">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4FBC47F">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8B0A85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21F117FF">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64464E84">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44BC48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听小车过轨道的声音</w:t>
            </w:r>
          </w:p>
        </w:tc>
        <w:tc>
          <w:tcPr>
            <w:tcW w:w="4743" w:type="dxa"/>
            <w:noWrap/>
            <w:vAlign w:val="center"/>
          </w:tcPr>
          <w:p w14:paraId="10FE32E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无异常声音</w:t>
            </w:r>
          </w:p>
        </w:tc>
      </w:tr>
      <w:tr w14:paraId="28F7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718C20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2787B96">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B2E1CA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684EF326">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59228D8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DEB5E0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检查条形码</w:t>
            </w:r>
          </w:p>
        </w:tc>
        <w:tc>
          <w:tcPr>
            <w:tcW w:w="4743" w:type="dxa"/>
            <w:noWrap/>
            <w:vAlign w:val="center"/>
          </w:tcPr>
          <w:p w14:paraId="53864CB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无灰尘，无异物，无损伤，无卷曲和脱落</w:t>
            </w:r>
          </w:p>
        </w:tc>
      </w:tr>
      <w:tr w14:paraId="0B89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CA9D28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D1D866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98BE9A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63EDE8E5">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6A77B3C6">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0DE1A4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检查铜轨、铜轨连接片、绝缘端子</w:t>
            </w:r>
          </w:p>
        </w:tc>
        <w:tc>
          <w:tcPr>
            <w:tcW w:w="4743" w:type="dxa"/>
            <w:noWrap/>
            <w:vAlign w:val="center"/>
          </w:tcPr>
          <w:p w14:paraId="2A0359F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铜轨无明显氧化层，连接片固定牢靠、绝缘端子无破损</w:t>
            </w:r>
          </w:p>
        </w:tc>
      </w:tr>
      <w:tr w14:paraId="126A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6FFD805">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B4768F3">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E238164">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D26CFC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664D16B7">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0598E8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检查水平轨道、弯轨、曲轨磨损</w:t>
            </w:r>
          </w:p>
        </w:tc>
        <w:tc>
          <w:tcPr>
            <w:tcW w:w="4743" w:type="dxa"/>
            <w:noWrap/>
            <w:vAlign w:val="center"/>
          </w:tcPr>
          <w:p w14:paraId="560DC27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轨道间隙正常，弯轨齿条、曲轨橡胶条无损伤</w:t>
            </w:r>
          </w:p>
        </w:tc>
      </w:tr>
      <w:tr w14:paraId="217A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7F4DBE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FF4E89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CDD9BCF">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66AF45C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2DDE297C">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739D7D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检查弯轨及垂直部分齿条，听小车过轨道的声音</w:t>
            </w:r>
          </w:p>
        </w:tc>
        <w:tc>
          <w:tcPr>
            <w:tcW w:w="4743" w:type="dxa"/>
            <w:noWrap/>
            <w:vAlign w:val="center"/>
          </w:tcPr>
          <w:p w14:paraId="212968B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齿条紧固，间隙正常，齿牙无损伤，小车经过时无异响</w:t>
            </w:r>
          </w:p>
        </w:tc>
      </w:tr>
      <w:tr w14:paraId="1A30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E66D0F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C83A98A">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9D2D10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3C20D781">
            <w:pPr>
              <w:snapToGrid w:val="0"/>
              <w:spacing w:line="240" w:lineRule="auto"/>
              <w:ind w:firstLine="0" w:firstLineChars="0"/>
              <w:rPr>
                <w:rFonts w:hint="eastAsia" w:ascii="楷体" w:hAnsi="楷体" w:eastAsia="楷体" w:cs="楷体"/>
                <w:color w:val="auto"/>
                <w:sz w:val="21"/>
                <w:szCs w:val="21"/>
                <w:lang w:val="en-US" w:eastAsia="zh-CN"/>
              </w:rPr>
            </w:pPr>
          </w:p>
        </w:tc>
        <w:tc>
          <w:tcPr>
            <w:tcW w:w="391" w:type="dxa"/>
            <w:noWrap w:val="0"/>
            <w:vAlign w:val="center"/>
          </w:tcPr>
          <w:p w14:paraId="68E1666C">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39844D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接口接头的缝隙</w:t>
            </w:r>
          </w:p>
        </w:tc>
        <w:tc>
          <w:tcPr>
            <w:tcW w:w="4743" w:type="dxa"/>
            <w:noWrap/>
            <w:vAlign w:val="center"/>
          </w:tcPr>
          <w:p w14:paraId="715D498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缝隙正常</w:t>
            </w:r>
          </w:p>
        </w:tc>
      </w:tr>
      <w:tr w14:paraId="469C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1C804F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5C0C27E">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A4FF929">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A4A9829">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43A04D34">
            <w:pPr>
              <w:snapToGrid w:val="0"/>
              <w:spacing w:line="240" w:lineRule="auto"/>
              <w:ind w:firstLine="0" w:firstLineChars="0"/>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w:t>
            </w:r>
          </w:p>
        </w:tc>
        <w:tc>
          <w:tcPr>
            <w:tcW w:w="4025" w:type="dxa"/>
            <w:noWrap/>
            <w:vAlign w:val="center"/>
          </w:tcPr>
          <w:p w14:paraId="634B88AB">
            <w:pPr>
              <w:snapToGrid w:val="0"/>
              <w:spacing w:line="240" w:lineRule="auto"/>
              <w:ind w:firstLine="0" w:firstLineChars="0"/>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轨道表面擦拭清洁</w:t>
            </w:r>
          </w:p>
        </w:tc>
        <w:tc>
          <w:tcPr>
            <w:tcW w:w="4743" w:type="dxa"/>
            <w:noWrap/>
            <w:vAlign w:val="center"/>
          </w:tcPr>
          <w:p w14:paraId="3B7B8D29">
            <w:pPr>
              <w:snapToGrid w:val="0"/>
              <w:spacing w:line="240" w:lineRule="auto"/>
              <w:ind w:firstLine="0" w:firstLineChars="0"/>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无灰尘，无异物</w:t>
            </w:r>
          </w:p>
        </w:tc>
      </w:tr>
      <w:tr w14:paraId="58DC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restart"/>
            <w:shd w:val="clear" w:color="auto" w:fill="FFFFFF"/>
            <w:noWrap w:val="0"/>
            <w:vAlign w:val="center"/>
          </w:tcPr>
          <w:p w14:paraId="4E4E284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站点</w:t>
            </w:r>
          </w:p>
        </w:tc>
        <w:tc>
          <w:tcPr>
            <w:tcW w:w="350" w:type="dxa"/>
            <w:noWrap w:val="0"/>
            <w:vAlign w:val="center"/>
          </w:tcPr>
          <w:p w14:paraId="505D1F95">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EF848A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10D2B380">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AF013DC">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666A8F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检查站点外观</w:t>
            </w:r>
          </w:p>
        </w:tc>
        <w:tc>
          <w:tcPr>
            <w:tcW w:w="4743" w:type="dxa"/>
            <w:noWrap/>
            <w:vAlign w:val="center"/>
          </w:tcPr>
          <w:p w14:paraId="6C60614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无异物，无损伤</w:t>
            </w:r>
          </w:p>
        </w:tc>
      </w:tr>
      <w:tr w14:paraId="47D1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5B85721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1B991C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B9FE1F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352B08A5">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139D0F41">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C600CA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检查站点安装</w:t>
            </w:r>
          </w:p>
        </w:tc>
        <w:tc>
          <w:tcPr>
            <w:tcW w:w="4743" w:type="dxa"/>
            <w:noWrap/>
            <w:vAlign w:val="center"/>
          </w:tcPr>
          <w:p w14:paraId="287498B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无变形，无松动，轨道支架固定良好</w:t>
            </w:r>
          </w:p>
        </w:tc>
      </w:tr>
      <w:tr w14:paraId="3995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EA3ED88">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BA38356">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11DEF3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6F4C29D2">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1062406">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457789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检查站点显示和操作</w:t>
            </w:r>
          </w:p>
        </w:tc>
        <w:tc>
          <w:tcPr>
            <w:tcW w:w="4743" w:type="dxa"/>
            <w:noWrap/>
            <w:vAlign w:val="center"/>
          </w:tcPr>
          <w:p w14:paraId="4385162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显示屏清晰，反应灵敏</w:t>
            </w:r>
          </w:p>
        </w:tc>
      </w:tr>
      <w:tr w14:paraId="6A84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FDC3B61">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F3A163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FC9CD8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104151E5">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99775C3">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30EF9C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检查站点使用功能</w:t>
            </w:r>
          </w:p>
        </w:tc>
        <w:tc>
          <w:tcPr>
            <w:tcW w:w="4743" w:type="dxa"/>
            <w:noWrap/>
            <w:vAlign w:val="center"/>
          </w:tcPr>
          <w:p w14:paraId="21EFAA7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显示清晰，触控反应灵敏</w:t>
            </w:r>
          </w:p>
        </w:tc>
      </w:tr>
      <w:tr w14:paraId="4A67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AB1105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DFD394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1A6007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1523A176">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0E2C465">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A0F568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清洁站台</w:t>
            </w:r>
          </w:p>
        </w:tc>
        <w:tc>
          <w:tcPr>
            <w:tcW w:w="4743" w:type="dxa"/>
            <w:noWrap/>
            <w:vAlign w:val="center"/>
          </w:tcPr>
          <w:p w14:paraId="55F3C4A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w:t>
            </w:r>
          </w:p>
        </w:tc>
      </w:tr>
      <w:tr w14:paraId="04E1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404310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87F5D4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E5D93C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2C984A5D">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C6C569B">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88DE1B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清洁轨道及条码</w:t>
            </w:r>
          </w:p>
        </w:tc>
        <w:tc>
          <w:tcPr>
            <w:tcW w:w="4743" w:type="dxa"/>
            <w:noWrap/>
            <w:vAlign w:val="center"/>
          </w:tcPr>
          <w:p w14:paraId="18852F7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无灰尘，无异物，无损伤，无卷曲和脱落</w:t>
            </w:r>
          </w:p>
        </w:tc>
      </w:tr>
      <w:tr w14:paraId="4DFB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3A996E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E916B6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EF8341D">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5666ED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30C7EFC">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135488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检查安全控制开关</w:t>
            </w:r>
          </w:p>
        </w:tc>
        <w:tc>
          <w:tcPr>
            <w:tcW w:w="4743" w:type="dxa"/>
            <w:noWrap/>
            <w:vAlign w:val="center"/>
          </w:tcPr>
          <w:p w14:paraId="24D1608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开关控制正常</w:t>
            </w:r>
          </w:p>
        </w:tc>
      </w:tr>
      <w:tr w14:paraId="35BC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FB066FC">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332705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48FCA18">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6A005D2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EF18A27">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9937E0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检查控制电缆及接线</w:t>
            </w:r>
          </w:p>
        </w:tc>
        <w:tc>
          <w:tcPr>
            <w:tcW w:w="4743" w:type="dxa"/>
            <w:noWrap/>
            <w:vAlign w:val="center"/>
          </w:tcPr>
          <w:p w14:paraId="159A739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接线正常，无松动</w:t>
            </w:r>
          </w:p>
        </w:tc>
      </w:tr>
      <w:tr w14:paraId="31A7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DC9022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0F8F55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DBCBD10">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26727B3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14A41CF">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9FC971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检查齿条/小车经过时是否有较大的震动声</w:t>
            </w:r>
          </w:p>
        </w:tc>
        <w:tc>
          <w:tcPr>
            <w:tcW w:w="4743" w:type="dxa"/>
            <w:noWrap/>
            <w:vAlign w:val="center"/>
          </w:tcPr>
          <w:p w14:paraId="40052AE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齿条紧固，间隙正常，齿牙无损伤</w:t>
            </w:r>
          </w:p>
        </w:tc>
      </w:tr>
      <w:tr w14:paraId="2672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restart"/>
            <w:shd w:val="clear" w:color="auto" w:fill="FFFFFF"/>
            <w:noWrap w:val="0"/>
            <w:vAlign w:val="center"/>
          </w:tcPr>
          <w:p w14:paraId="66D9121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小车</w:t>
            </w:r>
          </w:p>
        </w:tc>
        <w:tc>
          <w:tcPr>
            <w:tcW w:w="350" w:type="dxa"/>
            <w:noWrap w:val="0"/>
            <w:vAlign w:val="center"/>
          </w:tcPr>
          <w:p w14:paraId="6471889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5F8C20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62471907">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D69D371">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6D55C3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检查小车箱体</w:t>
            </w:r>
          </w:p>
        </w:tc>
        <w:tc>
          <w:tcPr>
            <w:tcW w:w="4743" w:type="dxa"/>
            <w:noWrap w:val="0"/>
            <w:vAlign w:val="center"/>
          </w:tcPr>
          <w:p w14:paraId="2690F46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无灰尘、无异物、无裂缝、无变形、无损伤</w:t>
            </w:r>
          </w:p>
        </w:tc>
      </w:tr>
      <w:tr w14:paraId="157A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765149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40467BB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F04C36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2042A97A">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24DFFFA">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3C5D311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检查小车车盖</w:t>
            </w:r>
          </w:p>
        </w:tc>
        <w:tc>
          <w:tcPr>
            <w:tcW w:w="4743" w:type="dxa"/>
            <w:noWrap w:val="0"/>
            <w:vAlign w:val="center"/>
          </w:tcPr>
          <w:p w14:paraId="0CBB7CA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电子锁工作正常、车盖旋转时无明显阻力</w:t>
            </w:r>
          </w:p>
        </w:tc>
      </w:tr>
      <w:tr w14:paraId="7A8D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33" w:type="dxa"/>
            <w:vMerge w:val="continue"/>
            <w:noWrap w:val="0"/>
            <w:vAlign w:val="center"/>
          </w:tcPr>
          <w:p w14:paraId="671A32F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49060B07">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2CAF9FF">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8299A5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5CA419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329249F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检查小车缓冲器</w:t>
            </w:r>
          </w:p>
        </w:tc>
        <w:tc>
          <w:tcPr>
            <w:tcW w:w="4743" w:type="dxa"/>
            <w:noWrap/>
            <w:vAlign w:val="center"/>
          </w:tcPr>
          <w:p w14:paraId="3AAD586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限位开关闭合时，小车能立即停止运行</w:t>
            </w:r>
          </w:p>
        </w:tc>
      </w:tr>
      <w:tr w14:paraId="1381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90B8A5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CD5CF6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3B74F7D">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275834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841F96B">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122865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检查小车读码器</w:t>
            </w:r>
          </w:p>
        </w:tc>
        <w:tc>
          <w:tcPr>
            <w:tcW w:w="4743" w:type="dxa"/>
            <w:noWrap/>
            <w:vAlign w:val="center"/>
          </w:tcPr>
          <w:p w14:paraId="7AE8BC1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表面无灰尘、功能正常（软件测试结果为：grade 1、advice OK)</w:t>
            </w:r>
          </w:p>
        </w:tc>
      </w:tr>
      <w:tr w14:paraId="71ED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FFB3D0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2D56C8B">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52C30E2">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7130C9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236C3F1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6D6439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检查小车驱动轮、导向轮组外观及安装</w:t>
            </w:r>
          </w:p>
        </w:tc>
        <w:tc>
          <w:tcPr>
            <w:tcW w:w="4743" w:type="dxa"/>
            <w:noWrap/>
            <w:vAlign w:val="center"/>
          </w:tcPr>
          <w:p w14:paraId="1795D31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无灰尘，无裂痕，无变形，转动灵活</w:t>
            </w:r>
          </w:p>
        </w:tc>
      </w:tr>
      <w:tr w14:paraId="667D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BD2583F">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4DF409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5671D43">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C0B7C8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48ABC64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8ECCAD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检查小车触点外观</w:t>
            </w:r>
          </w:p>
        </w:tc>
        <w:tc>
          <w:tcPr>
            <w:tcW w:w="4743" w:type="dxa"/>
            <w:noWrap/>
            <w:vAlign w:val="center"/>
          </w:tcPr>
          <w:p w14:paraId="7EFFC75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无灰尘，无异物，无断裂，无变形</w:t>
            </w:r>
          </w:p>
        </w:tc>
      </w:tr>
      <w:tr w14:paraId="76A9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4085CC7">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7D4E0C9">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1ECFFE4">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1C7278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0D5B7948">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8D5E7B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测量小车触点厚度</w:t>
            </w:r>
          </w:p>
        </w:tc>
        <w:tc>
          <w:tcPr>
            <w:tcW w:w="4743" w:type="dxa"/>
            <w:noWrap/>
            <w:vAlign w:val="center"/>
          </w:tcPr>
          <w:p w14:paraId="53838AC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大于1mm</w:t>
            </w:r>
          </w:p>
        </w:tc>
      </w:tr>
      <w:tr w14:paraId="117D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7164A8F">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257186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07C95C1">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67308A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7EF241AF">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3F12189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检查小车触点安装</w:t>
            </w:r>
          </w:p>
        </w:tc>
        <w:tc>
          <w:tcPr>
            <w:tcW w:w="4743" w:type="dxa"/>
            <w:noWrap/>
            <w:vAlign w:val="center"/>
          </w:tcPr>
          <w:p w14:paraId="351529E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伸缩良好，铜线固定良好，无晃动和脱落</w:t>
            </w:r>
          </w:p>
        </w:tc>
      </w:tr>
      <w:tr w14:paraId="624A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2513BA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5F332AE">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11F3557">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52BB770">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4BF3649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6C5B52E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检查小车控制板外观</w:t>
            </w:r>
          </w:p>
        </w:tc>
        <w:tc>
          <w:tcPr>
            <w:tcW w:w="4743" w:type="dxa"/>
            <w:noWrap/>
            <w:vAlign w:val="center"/>
          </w:tcPr>
          <w:p w14:paraId="7758752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无异物，无焦化，电气功能正常、并清洗干净</w:t>
            </w:r>
          </w:p>
        </w:tc>
      </w:tr>
      <w:tr w14:paraId="1C73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05A0E5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733C38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511B30C">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08D31CF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47E9F64C">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CFE49A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检查驱动齿轮磨损</w:t>
            </w:r>
          </w:p>
        </w:tc>
        <w:tc>
          <w:tcPr>
            <w:tcW w:w="4743" w:type="dxa"/>
            <w:noWrap/>
            <w:vAlign w:val="center"/>
          </w:tcPr>
          <w:p w14:paraId="37B3E6E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齿轮直径不小于87mm</w:t>
            </w:r>
          </w:p>
        </w:tc>
      </w:tr>
      <w:tr w14:paraId="1CF9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3F08431">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D03E8C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435C0C8">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672716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3A07B84">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3EEAD3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检查驱动摩擦轮磨损</w:t>
            </w:r>
          </w:p>
        </w:tc>
        <w:tc>
          <w:tcPr>
            <w:tcW w:w="4743" w:type="dxa"/>
            <w:noWrap/>
            <w:vAlign w:val="center"/>
          </w:tcPr>
          <w:p w14:paraId="4AD191D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摩擦轮直径不小于97mm</w:t>
            </w:r>
          </w:p>
        </w:tc>
      </w:tr>
      <w:tr w14:paraId="77E1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36C5F22">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7CFFBF1">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5D616D6">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469C51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42DCA195">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73D363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检查小车马达静离合器片、盘式垫片、六角螺母</w:t>
            </w:r>
          </w:p>
        </w:tc>
        <w:tc>
          <w:tcPr>
            <w:tcW w:w="4743" w:type="dxa"/>
            <w:noWrap/>
            <w:vAlign w:val="center"/>
          </w:tcPr>
          <w:p w14:paraId="573ABA4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安装顺序正常、压紧驱动轮、小车运行有力</w:t>
            </w:r>
          </w:p>
        </w:tc>
      </w:tr>
      <w:tr w14:paraId="0F28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6E745E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47B60A5">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B779B0B">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6F2F971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2CB83A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541C88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检查小车马达停靠位</w:t>
            </w:r>
          </w:p>
        </w:tc>
        <w:tc>
          <w:tcPr>
            <w:tcW w:w="4743" w:type="dxa"/>
            <w:noWrap/>
            <w:vAlign w:val="center"/>
          </w:tcPr>
          <w:p w14:paraId="357D74E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小车运行有力、马达尾部未接触铜轨</w:t>
            </w:r>
          </w:p>
        </w:tc>
      </w:tr>
      <w:tr w14:paraId="7F32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A3B6502">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CA7A32F">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1842B26">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6C2AEF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08C9B705">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29C8A2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检查小车固定螺丝</w:t>
            </w:r>
          </w:p>
        </w:tc>
        <w:tc>
          <w:tcPr>
            <w:tcW w:w="4743" w:type="dxa"/>
            <w:noWrap/>
            <w:vAlign w:val="center"/>
          </w:tcPr>
          <w:p w14:paraId="618F904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无松动、脱落</w:t>
            </w:r>
          </w:p>
        </w:tc>
      </w:tr>
      <w:tr w14:paraId="192E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DFF283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CBBDA4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1D0816D">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A371F1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6502E5D3">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5094A0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小车运行数据清零</w:t>
            </w:r>
          </w:p>
        </w:tc>
        <w:tc>
          <w:tcPr>
            <w:tcW w:w="4743" w:type="dxa"/>
            <w:noWrap/>
            <w:vAlign w:val="center"/>
          </w:tcPr>
          <w:p w14:paraId="427B910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小车运行数据从零开始计数</w:t>
            </w:r>
          </w:p>
        </w:tc>
      </w:tr>
      <w:tr w14:paraId="7BE1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6B3A2C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0A674F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E23A798">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7971CEF">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1934D80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5FCD067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测量小车水平移动电流</w:t>
            </w:r>
          </w:p>
        </w:tc>
        <w:tc>
          <w:tcPr>
            <w:tcW w:w="4743" w:type="dxa"/>
            <w:noWrap/>
            <w:vAlign w:val="center"/>
          </w:tcPr>
          <w:p w14:paraId="664C4FE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2.5A- 3A</w:t>
            </w:r>
          </w:p>
        </w:tc>
      </w:tr>
      <w:tr w14:paraId="0F95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D0E047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4C7ED0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9285AE9">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59E5BBD">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37365C9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587FFAC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测量小车垂直段最大驱动电流</w:t>
            </w:r>
          </w:p>
        </w:tc>
        <w:tc>
          <w:tcPr>
            <w:tcW w:w="4743" w:type="dxa"/>
            <w:noWrap/>
            <w:vAlign w:val="center"/>
          </w:tcPr>
          <w:p w14:paraId="0E0C4E9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18A- 22A</w:t>
            </w:r>
          </w:p>
        </w:tc>
      </w:tr>
      <w:tr w14:paraId="79A3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0A1DC9F">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EE3B509">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5332D9C">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6852634">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5D7A0DFF">
            <w:pPr>
              <w:snapToGrid w:val="0"/>
              <w:spacing w:line="240" w:lineRule="auto"/>
              <w:ind w:firstLine="0" w:firstLineChars="0"/>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w:t>
            </w:r>
          </w:p>
        </w:tc>
        <w:tc>
          <w:tcPr>
            <w:tcW w:w="4025" w:type="dxa"/>
            <w:noWrap/>
            <w:vAlign w:val="center"/>
          </w:tcPr>
          <w:p w14:paraId="1D9D0B3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检查电机碳刷磨损</w:t>
            </w:r>
          </w:p>
        </w:tc>
        <w:tc>
          <w:tcPr>
            <w:tcW w:w="4743" w:type="dxa"/>
            <w:noWrap/>
            <w:vAlign w:val="center"/>
          </w:tcPr>
          <w:p w14:paraId="19ABFB2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不超过极限位置</w:t>
            </w:r>
          </w:p>
        </w:tc>
      </w:tr>
      <w:tr w14:paraId="74F0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F4E1CCF">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4BD3F3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AE29AFB">
            <w:pPr>
              <w:snapToGrid w:val="0"/>
              <w:spacing w:line="240" w:lineRule="auto"/>
              <w:ind w:firstLine="0" w:firstLineChars="0"/>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w:t>
            </w:r>
          </w:p>
        </w:tc>
        <w:tc>
          <w:tcPr>
            <w:tcW w:w="384" w:type="dxa"/>
            <w:noWrap w:val="0"/>
            <w:vAlign w:val="center"/>
          </w:tcPr>
          <w:p w14:paraId="6F6C0933">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1FD1005">
            <w:pPr>
              <w:snapToGrid w:val="0"/>
              <w:spacing w:line="240" w:lineRule="auto"/>
              <w:ind w:firstLine="0" w:firstLineChars="0"/>
              <w:rPr>
                <w:rFonts w:hint="eastAsia" w:ascii="楷体" w:hAnsi="楷体" w:eastAsia="楷体" w:cs="楷体"/>
                <w:color w:val="auto"/>
                <w:sz w:val="21"/>
                <w:szCs w:val="21"/>
                <w:lang w:val="en-US" w:eastAsia="zh-CN"/>
              </w:rPr>
            </w:pPr>
          </w:p>
        </w:tc>
        <w:tc>
          <w:tcPr>
            <w:tcW w:w="4025" w:type="dxa"/>
            <w:noWrap/>
            <w:vAlign w:val="center"/>
          </w:tcPr>
          <w:p w14:paraId="5132A47B">
            <w:pPr>
              <w:snapToGrid w:val="0"/>
              <w:spacing w:line="240" w:lineRule="auto"/>
              <w:ind w:firstLine="0" w:firstLineChars="0"/>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小车货箱内外表面、海绵垫外表面消毒</w:t>
            </w:r>
          </w:p>
        </w:tc>
        <w:tc>
          <w:tcPr>
            <w:tcW w:w="4743" w:type="dxa"/>
            <w:noWrap/>
            <w:vAlign w:val="center"/>
          </w:tcPr>
          <w:p w14:paraId="16E5EFBE">
            <w:pPr>
              <w:snapToGrid w:val="0"/>
              <w:spacing w:line="240" w:lineRule="auto"/>
              <w:ind w:firstLine="0" w:firstLineChars="0"/>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75%酒精擦拭消毒</w:t>
            </w:r>
          </w:p>
        </w:tc>
      </w:tr>
      <w:tr w14:paraId="3063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4430CF7">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39A6D8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86C448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4EBBD7F2">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5B7E3C7A">
            <w:pPr>
              <w:snapToGrid w:val="0"/>
              <w:spacing w:line="240" w:lineRule="auto"/>
              <w:ind w:firstLine="0" w:firstLineChars="0"/>
              <w:rPr>
                <w:rFonts w:hint="eastAsia" w:ascii="楷体" w:hAnsi="楷体" w:eastAsia="楷体" w:cs="楷体"/>
                <w:color w:val="auto"/>
                <w:sz w:val="21"/>
                <w:szCs w:val="21"/>
                <w:lang w:val="en-US" w:eastAsia="zh-CN"/>
              </w:rPr>
            </w:pPr>
          </w:p>
        </w:tc>
        <w:tc>
          <w:tcPr>
            <w:tcW w:w="4025" w:type="dxa"/>
            <w:noWrap/>
            <w:vAlign w:val="center"/>
          </w:tcPr>
          <w:p w14:paraId="3560AD58">
            <w:pPr>
              <w:snapToGrid w:val="0"/>
              <w:spacing w:line="240" w:lineRule="auto"/>
              <w:ind w:firstLine="0" w:firstLineChars="0"/>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海绵垫检查与更换</w:t>
            </w:r>
          </w:p>
        </w:tc>
        <w:tc>
          <w:tcPr>
            <w:tcW w:w="4743" w:type="dxa"/>
            <w:noWrap/>
            <w:vAlign w:val="center"/>
          </w:tcPr>
          <w:p w14:paraId="095421DD">
            <w:pPr>
              <w:snapToGrid w:val="0"/>
              <w:spacing w:line="240" w:lineRule="auto"/>
              <w:ind w:firstLine="0" w:firstLineChars="0"/>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无破损、无大面积污染。单个海绵垫更换标准：（1）破损导致内芯裸露（2）可见污染超过表面积20%（3）采购人检查后认为应该更换的。</w:t>
            </w:r>
          </w:p>
        </w:tc>
      </w:tr>
      <w:tr w14:paraId="5347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restart"/>
            <w:shd w:val="clear" w:color="auto" w:fill="FFFFFF"/>
            <w:noWrap w:val="0"/>
            <w:vAlign w:val="center"/>
          </w:tcPr>
          <w:p w14:paraId="13A912E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转轨器及编码器</w:t>
            </w:r>
          </w:p>
        </w:tc>
        <w:tc>
          <w:tcPr>
            <w:tcW w:w="350" w:type="dxa"/>
            <w:noWrap w:val="0"/>
            <w:vAlign w:val="center"/>
          </w:tcPr>
          <w:p w14:paraId="3B1FBD8A">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73A7B7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12C0A91C">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E136C3B">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F0B0F4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检查转轨器外观</w:t>
            </w:r>
          </w:p>
        </w:tc>
        <w:tc>
          <w:tcPr>
            <w:tcW w:w="4743" w:type="dxa"/>
            <w:noWrap/>
            <w:vAlign w:val="center"/>
          </w:tcPr>
          <w:p w14:paraId="5672675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无灰尘，无异物，无损伤，无变形，无氧化膜</w:t>
            </w:r>
          </w:p>
        </w:tc>
      </w:tr>
      <w:tr w14:paraId="4458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4875135">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1A5A2EA">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15D8E1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4088F69F">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39375C65">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9CF7A0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检查转轨器安装</w:t>
            </w:r>
          </w:p>
        </w:tc>
        <w:tc>
          <w:tcPr>
            <w:tcW w:w="4743" w:type="dxa"/>
            <w:noWrap/>
            <w:vAlign w:val="center"/>
          </w:tcPr>
          <w:p w14:paraId="6A48B1E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固定良好，无晃动和脱落</w:t>
            </w:r>
          </w:p>
        </w:tc>
      </w:tr>
      <w:tr w14:paraId="26B5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56B6215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BD85A7B">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BB5757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1FD14997">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3901FA8A">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328157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检查转轨器位置码</w:t>
            </w:r>
          </w:p>
        </w:tc>
        <w:tc>
          <w:tcPr>
            <w:tcW w:w="4743" w:type="dxa"/>
            <w:noWrap/>
            <w:vAlign w:val="center"/>
          </w:tcPr>
          <w:p w14:paraId="3B04666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无灰尘，无异物，无损伤，无卷曲和脱落</w:t>
            </w:r>
          </w:p>
        </w:tc>
      </w:tr>
      <w:tr w14:paraId="194A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373A3A1">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9329CE8">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7D0C70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2A0DBBE9">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1824802A">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F994DD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检查转轨器轨道与轨道间隙</w:t>
            </w:r>
          </w:p>
        </w:tc>
        <w:tc>
          <w:tcPr>
            <w:tcW w:w="4743" w:type="dxa"/>
            <w:noWrap/>
            <w:vAlign w:val="center"/>
          </w:tcPr>
          <w:p w14:paraId="245B44E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1mm（冬天）-3mm（夏天）</w:t>
            </w:r>
          </w:p>
        </w:tc>
      </w:tr>
      <w:tr w14:paraId="0588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D665B1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4B0A52B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CC72281">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7872CF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20D4278">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A09028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检查转轨器与轨道对齐度</w:t>
            </w:r>
          </w:p>
        </w:tc>
        <w:tc>
          <w:tcPr>
            <w:tcW w:w="4743" w:type="dxa"/>
            <w:noWrap/>
            <w:vAlign w:val="center"/>
          </w:tcPr>
          <w:p w14:paraId="46D5C4D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无落差，基本同一平面</w:t>
            </w:r>
          </w:p>
        </w:tc>
      </w:tr>
      <w:tr w14:paraId="3611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AC7C169">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B4468E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88AE8E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7F5EBC9E">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45BE017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C1CC7F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检查转轨器遮挡布外观及安装</w:t>
            </w:r>
          </w:p>
        </w:tc>
        <w:tc>
          <w:tcPr>
            <w:tcW w:w="4743" w:type="dxa"/>
            <w:noWrap/>
            <w:vAlign w:val="center"/>
          </w:tcPr>
          <w:p w14:paraId="39D3450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无损伤，固定良好</w:t>
            </w:r>
          </w:p>
        </w:tc>
      </w:tr>
      <w:tr w14:paraId="014C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E083769">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B623A71">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0C71A96">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7198EB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476D234E">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71F058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检查转轨器控制器和轨道电源</w:t>
            </w:r>
          </w:p>
        </w:tc>
        <w:tc>
          <w:tcPr>
            <w:tcW w:w="4743" w:type="dxa"/>
            <w:noWrap/>
            <w:vAlign w:val="center"/>
          </w:tcPr>
          <w:p w14:paraId="7979E39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w:t>
            </w:r>
          </w:p>
        </w:tc>
      </w:tr>
      <w:tr w14:paraId="7D7B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141089F">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D56044B">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934585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64F603A6">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3FCEA63">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AED406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检查安全挡轮是否完好</w:t>
            </w:r>
          </w:p>
        </w:tc>
        <w:tc>
          <w:tcPr>
            <w:tcW w:w="4743" w:type="dxa"/>
            <w:noWrap/>
            <w:vAlign w:val="center"/>
          </w:tcPr>
          <w:p w14:paraId="6A63506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固定良好，能够灵活摆动</w:t>
            </w:r>
          </w:p>
        </w:tc>
      </w:tr>
      <w:tr w14:paraId="5AE0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C9815C1">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C0EB66A">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B73D089">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022BA5F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4C88EF6E">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D1D5DC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检查转轨器轨道螺丝和螺丝帽的紧密度</w:t>
            </w:r>
          </w:p>
        </w:tc>
        <w:tc>
          <w:tcPr>
            <w:tcW w:w="4743" w:type="dxa"/>
            <w:noWrap/>
            <w:vAlign w:val="center"/>
          </w:tcPr>
          <w:p w14:paraId="61178AE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w:t>
            </w:r>
          </w:p>
        </w:tc>
      </w:tr>
      <w:tr w14:paraId="3FA1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AFE176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08A84B7">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4DC6106">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57EE2DC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77F82D01">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2BE60F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检查转轨器齿轮和编码器齿针</w:t>
            </w:r>
          </w:p>
        </w:tc>
        <w:tc>
          <w:tcPr>
            <w:tcW w:w="4743" w:type="dxa"/>
            <w:noWrap/>
            <w:vAlign w:val="center"/>
          </w:tcPr>
          <w:p w14:paraId="5582260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无松动，配合编码器转动正常</w:t>
            </w:r>
          </w:p>
        </w:tc>
      </w:tr>
      <w:tr w14:paraId="4790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629F6E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4721D8B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B84B5E0">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6CACFD26">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327CC08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7BABAA5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检查电缆线是否完好</w:t>
            </w:r>
          </w:p>
        </w:tc>
        <w:tc>
          <w:tcPr>
            <w:tcW w:w="4743" w:type="dxa"/>
            <w:noWrap/>
            <w:vAlign w:val="center"/>
          </w:tcPr>
          <w:p w14:paraId="2630639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无损伤，固定良好</w:t>
            </w:r>
          </w:p>
        </w:tc>
      </w:tr>
      <w:tr w14:paraId="4BCC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604A3D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E5BC736">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535F078">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88429D5">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30C8CC4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0490BB6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限位开关正常工作</w:t>
            </w:r>
          </w:p>
        </w:tc>
        <w:tc>
          <w:tcPr>
            <w:tcW w:w="4743" w:type="dxa"/>
            <w:noWrap/>
            <w:vAlign w:val="center"/>
          </w:tcPr>
          <w:p w14:paraId="601E3EF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转轨器控制器指示灯对应正常，能够迅速复位</w:t>
            </w:r>
          </w:p>
        </w:tc>
      </w:tr>
      <w:tr w14:paraId="78F8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A38A532">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80E455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447186B">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0A6B43D">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44335F7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6F0DD31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转轨器马达正常工作</w:t>
            </w:r>
          </w:p>
        </w:tc>
        <w:tc>
          <w:tcPr>
            <w:tcW w:w="4743" w:type="dxa"/>
            <w:noWrap/>
            <w:vAlign w:val="center"/>
          </w:tcPr>
          <w:p w14:paraId="1ADB02A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转轨器轨道移位正常</w:t>
            </w:r>
          </w:p>
        </w:tc>
      </w:tr>
      <w:tr w14:paraId="120C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FC6D7B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3B54C5F">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A17B503">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0FA511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88E1B21">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918724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转轨器轨道齿条无松动，底座无裂痕</w:t>
            </w:r>
          </w:p>
        </w:tc>
        <w:tc>
          <w:tcPr>
            <w:tcW w:w="4743" w:type="dxa"/>
            <w:noWrap/>
            <w:vAlign w:val="center"/>
          </w:tcPr>
          <w:p w14:paraId="475A272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小车上下轨道无明显声响，轨道间隙正常</w:t>
            </w:r>
          </w:p>
        </w:tc>
      </w:tr>
      <w:tr w14:paraId="52A1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BDCA49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31AA319">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7E74002">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6259C7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7A7F87B8">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5C0AA9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检查活动电缆完好</w:t>
            </w:r>
          </w:p>
        </w:tc>
        <w:tc>
          <w:tcPr>
            <w:tcW w:w="4743" w:type="dxa"/>
            <w:noWrap/>
            <w:vAlign w:val="center"/>
          </w:tcPr>
          <w:p w14:paraId="12DD028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固定良好，线缆无损伤</w:t>
            </w:r>
          </w:p>
        </w:tc>
      </w:tr>
      <w:tr w14:paraId="0708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6BAE03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C10DA1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33357B9">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64A573A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2DF169C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54DB32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清洁转换器和连接轨道</w:t>
            </w:r>
          </w:p>
        </w:tc>
        <w:tc>
          <w:tcPr>
            <w:tcW w:w="4743" w:type="dxa"/>
            <w:noWrap/>
            <w:vAlign w:val="center"/>
          </w:tcPr>
          <w:p w14:paraId="4BB1E3D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外观清洁，无灰尘，无异物</w:t>
            </w:r>
          </w:p>
        </w:tc>
      </w:tr>
      <w:tr w14:paraId="1F00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64A6A55">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64D16A1B">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7FE0CDB">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2D22571">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554C61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0CAE0A4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检查转轨器的TEACH数据</w:t>
            </w:r>
          </w:p>
        </w:tc>
        <w:tc>
          <w:tcPr>
            <w:tcW w:w="4743" w:type="dxa"/>
            <w:noWrap/>
            <w:vAlign w:val="center"/>
          </w:tcPr>
          <w:p w14:paraId="57C78D5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转轨器轨道能够正确</w:t>
            </w:r>
            <w:bookmarkStart w:id="0" w:name="_GoBack"/>
            <w:r>
              <w:rPr>
                <w:rFonts w:hint="eastAsia" w:ascii="楷体" w:hAnsi="楷体" w:eastAsia="楷体" w:cs="楷体"/>
                <w:color w:val="auto"/>
                <w:sz w:val="21"/>
                <w:szCs w:val="21"/>
              </w:rPr>
              <w:t>移动各</w:t>
            </w:r>
            <w:bookmarkEnd w:id="0"/>
            <w:r>
              <w:rPr>
                <w:rFonts w:hint="eastAsia" w:ascii="楷体" w:hAnsi="楷体" w:eastAsia="楷体" w:cs="楷体"/>
                <w:color w:val="auto"/>
                <w:sz w:val="21"/>
                <w:szCs w:val="21"/>
              </w:rPr>
              <w:t>位置</w:t>
            </w:r>
          </w:p>
        </w:tc>
      </w:tr>
      <w:tr w14:paraId="7E5D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68CBA03">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095B860">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1F632A2">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5F4A73B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9C5CD36">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3E0D3A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清洁并润滑燕尾槽</w:t>
            </w:r>
          </w:p>
        </w:tc>
        <w:tc>
          <w:tcPr>
            <w:tcW w:w="4743" w:type="dxa"/>
            <w:noWrap/>
            <w:vAlign w:val="center"/>
          </w:tcPr>
          <w:p w14:paraId="2F8AA27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转轨器轨道移位正常</w:t>
            </w:r>
          </w:p>
        </w:tc>
      </w:tr>
      <w:tr w14:paraId="40A9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restart"/>
            <w:noWrap w:val="0"/>
            <w:vAlign w:val="center"/>
          </w:tcPr>
          <w:p w14:paraId="76EDDBA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曲柄连杆式转轨器</w:t>
            </w:r>
          </w:p>
        </w:tc>
        <w:tc>
          <w:tcPr>
            <w:tcW w:w="350" w:type="dxa"/>
            <w:noWrap w:val="0"/>
            <w:vAlign w:val="center"/>
          </w:tcPr>
          <w:p w14:paraId="75185BEF">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0FF158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0E9C570C">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A4FB9B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D092E8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检查转轨器外观</w:t>
            </w:r>
          </w:p>
        </w:tc>
        <w:tc>
          <w:tcPr>
            <w:tcW w:w="4743" w:type="dxa"/>
            <w:noWrap/>
            <w:vAlign w:val="center"/>
          </w:tcPr>
          <w:p w14:paraId="027A6E0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无灰尘，无异物，无损伤，无变形，无氧化膜</w:t>
            </w:r>
          </w:p>
        </w:tc>
      </w:tr>
      <w:tr w14:paraId="24BF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5EF5A318">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3057F9B">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6453DB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0BE0FF60">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4F9A97A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95E13C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检查转轨器安装</w:t>
            </w:r>
          </w:p>
        </w:tc>
        <w:tc>
          <w:tcPr>
            <w:tcW w:w="4743" w:type="dxa"/>
            <w:noWrap/>
            <w:vAlign w:val="center"/>
          </w:tcPr>
          <w:p w14:paraId="64CB41F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固定良好，无晃动和脱落</w:t>
            </w:r>
          </w:p>
        </w:tc>
      </w:tr>
      <w:tr w14:paraId="4D0D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33" w:type="dxa"/>
            <w:vMerge w:val="continue"/>
            <w:noWrap w:val="0"/>
            <w:vAlign w:val="center"/>
          </w:tcPr>
          <w:p w14:paraId="0C1355D5">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4C91F74F">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B8DD2B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6D5A6B71">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794E0DB">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DE02A6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检查转轨器位置码</w:t>
            </w:r>
          </w:p>
        </w:tc>
        <w:tc>
          <w:tcPr>
            <w:tcW w:w="4743" w:type="dxa"/>
            <w:noWrap/>
            <w:vAlign w:val="center"/>
          </w:tcPr>
          <w:p w14:paraId="4BE7294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无灰尘，无异物，无损伤，无卷曲和脱落</w:t>
            </w:r>
          </w:p>
        </w:tc>
      </w:tr>
      <w:tr w14:paraId="171D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68D0B5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66EEF0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03C2E27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0A380AB9">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62D16ED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CD4CD9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检查转轨器轨道与轨道间隙</w:t>
            </w:r>
          </w:p>
        </w:tc>
        <w:tc>
          <w:tcPr>
            <w:tcW w:w="4743" w:type="dxa"/>
            <w:noWrap/>
            <w:vAlign w:val="center"/>
          </w:tcPr>
          <w:p w14:paraId="79C0BA2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1mm（冬天）-3mm（夏天）</w:t>
            </w:r>
          </w:p>
        </w:tc>
      </w:tr>
      <w:tr w14:paraId="40A2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7D6878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7819CE0">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8CC62A0">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2B110F3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018D6843">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6A74AD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检查转轨器与轨道平面度</w:t>
            </w:r>
          </w:p>
        </w:tc>
        <w:tc>
          <w:tcPr>
            <w:tcW w:w="4743" w:type="dxa"/>
            <w:noWrap/>
            <w:vAlign w:val="center"/>
          </w:tcPr>
          <w:p w14:paraId="54FC8B2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无落差，基本同一平面</w:t>
            </w:r>
          </w:p>
        </w:tc>
      </w:tr>
      <w:tr w14:paraId="2992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249B43C">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70B15F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36C6356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0C31CE24">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5DA67A92">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173C5F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检查转轨器遮挡布外观及安装</w:t>
            </w:r>
          </w:p>
        </w:tc>
        <w:tc>
          <w:tcPr>
            <w:tcW w:w="4743" w:type="dxa"/>
            <w:noWrap/>
            <w:vAlign w:val="center"/>
          </w:tcPr>
          <w:p w14:paraId="19A7542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无损伤，固定良好</w:t>
            </w:r>
          </w:p>
        </w:tc>
      </w:tr>
      <w:tr w14:paraId="541B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955AFFA">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FA0374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9E58915">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913C64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5F7672E6">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3D1FD856">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检查所有独立的控制器和电源外观</w:t>
            </w:r>
          </w:p>
        </w:tc>
        <w:tc>
          <w:tcPr>
            <w:tcW w:w="4743" w:type="dxa"/>
            <w:noWrap/>
            <w:vAlign w:val="center"/>
          </w:tcPr>
          <w:p w14:paraId="2E58324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w:t>
            </w:r>
          </w:p>
        </w:tc>
      </w:tr>
      <w:tr w14:paraId="0110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3F14A83">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CAFAF61">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B27ACC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35399684">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6CB99081">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E48425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检查安全挡轮是否完好</w:t>
            </w:r>
          </w:p>
        </w:tc>
        <w:tc>
          <w:tcPr>
            <w:tcW w:w="4743" w:type="dxa"/>
            <w:noWrap/>
            <w:vAlign w:val="center"/>
          </w:tcPr>
          <w:p w14:paraId="196C9EF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固定良好，能够灵活摆动</w:t>
            </w:r>
          </w:p>
        </w:tc>
      </w:tr>
      <w:tr w14:paraId="0DB3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433" w:type="dxa"/>
            <w:vMerge w:val="continue"/>
            <w:noWrap w:val="0"/>
            <w:vAlign w:val="center"/>
          </w:tcPr>
          <w:p w14:paraId="697FD99A">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D307B9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F08D449">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0A740CC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639AD9B4">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AAC650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检查转轨器轨道螺丝和螺丝帽的紧密度</w:t>
            </w:r>
          </w:p>
        </w:tc>
        <w:tc>
          <w:tcPr>
            <w:tcW w:w="4743" w:type="dxa"/>
            <w:noWrap/>
            <w:vAlign w:val="center"/>
          </w:tcPr>
          <w:p w14:paraId="615E30B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无松动，固定良好</w:t>
            </w:r>
          </w:p>
        </w:tc>
      </w:tr>
      <w:tr w14:paraId="3176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28785C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8AF41F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165DF3D">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1B8306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8B33A2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2192BD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检查转轨器检查曲柄连杆及滑槽</w:t>
            </w:r>
          </w:p>
        </w:tc>
        <w:tc>
          <w:tcPr>
            <w:tcW w:w="4743" w:type="dxa"/>
            <w:noWrap/>
            <w:vAlign w:val="center"/>
          </w:tcPr>
          <w:p w14:paraId="30EC6B4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脱开马达时，推动无阻力</w:t>
            </w:r>
          </w:p>
        </w:tc>
      </w:tr>
      <w:tr w14:paraId="308F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387BA7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C114D9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35D5175">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24148FD3">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219AD1A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5322DC1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检查电缆线是否完好</w:t>
            </w:r>
          </w:p>
        </w:tc>
        <w:tc>
          <w:tcPr>
            <w:tcW w:w="4743" w:type="dxa"/>
            <w:noWrap w:val="0"/>
            <w:vAlign w:val="center"/>
          </w:tcPr>
          <w:p w14:paraId="21423FC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无损伤，固定良好</w:t>
            </w:r>
          </w:p>
        </w:tc>
      </w:tr>
      <w:tr w14:paraId="3BA1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531B26FB">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9D7D136">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FC2DBDA">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E186BC2">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707CF91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17F11E3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限位开关正常工作</w:t>
            </w:r>
          </w:p>
        </w:tc>
        <w:tc>
          <w:tcPr>
            <w:tcW w:w="4743" w:type="dxa"/>
            <w:noWrap/>
            <w:vAlign w:val="center"/>
          </w:tcPr>
          <w:p w14:paraId="784F0F7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转轨器控制器指示灯对应正常</w:t>
            </w:r>
          </w:p>
        </w:tc>
      </w:tr>
      <w:tr w14:paraId="4488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47E757C">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ACC0E1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A4AD7C1">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D3CA51E">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28B7B97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19F087A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转轨器马达正常工作</w:t>
            </w:r>
          </w:p>
        </w:tc>
        <w:tc>
          <w:tcPr>
            <w:tcW w:w="4743" w:type="dxa"/>
            <w:noWrap/>
            <w:vAlign w:val="center"/>
          </w:tcPr>
          <w:p w14:paraId="3817106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转轨器轨道移位正常</w:t>
            </w:r>
          </w:p>
        </w:tc>
      </w:tr>
      <w:tr w14:paraId="372F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AA28FEA">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E15A0A8">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479590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7DD06EFD">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1FA82A0C">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356BAE2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转轨器轨道齿条无松动，底座无裂痕</w:t>
            </w:r>
          </w:p>
        </w:tc>
        <w:tc>
          <w:tcPr>
            <w:tcW w:w="4743" w:type="dxa"/>
            <w:noWrap/>
            <w:vAlign w:val="center"/>
          </w:tcPr>
          <w:p w14:paraId="09D7B27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小车上下轨道无明显声响</w:t>
            </w:r>
          </w:p>
        </w:tc>
      </w:tr>
      <w:tr w14:paraId="55E6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55D208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65013B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2D652B1">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E62253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7C1F6F58">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D79531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检查活动电缆完好</w:t>
            </w:r>
          </w:p>
        </w:tc>
        <w:tc>
          <w:tcPr>
            <w:tcW w:w="4743" w:type="dxa"/>
            <w:noWrap/>
            <w:vAlign w:val="center"/>
          </w:tcPr>
          <w:p w14:paraId="33049F9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固定良好，线缆无损伤</w:t>
            </w:r>
          </w:p>
        </w:tc>
      </w:tr>
      <w:tr w14:paraId="6E41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408D0617">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B5A42FC">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F605839">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7F32902A">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4D4CBB2">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1EF963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清洁转换器和连接轨道</w:t>
            </w:r>
          </w:p>
        </w:tc>
        <w:tc>
          <w:tcPr>
            <w:tcW w:w="4743" w:type="dxa"/>
            <w:noWrap/>
            <w:vAlign w:val="center"/>
          </w:tcPr>
          <w:p w14:paraId="39C9F22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外观清洁，无灰尘，无异物</w:t>
            </w:r>
          </w:p>
        </w:tc>
      </w:tr>
      <w:tr w14:paraId="4E26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DE81BD2">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42515792">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E129800">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68F5F0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96760E7">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26F5DA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清洁并润滑曲柄连杆滑槽</w:t>
            </w:r>
          </w:p>
        </w:tc>
        <w:tc>
          <w:tcPr>
            <w:tcW w:w="4743" w:type="dxa"/>
            <w:noWrap/>
            <w:vAlign w:val="center"/>
          </w:tcPr>
          <w:p w14:paraId="39D9E5C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转轨器轨道移位正常</w:t>
            </w:r>
          </w:p>
        </w:tc>
      </w:tr>
      <w:tr w14:paraId="5538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33" w:type="dxa"/>
            <w:vMerge w:val="restart"/>
            <w:noWrap w:val="0"/>
            <w:vAlign w:val="center"/>
          </w:tcPr>
          <w:p w14:paraId="77292F9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防火门</w:t>
            </w:r>
          </w:p>
        </w:tc>
        <w:tc>
          <w:tcPr>
            <w:tcW w:w="350" w:type="dxa"/>
            <w:noWrap w:val="0"/>
            <w:vAlign w:val="center"/>
          </w:tcPr>
          <w:p w14:paraId="2023B5BE">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5E7D49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12E0A805">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6E01D0CE">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4E5905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检查防火门装置外观</w:t>
            </w:r>
          </w:p>
        </w:tc>
        <w:tc>
          <w:tcPr>
            <w:tcW w:w="4743" w:type="dxa"/>
            <w:noWrap/>
            <w:vAlign w:val="center"/>
          </w:tcPr>
          <w:p w14:paraId="76A6A99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w:t>
            </w:r>
          </w:p>
        </w:tc>
      </w:tr>
      <w:tr w14:paraId="5BA4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D79EF42">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F674FC8">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2B8E10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84" w:type="dxa"/>
            <w:noWrap w:val="0"/>
            <w:vAlign w:val="center"/>
          </w:tcPr>
          <w:p w14:paraId="3E63153A">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01306CDE">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95D231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检查防火门装置安装</w:t>
            </w:r>
          </w:p>
        </w:tc>
        <w:tc>
          <w:tcPr>
            <w:tcW w:w="4743" w:type="dxa"/>
            <w:noWrap/>
            <w:vAlign w:val="center"/>
          </w:tcPr>
          <w:p w14:paraId="5D5DC1C5">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固定良好，无晃动和脱落</w:t>
            </w:r>
          </w:p>
        </w:tc>
      </w:tr>
      <w:tr w14:paraId="7615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5FF8C9F">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1FA8F0D">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D76D42B">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6010839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5DF42C0E">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44A700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 xml:space="preserve">检查防火门装置运动关联区域 </w:t>
            </w:r>
          </w:p>
        </w:tc>
        <w:tc>
          <w:tcPr>
            <w:tcW w:w="4743" w:type="dxa"/>
            <w:noWrap/>
            <w:vAlign w:val="center"/>
          </w:tcPr>
          <w:p w14:paraId="49F29DB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无异物阻挡，空间合适，间隙适中</w:t>
            </w:r>
          </w:p>
        </w:tc>
      </w:tr>
      <w:tr w14:paraId="0795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1F222A6">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5BD48DE">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A089C9C">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327D9EE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0DD0DF05">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1E6ED1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检查防火门连接电缆</w:t>
            </w:r>
          </w:p>
        </w:tc>
        <w:tc>
          <w:tcPr>
            <w:tcW w:w="4743" w:type="dxa"/>
            <w:noWrap/>
            <w:vAlign w:val="center"/>
          </w:tcPr>
          <w:p w14:paraId="60BA011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放置良好，无损坏，无脱落</w:t>
            </w:r>
          </w:p>
        </w:tc>
      </w:tr>
      <w:tr w14:paraId="6DFD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D2F933C">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CC09586">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46F5C932">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2EC188A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3772EF8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4EED3F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检查防火门锁紧装置触发</w:t>
            </w:r>
          </w:p>
        </w:tc>
        <w:tc>
          <w:tcPr>
            <w:tcW w:w="4743" w:type="dxa"/>
            <w:noWrap/>
            <w:vAlign w:val="center"/>
          </w:tcPr>
          <w:p w14:paraId="73D35B4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在防火门开启状态可以手动触发</w:t>
            </w:r>
          </w:p>
        </w:tc>
      </w:tr>
      <w:tr w14:paraId="4D86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433" w:type="dxa"/>
            <w:vMerge w:val="continue"/>
            <w:noWrap w:val="0"/>
            <w:vAlign w:val="center"/>
          </w:tcPr>
          <w:p w14:paraId="53D0888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78E86D4E">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2ED91EC1">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50B2347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797B9AD6">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F42492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检查小车紧急状态通过防火门</w:t>
            </w:r>
          </w:p>
        </w:tc>
        <w:tc>
          <w:tcPr>
            <w:tcW w:w="4743" w:type="dxa"/>
            <w:noWrap/>
            <w:vAlign w:val="center"/>
          </w:tcPr>
          <w:p w14:paraId="0AC7F8A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命令小车通过的同时，关闭防火门命令不可执行</w:t>
            </w:r>
          </w:p>
        </w:tc>
      </w:tr>
      <w:tr w14:paraId="5300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63048C2D">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E4BE2B7">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0118F0F">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AB8E32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07F0B748">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4E482B9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检查防火门前区域安全</w:t>
            </w:r>
          </w:p>
        </w:tc>
        <w:tc>
          <w:tcPr>
            <w:tcW w:w="4743" w:type="dxa"/>
            <w:noWrap/>
            <w:vAlign w:val="center"/>
          </w:tcPr>
          <w:p w14:paraId="23376E5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防火门断电后，所有随后区域电源停电</w:t>
            </w:r>
          </w:p>
        </w:tc>
      </w:tr>
      <w:tr w14:paraId="3B2C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D7F0A6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4DBCD35">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2CD2998">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B2149C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4835057">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51733E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检查烟雾探测器</w:t>
            </w:r>
          </w:p>
        </w:tc>
        <w:tc>
          <w:tcPr>
            <w:tcW w:w="4743" w:type="dxa"/>
            <w:noWrap/>
            <w:vAlign w:val="center"/>
          </w:tcPr>
          <w:p w14:paraId="652009B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能检测烟雾</w:t>
            </w:r>
          </w:p>
        </w:tc>
      </w:tr>
      <w:tr w14:paraId="12A9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1BD876F8">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C11AD29">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39013EF">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115AD3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1786550F">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66212AC2">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检查备用电源</w:t>
            </w:r>
          </w:p>
        </w:tc>
        <w:tc>
          <w:tcPr>
            <w:tcW w:w="4743" w:type="dxa"/>
            <w:noWrap/>
            <w:vAlign w:val="center"/>
          </w:tcPr>
          <w:p w14:paraId="14863F3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常用电源断电后，备用电源可以驱动小车</w:t>
            </w:r>
          </w:p>
        </w:tc>
      </w:tr>
      <w:tr w14:paraId="0D74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E735E5A">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526EA315">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46534A2">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14938F6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229EA509">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035AD54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检查磁铁是否正常</w:t>
            </w:r>
          </w:p>
        </w:tc>
        <w:tc>
          <w:tcPr>
            <w:tcW w:w="4743" w:type="dxa"/>
            <w:noWrap/>
            <w:vAlign w:val="center"/>
          </w:tcPr>
          <w:p w14:paraId="3EF4F54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通电后，吸力正常</w:t>
            </w:r>
          </w:p>
        </w:tc>
      </w:tr>
      <w:tr w14:paraId="6EFB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BB116F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33D983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1E66E93D">
            <w:pPr>
              <w:snapToGrid w:val="0"/>
              <w:spacing w:line="240" w:lineRule="auto"/>
              <w:ind w:firstLine="0" w:firstLineChars="0"/>
              <w:rPr>
                <w:rFonts w:hint="eastAsia" w:ascii="楷体" w:hAnsi="楷体" w:eastAsia="楷体" w:cs="楷体"/>
                <w:color w:val="auto"/>
                <w:sz w:val="21"/>
                <w:szCs w:val="21"/>
              </w:rPr>
            </w:pPr>
          </w:p>
        </w:tc>
        <w:tc>
          <w:tcPr>
            <w:tcW w:w="384" w:type="dxa"/>
            <w:noWrap/>
            <w:vAlign w:val="center"/>
          </w:tcPr>
          <w:p w14:paraId="22702122">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6A81C77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6296EB7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检查烟雾探测器</w:t>
            </w:r>
          </w:p>
        </w:tc>
        <w:tc>
          <w:tcPr>
            <w:tcW w:w="4743" w:type="dxa"/>
            <w:noWrap/>
            <w:vAlign w:val="center"/>
          </w:tcPr>
          <w:p w14:paraId="6415F1BF">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输出正常，能检测烟雾</w:t>
            </w:r>
          </w:p>
        </w:tc>
      </w:tr>
      <w:tr w14:paraId="7F81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754C59D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2D114D9A">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588FFDF2">
            <w:pPr>
              <w:snapToGrid w:val="0"/>
              <w:spacing w:line="240" w:lineRule="auto"/>
              <w:ind w:firstLine="0" w:firstLineChars="0"/>
              <w:rPr>
                <w:rFonts w:hint="eastAsia" w:ascii="楷体" w:hAnsi="楷体" w:eastAsia="楷体" w:cs="楷体"/>
                <w:color w:val="auto"/>
                <w:sz w:val="21"/>
                <w:szCs w:val="21"/>
              </w:rPr>
            </w:pPr>
          </w:p>
        </w:tc>
        <w:tc>
          <w:tcPr>
            <w:tcW w:w="384" w:type="dxa"/>
            <w:noWrap/>
            <w:vAlign w:val="center"/>
          </w:tcPr>
          <w:p w14:paraId="73C8E537">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3511BEEE">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3E36A9F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打开及关闭是否顺畅</w:t>
            </w:r>
          </w:p>
        </w:tc>
        <w:tc>
          <w:tcPr>
            <w:tcW w:w="4743" w:type="dxa"/>
            <w:noWrap/>
            <w:vAlign w:val="center"/>
          </w:tcPr>
          <w:p w14:paraId="6DCB8F48">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电磁铁断电后，防火门能够自动关闭</w:t>
            </w:r>
          </w:p>
        </w:tc>
      </w:tr>
      <w:tr w14:paraId="0325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2ACF7C00">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9CA1A98">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F0859AC">
            <w:pPr>
              <w:snapToGrid w:val="0"/>
              <w:spacing w:line="240" w:lineRule="auto"/>
              <w:ind w:firstLine="0" w:firstLineChars="0"/>
              <w:rPr>
                <w:rFonts w:hint="eastAsia" w:ascii="楷体" w:hAnsi="楷体" w:eastAsia="楷体" w:cs="楷体"/>
                <w:color w:val="auto"/>
                <w:sz w:val="21"/>
                <w:szCs w:val="21"/>
              </w:rPr>
            </w:pPr>
          </w:p>
        </w:tc>
        <w:tc>
          <w:tcPr>
            <w:tcW w:w="384" w:type="dxa"/>
            <w:noWrap/>
            <w:vAlign w:val="center"/>
          </w:tcPr>
          <w:p w14:paraId="7CCF4337">
            <w:pPr>
              <w:snapToGrid w:val="0"/>
              <w:spacing w:line="240" w:lineRule="auto"/>
              <w:ind w:firstLine="0" w:firstLineChars="0"/>
              <w:rPr>
                <w:rFonts w:hint="eastAsia" w:ascii="楷体" w:hAnsi="楷体" w:eastAsia="楷体" w:cs="楷体"/>
                <w:color w:val="auto"/>
                <w:sz w:val="21"/>
                <w:szCs w:val="21"/>
              </w:rPr>
            </w:pPr>
          </w:p>
        </w:tc>
        <w:tc>
          <w:tcPr>
            <w:tcW w:w="391" w:type="dxa"/>
            <w:noWrap w:val="0"/>
            <w:vAlign w:val="center"/>
          </w:tcPr>
          <w:p w14:paraId="100CD4C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4025" w:type="dxa"/>
            <w:noWrap/>
            <w:vAlign w:val="center"/>
          </w:tcPr>
          <w:p w14:paraId="271F341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紧急状况电力供应</w:t>
            </w:r>
          </w:p>
        </w:tc>
        <w:tc>
          <w:tcPr>
            <w:tcW w:w="4743" w:type="dxa"/>
            <w:noWrap/>
            <w:vAlign w:val="center"/>
          </w:tcPr>
          <w:p w14:paraId="5C7D8B9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常用电源断电后，备用电源可以驱动小车</w:t>
            </w:r>
          </w:p>
        </w:tc>
      </w:tr>
      <w:tr w14:paraId="31D1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F624551">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D6DAEB8">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9354883">
            <w:pPr>
              <w:snapToGrid w:val="0"/>
              <w:spacing w:line="240" w:lineRule="auto"/>
              <w:ind w:firstLine="0" w:firstLineChars="0"/>
              <w:rPr>
                <w:rFonts w:hint="eastAsia" w:ascii="楷体" w:hAnsi="楷体" w:eastAsia="楷体" w:cs="楷体"/>
                <w:color w:val="auto"/>
                <w:sz w:val="21"/>
                <w:szCs w:val="21"/>
              </w:rPr>
            </w:pPr>
          </w:p>
        </w:tc>
        <w:tc>
          <w:tcPr>
            <w:tcW w:w="384" w:type="dxa"/>
            <w:noWrap w:val="0"/>
            <w:vAlign w:val="center"/>
          </w:tcPr>
          <w:p w14:paraId="4613B71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0"/>
            <w:vAlign w:val="center"/>
          </w:tcPr>
          <w:p w14:paraId="7A2AFB19">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2D168793">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检查防风门外观</w:t>
            </w:r>
          </w:p>
        </w:tc>
        <w:tc>
          <w:tcPr>
            <w:tcW w:w="4743" w:type="dxa"/>
            <w:noWrap/>
            <w:vAlign w:val="center"/>
          </w:tcPr>
          <w:p w14:paraId="509CDC0D">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无灰尘，无异物，无损伤，无变形</w:t>
            </w:r>
          </w:p>
        </w:tc>
      </w:tr>
      <w:tr w14:paraId="6C53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6C12024">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1D4DF8A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6527AE83">
            <w:pPr>
              <w:snapToGrid w:val="0"/>
              <w:spacing w:line="240" w:lineRule="auto"/>
              <w:ind w:firstLine="0" w:firstLineChars="0"/>
              <w:rPr>
                <w:rFonts w:hint="eastAsia" w:ascii="楷体" w:hAnsi="楷体" w:eastAsia="楷体" w:cs="楷体"/>
                <w:color w:val="auto"/>
                <w:sz w:val="21"/>
                <w:szCs w:val="21"/>
              </w:rPr>
            </w:pPr>
          </w:p>
        </w:tc>
        <w:tc>
          <w:tcPr>
            <w:tcW w:w="384" w:type="dxa"/>
            <w:noWrap/>
            <w:vAlign w:val="center"/>
          </w:tcPr>
          <w:p w14:paraId="2E4EF460">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ign w:val="center"/>
          </w:tcPr>
          <w:p w14:paraId="6A708C9D">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7AD957E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检查防风门安装</w:t>
            </w:r>
          </w:p>
        </w:tc>
        <w:tc>
          <w:tcPr>
            <w:tcW w:w="4743" w:type="dxa"/>
            <w:noWrap/>
            <w:vAlign w:val="center"/>
          </w:tcPr>
          <w:p w14:paraId="5D20C22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固定良好，无晃动和脱落</w:t>
            </w:r>
          </w:p>
        </w:tc>
      </w:tr>
      <w:tr w14:paraId="01D8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39E9AD61">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3BD775A4">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227E7BB">
            <w:pPr>
              <w:snapToGrid w:val="0"/>
              <w:spacing w:line="240" w:lineRule="auto"/>
              <w:ind w:firstLine="0" w:firstLineChars="0"/>
              <w:rPr>
                <w:rFonts w:hint="eastAsia" w:ascii="楷体" w:hAnsi="楷体" w:eastAsia="楷体" w:cs="楷体"/>
                <w:color w:val="auto"/>
                <w:sz w:val="21"/>
                <w:szCs w:val="21"/>
              </w:rPr>
            </w:pPr>
          </w:p>
        </w:tc>
        <w:tc>
          <w:tcPr>
            <w:tcW w:w="384" w:type="dxa"/>
            <w:noWrap/>
            <w:vAlign w:val="center"/>
          </w:tcPr>
          <w:p w14:paraId="73E1C4A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ign w:val="center"/>
          </w:tcPr>
          <w:p w14:paraId="1E64B2D0">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11F763A4">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检查防风门密封性</w:t>
            </w:r>
          </w:p>
        </w:tc>
        <w:tc>
          <w:tcPr>
            <w:tcW w:w="4743" w:type="dxa"/>
            <w:noWrap/>
            <w:vAlign w:val="center"/>
          </w:tcPr>
          <w:p w14:paraId="159DB5BB">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门合闭良好</w:t>
            </w:r>
          </w:p>
        </w:tc>
      </w:tr>
      <w:tr w14:paraId="6801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3" w:type="dxa"/>
            <w:vMerge w:val="continue"/>
            <w:noWrap w:val="0"/>
            <w:vAlign w:val="center"/>
          </w:tcPr>
          <w:p w14:paraId="05ADC7CE">
            <w:pPr>
              <w:snapToGrid w:val="0"/>
              <w:spacing w:line="240" w:lineRule="auto"/>
              <w:ind w:firstLine="0" w:firstLineChars="0"/>
              <w:rPr>
                <w:rFonts w:hint="eastAsia" w:ascii="楷体" w:hAnsi="楷体" w:eastAsia="楷体" w:cs="楷体"/>
                <w:color w:val="auto"/>
                <w:sz w:val="21"/>
                <w:szCs w:val="21"/>
              </w:rPr>
            </w:pPr>
          </w:p>
        </w:tc>
        <w:tc>
          <w:tcPr>
            <w:tcW w:w="350" w:type="dxa"/>
            <w:noWrap w:val="0"/>
            <w:vAlign w:val="center"/>
          </w:tcPr>
          <w:p w14:paraId="02608D9B">
            <w:pPr>
              <w:snapToGrid w:val="0"/>
              <w:spacing w:line="240" w:lineRule="auto"/>
              <w:ind w:firstLine="0" w:firstLineChars="0"/>
              <w:rPr>
                <w:rFonts w:hint="eastAsia" w:ascii="楷体" w:hAnsi="楷体" w:eastAsia="楷体" w:cs="楷体"/>
                <w:color w:val="auto"/>
                <w:sz w:val="21"/>
                <w:szCs w:val="21"/>
              </w:rPr>
            </w:pPr>
          </w:p>
        </w:tc>
        <w:tc>
          <w:tcPr>
            <w:tcW w:w="408" w:type="dxa"/>
            <w:noWrap w:val="0"/>
            <w:vAlign w:val="center"/>
          </w:tcPr>
          <w:p w14:paraId="7A392AB3">
            <w:pPr>
              <w:snapToGrid w:val="0"/>
              <w:spacing w:line="240" w:lineRule="auto"/>
              <w:ind w:firstLine="0" w:firstLineChars="0"/>
              <w:rPr>
                <w:rFonts w:hint="eastAsia" w:ascii="楷体" w:hAnsi="楷体" w:eastAsia="楷体" w:cs="楷体"/>
                <w:color w:val="auto"/>
                <w:sz w:val="21"/>
                <w:szCs w:val="21"/>
              </w:rPr>
            </w:pPr>
          </w:p>
        </w:tc>
        <w:tc>
          <w:tcPr>
            <w:tcW w:w="384" w:type="dxa"/>
            <w:noWrap/>
            <w:vAlign w:val="center"/>
          </w:tcPr>
          <w:p w14:paraId="00EB19CC">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w:t>
            </w:r>
          </w:p>
        </w:tc>
        <w:tc>
          <w:tcPr>
            <w:tcW w:w="391" w:type="dxa"/>
            <w:noWrap/>
            <w:vAlign w:val="center"/>
          </w:tcPr>
          <w:p w14:paraId="0E102A62">
            <w:pPr>
              <w:snapToGrid w:val="0"/>
              <w:spacing w:line="240" w:lineRule="auto"/>
              <w:ind w:firstLine="0" w:firstLineChars="0"/>
              <w:rPr>
                <w:rFonts w:hint="eastAsia" w:ascii="楷体" w:hAnsi="楷体" w:eastAsia="楷体" w:cs="楷体"/>
                <w:color w:val="auto"/>
                <w:sz w:val="21"/>
                <w:szCs w:val="21"/>
              </w:rPr>
            </w:pPr>
          </w:p>
        </w:tc>
        <w:tc>
          <w:tcPr>
            <w:tcW w:w="4025" w:type="dxa"/>
            <w:noWrap/>
            <w:vAlign w:val="center"/>
          </w:tcPr>
          <w:p w14:paraId="50029789">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检查防风门功能</w:t>
            </w:r>
          </w:p>
        </w:tc>
        <w:tc>
          <w:tcPr>
            <w:tcW w:w="4743" w:type="dxa"/>
            <w:noWrap/>
            <w:vAlign w:val="center"/>
          </w:tcPr>
          <w:p w14:paraId="05796F07">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rPr>
              <w:t>开关正常，转动平稳，无异常声音</w:t>
            </w:r>
          </w:p>
        </w:tc>
      </w:tr>
      <w:tr w14:paraId="2A30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734" w:type="dxa"/>
            <w:gridSpan w:val="7"/>
            <w:noWrap w:val="0"/>
            <w:vAlign w:val="center"/>
          </w:tcPr>
          <w:p w14:paraId="7A95CEB1">
            <w:pPr>
              <w:snapToGrid w:val="0"/>
              <w:spacing w:line="240" w:lineRule="auto"/>
              <w:ind w:firstLine="0" w:firstLineChars="0"/>
              <w:rPr>
                <w:rFonts w:hint="eastAsia" w:ascii="楷体" w:hAnsi="楷体" w:eastAsia="楷体" w:cs="楷体"/>
                <w:color w:val="auto"/>
                <w:sz w:val="21"/>
                <w:szCs w:val="21"/>
              </w:rPr>
            </w:pPr>
            <w:r>
              <w:rPr>
                <w:rFonts w:hint="eastAsia" w:ascii="楷体" w:hAnsi="楷体" w:eastAsia="楷体" w:cs="楷体"/>
                <w:color w:val="auto"/>
                <w:sz w:val="21"/>
                <w:szCs w:val="21"/>
                <w:lang w:val="en-US" w:eastAsia="zh-CN"/>
              </w:rPr>
              <w:t>注：</w:t>
            </w:r>
            <w:r>
              <w:rPr>
                <w:rFonts w:hint="eastAsia" w:ascii="楷体" w:hAnsi="楷体" w:eastAsia="楷体" w:cs="楷体"/>
                <w:color w:val="auto"/>
                <w:sz w:val="21"/>
                <w:szCs w:val="21"/>
              </w:rPr>
              <w:t xml:space="preserve"> 1." </w:t>
            </w:r>
            <w:r>
              <w:rPr>
                <w:rFonts w:hint="eastAsia" w:ascii="楷体" w:hAnsi="楷体" w:eastAsia="楷体" w:cs="楷体"/>
                <w:color w:val="auto"/>
                <w:sz w:val="21"/>
                <w:szCs w:val="21"/>
                <w:lang w:val="en-US" w:eastAsia="zh-CN"/>
              </w:rPr>
              <w:t>√</w:t>
            </w:r>
            <w:r>
              <w:rPr>
                <w:rFonts w:hint="eastAsia" w:ascii="楷体" w:hAnsi="楷体" w:eastAsia="楷体" w:cs="楷体"/>
                <w:color w:val="auto"/>
                <w:sz w:val="21"/>
                <w:szCs w:val="21"/>
              </w:rPr>
              <w:t>"对应相应维护周期，如“周”、“月”、“季”等。</w:t>
            </w:r>
          </w:p>
        </w:tc>
      </w:tr>
    </w:tbl>
    <w:p w14:paraId="48BBEC23">
      <w:pPr>
        <w:pStyle w:val="2"/>
        <w:rPr>
          <w:rFonts w:hint="eastAsia" w:ascii="仿宋" w:hAnsi="仿宋" w:eastAsia="仿宋" w:cs="仿宋"/>
          <w:color w:val="auto"/>
          <w:lang w:val="en-US" w:eastAsia="zh-CN"/>
        </w:rPr>
      </w:pPr>
    </w:p>
    <w:p w14:paraId="3546955C">
      <w:pPr>
        <w:pStyle w:val="17"/>
        <w:ind w:left="0" w:leftChars="0"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 向院方提供每年两次的易损易耗零部件维护计划，在系统维护及检查过程中对易损易耗零部件开展预防性更换，并做好相关记录。</w:t>
      </w:r>
    </w:p>
    <w:p w14:paraId="29337BF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3.3针对有培训需求的科室，及时开展</w:t>
      </w:r>
      <w:r>
        <w:rPr>
          <w:rFonts w:hint="eastAsia" w:ascii="仿宋" w:hAnsi="仿宋" w:eastAsia="仿宋" w:cs="仿宋"/>
          <w:b w:val="0"/>
          <w:bCs w:val="0"/>
          <w:color w:val="auto"/>
          <w:sz w:val="24"/>
          <w:szCs w:val="24"/>
          <w:lang w:val="en-US" w:eastAsia="zh-CN"/>
        </w:rPr>
        <w:t>系统操作与消毒流程培训工作</w:t>
      </w:r>
      <w:r>
        <w:rPr>
          <w:rFonts w:hint="eastAsia" w:ascii="仿宋" w:hAnsi="仿宋" w:eastAsia="仿宋" w:cs="仿宋"/>
          <w:color w:val="auto"/>
          <w:sz w:val="24"/>
          <w:szCs w:val="24"/>
          <w:lang w:val="en-US" w:eastAsia="zh-CN"/>
        </w:rPr>
        <w:t>。</w:t>
      </w:r>
    </w:p>
    <w:p w14:paraId="112ED6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3.4严格按照要求完成故障接报与响应工作，采取必要措施开展故障维修，降低并消除故障造成的影响，在规定时限内完成故障修复。</w:t>
      </w:r>
    </w:p>
    <w:p w14:paraId="79B38C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lang w:val="en-US" w:eastAsia="zh-CN"/>
        </w:rPr>
        <w:t xml:space="preserve"> 定期对系统软件开展维护、更新与升级工作，涵盖新设备启用时的系统升级、系统漏洞修复、系统标准功能发布、信息安全漏洞修复等内容。</w:t>
      </w:r>
    </w:p>
    <w:p w14:paraId="3F6E773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lang w:val="en-US" w:eastAsia="zh-CN"/>
        </w:rPr>
        <w:t xml:space="preserve"> 提供</w:t>
      </w:r>
      <w:r>
        <w:rPr>
          <w:rFonts w:hint="eastAsia" w:ascii="仿宋" w:hAnsi="仿宋" w:eastAsia="仿宋" w:cs="仿宋"/>
          <w:color w:val="auto"/>
          <w:sz w:val="24"/>
          <w:szCs w:val="24"/>
          <w:lang w:eastAsia="zh-CN"/>
        </w:rPr>
        <w:t>保障该系统正常运行的其他必要服务</w:t>
      </w:r>
      <w:r>
        <w:rPr>
          <w:rFonts w:hint="eastAsia" w:ascii="仿宋" w:hAnsi="仿宋" w:eastAsia="仿宋" w:cs="仿宋"/>
          <w:color w:val="auto"/>
          <w:sz w:val="24"/>
          <w:szCs w:val="24"/>
          <w:lang w:val="en-US" w:eastAsia="zh-CN"/>
        </w:rPr>
        <w:t>。</w:t>
      </w:r>
    </w:p>
    <w:p w14:paraId="59B37950">
      <w:pPr>
        <w:pStyle w:val="17"/>
        <w:ind w:left="0" w:leftChars="0" w:firstLine="0" w:firstLineChars="0"/>
        <w:rPr>
          <w:rFonts w:hint="default" w:ascii="宋体" w:hAnsi="宋体" w:eastAsia="宋体" w:cs="宋体"/>
          <w:color w:val="auto"/>
          <w:kern w:val="2"/>
          <w:sz w:val="24"/>
          <w:szCs w:val="24"/>
          <w:highlight w:val="none"/>
          <w:lang w:val="en-US" w:eastAsia="zh-CN" w:bidi="ar-SA"/>
        </w:rPr>
      </w:pPr>
    </w:p>
    <w:p w14:paraId="21055F04">
      <w:pPr>
        <w:keepNext w:val="0"/>
        <w:keepLines w:val="0"/>
        <w:pageBreakBefore w:val="0"/>
        <w:numPr>
          <w:ilvl w:val="0"/>
          <w:numId w:val="1"/>
        </w:numPr>
        <w:kinsoku/>
        <w:wordWrap/>
        <w:overflowPunct/>
        <w:topLinePunct w:val="0"/>
        <w:autoSpaceDE/>
        <w:autoSpaceDN/>
        <w:bidi w:val="0"/>
        <w:adjustRightInd/>
        <w:snapToGrid w:val="0"/>
        <w:spacing w:line="288" w:lineRule="auto"/>
        <w:ind w:left="0" w:leftChars="0" w:firstLine="0" w:firstLineChars="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服务要求</w:t>
      </w:r>
    </w:p>
    <w:p w14:paraId="5583887C">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eastAsia="宋体"/>
          <w:lang w:eastAsia="zh-CN"/>
        </w:rPr>
      </w:pPr>
      <w:r>
        <w:rPr>
          <w:rFonts w:hint="eastAsia" w:ascii="仿宋" w:hAnsi="仿宋" w:eastAsia="仿宋" w:cs="仿宋"/>
          <w:b w:val="0"/>
          <w:bCs w:val="0"/>
          <w:color w:val="auto"/>
          <w:sz w:val="24"/>
          <w:szCs w:val="24"/>
          <w:lang w:val="en-US" w:eastAsia="zh-CN"/>
        </w:rPr>
        <w:t>4.1 指派一名项目经理，全面负责本项目的管理工作。</w:t>
      </w:r>
    </w:p>
    <w:p w14:paraId="3779498C">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4.2委派至少2名持有电工证的维保人员，每日8:00-17:30（含工作日、周末及国家法定节假日）常驻院内。其余时间不要求院内驻场，但须保持通信畅通，满足故障响应与恢复的时效要求。</w:t>
      </w:r>
    </w:p>
    <w:p w14:paraId="58F9F8FD">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2"/>
          <w:sz w:val="24"/>
          <w:szCs w:val="24"/>
          <w:lang w:val="en-US" w:eastAsia="zh-CN" w:bidi="ar-SA"/>
        </w:rPr>
        <w:t>4.3为保障服务连续性，驻场维保人员（除辞职、重大疾病等不可抗力因素外）应保持人员稳定。如成交人确需更换人员，须提前以书面形式说明理由，获得采购人主管科室的书面批准后方可执行。采购人有权要求成交供应商更换不符合工作要求的驻场维保人员。</w:t>
      </w:r>
    </w:p>
    <w:p w14:paraId="02BC1738">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4.4维保人员须第一时间完成故障接报与响应，可通过电话、网络等渠道开展远程指导与控制，也可安排技术人员携带必要备件前往现场开展检修工作。一般故障需在接报后30分钟内恢复运行。</w:t>
      </w:r>
    </w:p>
    <w:p w14:paraId="34AB8FD8">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4.5 对于30分钟内无法恢复的故障，应由项目负责人介入，协调调配必要资源推动系统恢复运行，将故障影响降至最低。若接报后4小时仍无法恢复，或无法查明故障原因并出具明确修复计划的，项目负责人或其上级人员须在1小时内抵达现场指挥协调处置。</w:t>
      </w:r>
    </w:p>
    <w:p w14:paraId="70D0983E">
      <w:pPr>
        <w:keepNext w:val="0"/>
        <w:keepLines w:val="0"/>
        <w:pageBreakBefore w:val="0"/>
        <w:numPr>
          <w:ilvl w:val="0"/>
          <w:numId w:val="0"/>
        </w:numPr>
        <w:kinsoku/>
        <w:wordWrap/>
        <w:overflowPunct/>
        <w:topLinePunct w:val="0"/>
        <w:autoSpaceDE/>
        <w:autoSpaceDN/>
        <w:bidi w:val="0"/>
        <w:adjustRightInd/>
        <w:snapToGrid w:val="0"/>
        <w:spacing w:line="288" w:lineRule="auto"/>
        <w:rPr>
          <w:rFonts w:hint="default"/>
          <w:color w:val="auto"/>
          <w:lang w:val="en-US" w:eastAsia="zh-CN"/>
        </w:rPr>
      </w:pPr>
      <w:r>
        <w:rPr>
          <w:rFonts w:hint="eastAsia" w:ascii="仿宋" w:hAnsi="仿宋" w:eastAsia="仿宋" w:cs="仿宋"/>
          <w:b w:val="0"/>
          <w:bCs w:val="0"/>
          <w:color w:val="auto"/>
          <w:sz w:val="24"/>
          <w:szCs w:val="24"/>
          <w:lang w:val="en-US" w:eastAsia="zh-CN"/>
        </w:rPr>
        <w:t>4.6 当系统故障或其他原因导致输送中断且短时间内无法恢复时，维保人员负责取出在途小车内的物品，并通过人工输送方式完成送达，同时须采取必要防护措施，保证取出过程中不会损坏物品。</w:t>
      </w:r>
    </w:p>
    <w:p w14:paraId="52D10E34">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4.7重大故障修复完成后，中标人须在3个工作日内向采购人提交重大故障（事件）分析报告。</w:t>
      </w:r>
    </w:p>
    <w:p w14:paraId="22BD0520">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4.8 更换后的零配件须为原厂原品牌规格产品；投标人投标时需出具产品制造厂家针对本项目更换配件的授权书，且维护、保养期间使用及更换的部件必须为原厂生产的全新合格零配件。</w:t>
      </w:r>
    </w:p>
    <w:p w14:paraId="1DC3C901">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4.9中标人需制定种类和数量均满足周转要求的《应急备件库存清单》，清单所列应急备件须存放于院内，且应急备件使用后须在1周内完成补充。</w:t>
      </w:r>
    </w:p>
    <w:p w14:paraId="788F3712">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4.10不在《应急备件库存清单》范围内的系统配件损坏时，低值（1000元及以下）配件须现场即时更换，高值配件（1000元以上）须于3日内更换到位。</w:t>
      </w:r>
    </w:p>
    <w:p w14:paraId="3101792A">
      <w:pPr>
        <w:pStyle w:val="17"/>
        <w:ind w:left="0" w:leftChars="0" w:firstLine="0" w:firstLineChars="0"/>
        <w:rPr>
          <w:rFonts w:hint="eastAsia" w:ascii="仿宋" w:hAnsi="仿宋" w:eastAsia="仿宋" w:cs="仿宋"/>
          <w:b w:val="0"/>
          <w:bCs w:val="0"/>
          <w:color w:val="auto"/>
          <w:kern w:val="2"/>
          <w:sz w:val="24"/>
          <w:szCs w:val="24"/>
          <w:lang w:val="en-US" w:eastAsia="zh-CN" w:bidi="ar-SA"/>
        </w:rPr>
      </w:pPr>
      <w:r>
        <w:rPr>
          <w:rFonts w:hint="eastAsia" w:hAnsi="宋体" w:eastAsia="宋体" w:cs="宋体"/>
          <w:b w:val="0"/>
          <w:bCs w:val="0"/>
          <w:color w:val="auto"/>
          <w:sz w:val="24"/>
          <w:szCs w:val="24"/>
          <w:lang w:val="en-US" w:eastAsia="zh-CN"/>
        </w:rPr>
        <w:t>4.11</w:t>
      </w:r>
      <w:r>
        <w:rPr>
          <w:rFonts w:hint="eastAsia" w:ascii="仿宋" w:hAnsi="仿宋" w:eastAsia="仿宋" w:cs="仿宋"/>
          <w:b w:val="0"/>
          <w:bCs w:val="0"/>
          <w:color w:val="auto"/>
          <w:kern w:val="2"/>
          <w:sz w:val="24"/>
          <w:szCs w:val="24"/>
          <w:lang w:val="en-US" w:eastAsia="zh-CN" w:bidi="ar-SA"/>
        </w:rPr>
        <w:t>维保人员开展维保工作前，须提前与使用科室沟通确认时间，并按医院科室要求穿戴防护用具后，方可进入科室开展维保工作。</w:t>
      </w:r>
    </w:p>
    <w:p w14:paraId="4F1B4E16">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4.12 配送小车每日在线（可调用）数量不得低于46辆。</w:t>
      </w:r>
    </w:p>
    <w:p w14:paraId="2E21E73D">
      <w:pPr>
        <w:keepNext w:val="0"/>
        <w:keepLines w:val="0"/>
        <w:pageBreakBefore w:val="0"/>
        <w:numPr>
          <w:ilvl w:val="0"/>
          <w:numId w:val="0"/>
        </w:numPr>
        <w:kinsoku/>
        <w:wordWrap/>
        <w:overflowPunct/>
        <w:topLinePunct w:val="0"/>
        <w:autoSpaceDE/>
        <w:autoSpaceDN/>
        <w:bidi w:val="0"/>
        <w:adjustRightInd/>
        <w:snapToGrid w:val="0"/>
        <w:spacing w:line="288"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4.13每月非人为故障率应≤1%。非人为故障率计算公式为：（总故障数量减去使用部门操作不当导致的故障数量）除以输送量，再乘以100%。</w:t>
      </w:r>
    </w:p>
    <w:p w14:paraId="4C11EB29">
      <w:pPr>
        <w:pageBreakBefore w:val="0"/>
        <w:widowControl w:val="0"/>
        <w:kinsoku/>
        <w:wordWrap/>
        <w:overflowPunct/>
        <w:topLinePunct w:val="0"/>
        <w:autoSpaceDE/>
        <w:autoSpaceDN/>
        <w:bidi w:val="0"/>
        <w:adjustRightIn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kern w:val="2"/>
          <w:sz w:val="24"/>
          <w:szCs w:val="24"/>
          <w:lang w:val="en-US" w:eastAsia="zh-CN" w:bidi="ar-SA"/>
        </w:rPr>
        <w:t>4.14</w:t>
      </w:r>
      <w:r>
        <w:rPr>
          <w:rFonts w:hint="eastAsia" w:ascii="仿宋" w:hAnsi="仿宋" w:eastAsia="仿宋" w:cs="仿宋"/>
          <w:b w:val="0"/>
          <w:bCs w:val="0"/>
          <w:color w:val="auto"/>
          <w:sz w:val="24"/>
          <w:szCs w:val="24"/>
          <w:lang w:eastAsia="zh-CN"/>
        </w:rPr>
        <w:t>维保人员规范化管理要求如下：</w:t>
      </w:r>
    </w:p>
    <w:p w14:paraId="01121CD4">
      <w:pPr>
        <w:pageBreakBefore w:val="0"/>
        <w:widowControl w:val="0"/>
        <w:numPr>
          <w:ilvl w:val="0"/>
          <w:numId w:val="0"/>
        </w:numPr>
        <w:kinsoku/>
        <w:wordWrap/>
        <w:overflowPunct/>
        <w:topLinePunct w:val="0"/>
        <w:autoSpaceDE/>
        <w:autoSpaceDN/>
        <w:bidi w:val="0"/>
        <w:adjustRightInd/>
        <w:spacing w:line="240" w:lineRule="auto"/>
        <w:textAlignment w:val="auto"/>
        <w:rPr>
          <w:rFonts w:hint="eastAsia" w:eastAsia="宋体"/>
          <w:lang w:eastAsia="zh-CN"/>
        </w:rPr>
      </w:pPr>
      <w:r>
        <w:rPr>
          <w:rFonts w:hint="eastAsia" w:ascii="仿宋" w:hAnsi="仿宋" w:eastAsia="仿宋" w:cs="仿宋"/>
          <w:b w:val="0"/>
          <w:bCs w:val="0"/>
          <w:color w:val="auto"/>
          <w:kern w:val="2"/>
          <w:sz w:val="24"/>
          <w:szCs w:val="24"/>
          <w:lang w:val="en-US" w:eastAsia="zh-CN" w:bidi="ar-SA"/>
        </w:rPr>
        <w:t>（1）安全文明要求：现场作业时，工程师须穿戴工装、佩戴工牌；与临床科室人员沟通应积极友善、礼貌待人；作业现场须按规范设置安全警示线；登高作业至少安排两名人员同时在场，作业人员须佩戴安全绳；维修维护完成后须清理作业现场，做到人走场清。</w:t>
      </w:r>
    </w:p>
    <w:p w14:paraId="281F07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机房要求：保持机房卫生整洁，定期清洁系统设备；工具、备件、损坏件等按种类及用途规范整理放置，标识清晰明确；维护台面做到人走台清；所用工具定期开展保养作业；维保设备摆放符合安全规范，避免发生二次损坏或遗失。</w:t>
      </w:r>
    </w:p>
    <w:p w14:paraId="4E3A877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color w:val="auto"/>
          <w:lang w:val="en-US" w:eastAsia="zh-CN"/>
        </w:rPr>
      </w:pPr>
      <w:r>
        <w:rPr>
          <w:rFonts w:hint="eastAsia" w:ascii="仿宋" w:hAnsi="仿宋" w:eastAsia="仿宋" w:cs="仿宋"/>
          <w:b w:val="0"/>
          <w:bCs w:val="0"/>
          <w:color w:val="auto"/>
          <w:kern w:val="2"/>
          <w:sz w:val="24"/>
          <w:szCs w:val="24"/>
          <w:lang w:val="en-US" w:eastAsia="zh-CN" w:bidi="ar-SA"/>
        </w:rPr>
        <w:t>（3）值班场所要求：保持值班室卫生整洁；办公文档分类存放；文具用品摆放整齐，保持桌面整洁；对办公场所开展每日清洁，设置值日排班；工作标准及规章制度上墙公示；系统电脑桌面保持干净整洁，不得安装与系统无关的其他软件。</w:t>
      </w:r>
    </w:p>
    <w:p w14:paraId="64DEE7A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4.15</w:t>
      </w:r>
      <w:r>
        <w:rPr>
          <w:rFonts w:hint="eastAsia" w:ascii="仿宋" w:hAnsi="仿宋" w:eastAsia="仿宋" w:cs="仿宋"/>
          <w:b w:val="0"/>
          <w:bCs w:val="0"/>
          <w:color w:val="auto"/>
          <w:sz w:val="24"/>
          <w:szCs w:val="24"/>
          <w:lang w:eastAsia="zh-CN"/>
        </w:rPr>
        <w:t>配合医院实际运行需求，</w:t>
      </w:r>
      <w:r>
        <w:rPr>
          <w:rFonts w:ascii="仿宋" w:hAnsi="仿宋" w:eastAsia="仿宋" w:cs="仿宋"/>
          <w:b w:val="0"/>
          <w:bCs w:val="0"/>
          <w:color w:val="auto"/>
          <w:sz w:val="24"/>
          <w:szCs w:val="24"/>
        </w:rPr>
        <w:t>协助完善相关制度与流程，提供准确详尽的参数，保障医院</w:t>
      </w:r>
      <w:r>
        <w:rPr>
          <w:rFonts w:hint="eastAsia" w:ascii="仿宋" w:hAnsi="仿宋" w:eastAsia="仿宋" w:cs="仿宋"/>
          <w:b w:val="0"/>
          <w:bCs w:val="0"/>
          <w:color w:val="auto"/>
          <w:sz w:val="24"/>
          <w:szCs w:val="24"/>
          <w:lang w:val="en-US" w:eastAsia="zh-CN"/>
        </w:rPr>
        <w:t>轨道</w:t>
      </w:r>
      <w:r>
        <w:rPr>
          <w:rFonts w:ascii="仿宋" w:hAnsi="仿宋" w:eastAsia="仿宋" w:cs="仿宋"/>
          <w:b w:val="0"/>
          <w:bCs w:val="0"/>
          <w:color w:val="auto"/>
          <w:sz w:val="24"/>
          <w:szCs w:val="24"/>
        </w:rPr>
        <w:t>物流系统高效稳定运行。</w:t>
      </w:r>
    </w:p>
    <w:p w14:paraId="5B263F0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4.16须按时向采购人提交相关资料：每月前5个工作日内，向采购人管理部门提交下述资料：</w:t>
      </w:r>
    </w:p>
    <w:p w14:paraId="3C96C62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（1）每月前5个工作日内提交：①上月系统运行数据；②上月故障记录；③上月定期维保记录；④上月材料、配件消耗清单。</w:t>
      </w:r>
    </w:p>
    <w:p w14:paraId="26FF74F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（2）每3个月提交一份系统运行评价报告，内容涵盖本期系统运行数据统计分析、本期维保工作开展情况、本期故障统计分析、下一步工作计划等。</w:t>
      </w:r>
    </w:p>
    <w:p w14:paraId="00544E9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（3）采购人要求提交的其他相关资料。</w:t>
      </w:r>
    </w:p>
    <w:p w14:paraId="4C56239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4.17 日常维保及软件升级等相关技术内容须对院方管理人员公开。</w:t>
      </w:r>
    </w:p>
    <w:p w14:paraId="223E615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 xml:space="preserve">4.18配合采购人开展与轨道物流系统相关的院感检查、上级部门检查、三甲评审、消防检查等工作，对检查发现的问题及时完成整改。 </w:t>
      </w:r>
    </w:p>
    <w:p w14:paraId="6CDD4D9F">
      <w:pPr>
        <w:keepNext w:val="0"/>
        <w:keepLines w:val="0"/>
        <w:pageBreakBefore w:val="0"/>
        <w:numPr>
          <w:ilvl w:val="0"/>
          <w:numId w:val="1"/>
        </w:numPr>
        <w:kinsoku/>
        <w:wordWrap/>
        <w:overflowPunct/>
        <w:topLinePunct w:val="0"/>
        <w:autoSpaceDE/>
        <w:autoSpaceDN/>
        <w:bidi w:val="0"/>
        <w:adjustRightInd/>
        <w:snapToGrid w:val="0"/>
        <w:spacing w:line="288" w:lineRule="auto"/>
        <w:ind w:left="0" w:leftChars="0" w:firstLine="0" w:firstLineChars="0"/>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考核条款</w:t>
      </w:r>
    </w:p>
    <w:p w14:paraId="13542352">
      <w:pPr>
        <w:pageBreakBefore w:val="0"/>
        <w:numPr>
          <w:ilvl w:val="0"/>
          <w:numId w:val="0"/>
        </w:numPr>
        <w:kinsoku/>
        <w:wordWrap/>
        <w:overflowPunct/>
        <w:topLinePunct w:val="0"/>
        <w:autoSpaceDE/>
        <w:autoSpaceDN/>
        <w:bidi w:val="0"/>
        <w:adjustRightInd/>
        <w:spacing w:line="240" w:lineRule="auto"/>
        <w:ind w:leftChars="0"/>
        <w:textAlignment w:val="auto"/>
        <w:rPr>
          <w:rFonts w:hint="eastAsia" w:eastAsia="仿宋"/>
          <w:color w:val="auto"/>
          <w:lang w:val="en-US" w:eastAsia="zh-CN"/>
        </w:rPr>
      </w:pPr>
      <w:r>
        <w:rPr>
          <w:rFonts w:hint="eastAsia" w:ascii="仿宋" w:hAnsi="仿宋" w:eastAsia="仿宋" w:cs="仿宋"/>
          <w:color w:val="auto"/>
          <w:sz w:val="24"/>
          <w:szCs w:val="24"/>
          <w:highlight w:val="none"/>
          <w:lang w:val="en-US" w:eastAsia="zh-CN"/>
        </w:rPr>
        <w:t>5.1</w:t>
      </w:r>
      <w:r>
        <w:rPr>
          <w:rFonts w:hint="eastAsia" w:ascii="仿宋" w:hAnsi="仿宋" w:eastAsia="仿宋" w:cs="仿宋"/>
          <w:color w:val="auto"/>
          <w:sz w:val="24"/>
          <w:szCs w:val="24"/>
          <w:highlight w:val="none"/>
          <w:lang w:val="zh-TW" w:eastAsia="zh-CN"/>
        </w:rPr>
        <w:t>采购人每3个月对中标人开展一次考核，考核依据为既定考核标准。本次考核总分设置为100分，考核得分达到90分及以上即为合格。若考核得分低于90分，每减少1分，</w:t>
      </w:r>
      <w:r>
        <w:rPr>
          <w:rFonts w:hint="eastAsia" w:ascii="仿宋" w:hAnsi="仿宋" w:eastAsia="仿宋" w:cs="仿宋"/>
          <w:color w:val="auto"/>
          <w:sz w:val="24"/>
          <w:szCs w:val="24"/>
          <w:lang w:val="zh-TW" w:eastAsia="zh-CN"/>
        </w:rPr>
        <w:t>从当期维保费中扣除人民币500元</w:t>
      </w:r>
      <w:r>
        <w:rPr>
          <w:rFonts w:hint="eastAsia" w:ascii="仿宋" w:hAnsi="仿宋" w:eastAsia="仿宋" w:cs="仿宋"/>
          <w:color w:val="auto"/>
          <w:sz w:val="24"/>
          <w:szCs w:val="24"/>
          <w:highlight w:val="none"/>
          <w:lang w:val="zh-TW" w:eastAsia="zh-CN"/>
        </w:rPr>
        <w:t>。合同期内，若该考核连续2个月得分低于</w:t>
      </w:r>
      <w:r>
        <w:rPr>
          <w:rFonts w:hint="eastAsia" w:ascii="仿宋" w:hAnsi="仿宋" w:eastAsia="仿宋" w:cs="仿宋"/>
          <w:color w:val="auto"/>
          <w:sz w:val="24"/>
          <w:szCs w:val="24"/>
          <w:highlight w:val="none"/>
          <w:lang w:val="en-US" w:eastAsia="zh-CN"/>
        </w:rPr>
        <w:t>80</w:t>
      </w:r>
      <w:r>
        <w:rPr>
          <w:rFonts w:hint="eastAsia" w:ascii="仿宋" w:hAnsi="仿宋" w:eastAsia="仿宋" w:cs="仿宋"/>
          <w:color w:val="auto"/>
          <w:sz w:val="24"/>
          <w:szCs w:val="24"/>
          <w:highlight w:val="none"/>
          <w:lang w:val="zh-TW" w:eastAsia="zh-CN"/>
        </w:rPr>
        <w:t>分，或一个合同年度内</w:t>
      </w:r>
      <w:r>
        <w:rPr>
          <w:rFonts w:hint="eastAsia" w:ascii="仿宋" w:hAnsi="仿宋" w:eastAsia="仿宋" w:cs="仿宋"/>
          <w:color w:val="auto"/>
          <w:sz w:val="24"/>
          <w:szCs w:val="24"/>
          <w:lang w:val="zh-TW" w:eastAsia="zh-CN"/>
        </w:rPr>
        <w:t>累计有3个月得分低于</w:t>
      </w:r>
      <w:r>
        <w:rPr>
          <w:rFonts w:hint="eastAsia" w:ascii="仿宋" w:hAnsi="仿宋" w:eastAsia="仿宋" w:cs="仿宋"/>
          <w:color w:val="auto"/>
          <w:sz w:val="24"/>
          <w:szCs w:val="24"/>
          <w:lang w:val="en-US" w:eastAsia="zh-CN"/>
        </w:rPr>
        <w:t>80</w:t>
      </w:r>
      <w:r>
        <w:rPr>
          <w:rFonts w:hint="eastAsia" w:ascii="仿宋" w:hAnsi="仿宋" w:eastAsia="仿宋" w:cs="仿宋"/>
          <w:color w:val="auto"/>
          <w:sz w:val="24"/>
          <w:szCs w:val="24"/>
          <w:lang w:val="zh-TW" w:eastAsia="zh-CN"/>
        </w:rPr>
        <w:t>分，采购人有权提前终止合同，同时中标人须按合同费用总额的30%向采购人支付违约金；若因此给采购人造成的损失超出违约金数额，中标人还须就超出部分向采购人赔偿损失。</w:t>
      </w:r>
    </w:p>
    <w:p w14:paraId="5F305E75">
      <w:pPr>
        <w:keepNext w:val="0"/>
        <w:keepLines w:val="0"/>
        <w:pageBreakBefore w:val="0"/>
        <w:kinsoku/>
        <w:wordWrap/>
        <w:overflowPunct/>
        <w:topLinePunct w:val="0"/>
        <w:autoSpaceDE/>
        <w:autoSpaceDN/>
        <w:bidi w:val="0"/>
        <w:adjustRightInd/>
        <w:snapToGrid w:val="0"/>
        <w:spacing w:line="288" w:lineRule="auto"/>
        <w:rPr>
          <w:rFonts w:hint="eastAsia" w:ascii="仿宋" w:hAnsi="仿宋" w:eastAsia="仿宋" w:cs="仿宋"/>
          <w:color w:val="auto"/>
          <w:sz w:val="24"/>
          <w:szCs w:val="24"/>
          <w:lang w:val="zh-TW"/>
        </w:rPr>
      </w:pPr>
      <w:r>
        <w:rPr>
          <w:rFonts w:hint="eastAsia" w:ascii="仿宋" w:hAnsi="仿宋" w:eastAsia="仿宋" w:cs="仿宋"/>
          <w:color w:val="auto"/>
          <w:sz w:val="24"/>
          <w:szCs w:val="24"/>
          <w:lang w:val="en-US" w:eastAsia="zh-CN"/>
        </w:rPr>
        <w:t>5.2</w:t>
      </w:r>
      <w:r>
        <w:rPr>
          <w:rFonts w:hint="eastAsia" w:ascii="仿宋" w:hAnsi="仿宋" w:eastAsia="仿宋" w:cs="仿宋"/>
          <w:color w:val="auto"/>
          <w:sz w:val="24"/>
          <w:szCs w:val="24"/>
          <w:lang w:val="zh-TW"/>
        </w:rPr>
        <w:t>服务期内，</w:t>
      </w:r>
      <w:r>
        <w:rPr>
          <w:rFonts w:hint="eastAsia" w:ascii="仿宋" w:hAnsi="仿宋" w:eastAsia="仿宋" w:cs="仿宋"/>
          <w:color w:val="auto"/>
          <w:sz w:val="24"/>
          <w:szCs w:val="24"/>
          <w:lang w:val="en-US" w:eastAsia="zh-CN"/>
        </w:rPr>
        <w:t>中标人未按规定标准开展定期保养工作，每发现一次，从</w:t>
      </w:r>
      <w:r>
        <w:rPr>
          <w:rFonts w:hint="eastAsia" w:ascii="仿宋" w:hAnsi="仿宋" w:eastAsia="仿宋" w:cs="仿宋"/>
          <w:color w:val="auto"/>
          <w:sz w:val="24"/>
          <w:szCs w:val="24"/>
          <w:lang w:val="zh-TW" w:eastAsia="zh-CN"/>
        </w:rPr>
        <w:t>当</w:t>
      </w:r>
      <w:r>
        <w:rPr>
          <w:rFonts w:hint="eastAsia" w:ascii="仿宋" w:hAnsi="仿宋" w:eastAsia="仿宋" w:cs="仿宋"/>
          <w:color w:val="auto"/>
          <w:sz w:val="24"/>
          <w:szCs w:val="24"/>
          <w:lang w:val="en-US" w:eastAsia="zh-CN"/>
        </w:rPr>
        <w:t>期</w:t>
      </w:r>
      <w:r>
        <w:rPr>
          <w:rFonts w:hint="eastAsia" w:ascii="仿宋" w:hAnsi="仿宋" w:eastAsia="仿宋" w:cs="仿宋"/>
          <w:color w:val="auto"/>
          <w:sz w:val="24"/>
          <w:szCs w:val="24"/>
          <w:lang w:val="zh-TW" w:eastAsia="zh-CN"/>
        </w:rPr>
        <w:t>维保费</w:t>
      </w:r>
      <w:r>
        <w:rPr>
          <w:rFonts w:hint="eastAsia" w:ascii="仿宋" w:hAnsi="仿宋" w:eastAsia="仿宋" w:cs="仿宋"/>
          <w:color w:val="auto"/>
          <w:sz w:val="24"/>
          <w:szCs w:val="24"/>
          <w:lang w:val="zh-TW"/>
        </w:rPr>
        <w:t>中扣除500元。</w:t>
      </w:r>
    </w:p>
    <w:p w14:paraId="31279D19">
      <w:pPr>
        <w:pageBreakBefore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lang w:val="en-US" w:eastAsia="zh-CN"/>
        </w:rPr>
        <w:t>5.3</w:t>
      </w:r>
      <w:r>
        <w:rPr>
          <w:rFonts w:hint="eastAsia" w:ascii="仿宋" w:hAnsi="仿宋" w:eastAsia="仿宋" w:cs="仿宋"/>
          <w:color w:val="auto"/>
          <w:sz w:val="24"/>
          <w:szCs w:val="24"/>
          <w:highlight w:val="none"/>
        </w:rPr>
        <w:t>维保期内，维保人员接到报修</w:t>
      </w:r>
      <w:r>
        <w:rPr>
          <w:rFonts w:hint="eastAsia" w:ascii="仿宋" w:hAnsi="仿宋" w:eastAsia="仿宋" w:cs="仿宋"/>
          <w:color w:val="auto"/>
          <w:sz w:val="24"/>
          <w:szCs w:val="24"/>
          <w:highlight w:val="none"/>
          <w:lang w:eastAsia="zh-CN"/>
        </w:rPr>
        <w:t>后未及</w:t>
      </w:r>
      <w:r>
        <w:rPr>
          <w:rFonts w:hint="eastAsia" w:ascii="仿宋" w:hAnsi="仿宋" w:eastAsia="仿宋" w:cs="仿宋"/>
          <w:color w:val="auto"/>
          <w:sz w:val="24"/>
          <w:szCs w:val="24"/>
          <w:highlight w:val="none"/>
        </w:rPr>
        <w:t>时响应的，经查实每次</w:t>
      </w:r>
      <w:r>
        <w:rPr>
          <w:rFonts w:hint="eastAsia" w:ascii="仿宋" w:hAnsi="仿宋" w:eastAsia="仿宋" w:cs="仿宋"/>
          <w:color w:val="auto"/>
          <w:sz w:val="24"/>
          <w:szCs w:val="24"/>
          <w:highlight w:val="none"/>
          <w:lang w:val="en-US" w:eastAsia="zh-CN"/>
        </w:rPr>
        <w:t>扣罚</w:t>
      </w:r>
      <w:r>
        <w:rPr>
          <w:rFonts w:hint="eastAsia" w:ascii="仿宋" w:hAnsi="仿宋" w:eastAsia="仿宋" w:cs="仿宋"/>
          <w:color w:val="auto"/>
          <w:sz w:val="24"/>
          <w:szCs w:val="24"/>
          <w:highlight w:val="none"/>
        </w:rPr>
        <w:t>300元。</w:t>
      </w:r>
    </w:p>
    <w:p w14:paraId="3A99D976">
      <w:pPr>
        <w:pageBreakBefore w:val="0"/>
        <w:kinsoku/>
        <w:wordWrap/>
        <w:overflowPunct/>
        <w:topLinePunct w:val="0"/>
        <w:autoSpaceDE/>
        <w:autoSpaceDN/>
        <w:bidi w:val="0"/>
        <w:adjustRightInd/>
        <w:spacing w:line="240" w:lineRule="auto"/>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5.4 发生重大故障时，项目负责人或其上级人员未按规定时间到达现场的，经查实每次扣罚500元。</w:t>
      </w:r>
    </w:p>
    <w:p w14:paraId="793E049F">
      <w:pPr>
        <w:pageBreakBefore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5.5驻场</w:t>
      </w:r>
      <w:r>
        <w:rPr>
          <w:rFonts w:hint="eastAsia" w:ascii="仿宋" w:hAnsi="仿宋" w:eastAsia="仿宋" w:cs="仿宋"/>
          <w:color w:val="auto"/>
          <w:sz w:val="24"/>
          <w:szCs w:val="24"/>
          <w:highlight w:val="none"/>
        </w:rPr>
        <w:t>维保工作人员私自离岗超过10分钟，</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在巡查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值班、维保期间刷手机</w:t>
      </w:r>
      <w:r>
        <w:rPr>
          <w:rFonts w:hint="eastAsia" w:ascii="仿宋" w:hAnsi="仿宋" w:eastAsia="仿宋" w:cs="仿宋"/>
          <w:color w:val="auto"/>
          <w:sz w:val="24"/>
          <w:szCs w:val="24"/>
          <w:highlight w:val="none"/>
          <w:lang w:eastAsia="zh-CN"/>
        </w:rPr>
        <w:t>、观看</w:t>
      </w:r>
      <w:r>
        <w:rPr>
          <w:rFonts w:hint="eastAsia" w:ascii="仿宋" w:hAnsi="仿宋" w:eastAsia="仿宋" w:cs="仿宋"/>
          <w:color w:val="auto"/>
          <w:sz w:val="24"/>
          <w:szCs w:val="24"/>
          <w:highlight w:val="none"/>
        </w:rPr>
        <w:t>视频</w:t>
      </w:r>
      <w:r>
        <w:rPr>
          <w:rFonts w:hint="eastAsia" w:ascii="仿宋" w:hAnsi="仿宋" w:eastAsia="仿宋" w:cs="仿宋"/>
          <w:color w:val="auto"/>
          <w:sz w:val="24"/>
          <w:szCs w:val="24"/>
          <w:highlight w:val="none"/>
          <w:lang w:eastAsia="zh-CN"/>
        </w:rPr>
        <w:t>、进行游戏</w:t>
      </w:r>
      <w:r>
        <w:rPr>
          <w:rFonts w:hint="eastAsia" w:ascii="仿宋" w:hAnsi="仿宋" w:eastAsia="仿宋" w:cs="仿宋"/>
          <w:color w:val="auto"/>
          <w:sz w:val="24"/>
          <w:szCs w:val="24"/>
          <w:highlight w:val="none"/>
        </w:rPr>
        <w:t>，无故在各区域</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机房内聚集闲坐聊天，</w:t>
      </w:r>
      <w:r>
        <w:rPr>
          <w:rFonts w:hint="eastAsia" w:ascii="仿宋" w:hAnsi="仿宋" w:eastAsia="仿宋" w:cs="仿宋"/>
          <w:color w:val="auto"/>
          <w:sz w:val="24"/>
          <w:szCs w:val="24"/>
          <w:highlight w:val="none"/>
          <w:lang w:val="en-US" w:eastAsia="zh-CN"/>
        </w:rPr>
        <w:t>以及违反其他工作纪律要求的，</w:t>
      </w:r>
      <w:r>
        <w:rPr>
          <w:rFonts w:hint="eastAsia" w:ascii="仿宋" w:hAnsi="仿宋" w:eastAsia="仿宋" w:cs="仿宋"/>
          <w:color w:val="auto"/>
          <w:sz w:val="24"/>
          <w:szCs w:val="24"/>
          <w:highlight w:val="none"/>
        </w:rPr>
        <w:t>每次</w:t>
      </w:r>
      <w:r>
        <w:rPr>
          <w:rFonts w:hint="eastAsia" w:ascii="仿宋" w:hAnsi="仿宋" w:eastAsia="仿宋" w:cs="仿宋"/>
          <w:color w:val="auto"/>
          <w:sz w:val="24"/>
          <w:szCs w:val="24"/>
          <w:highlight w:val="none"/>
          <w:lang w:val="en-US" w:eastAsia="zh-CN"/>
        </w:rPr>
        <w:t>扣罚</w:t>
      </w:r>
      <w:r>
        <w:rPr>
          <w:rFonts w:hint="eastAsia" w:ascii="仿宋" w:hAnsi="仿宋" w:eastAsia="仿宋" w:cs="仿宋"/>
          <w:color w:val="auto"/>
          <w:sz w:val="24"/>
          <w:szCs w:val="24"/>
          <w:highlight w:val="none"/>
        </w:rPr>
        <w:t>300元</w:t>
      </w:r>
      <w:r>
        <w:rPr>
          <w:rFonts w:hint="eastAsia" w:ascii="仿宋" w:hAnsi="仿宋" w:eastAsia="仿宋" w:cs="仿宋"/>
          <w:color w:val="auto"/>
          <w:sz w:val="24"/>
          <w:szCs w:val="24"/>
          <w:highlight w:val="none"/>
          <w:lang w:eastAsia="zh-CN"/>
        </w:rPr>
        <w:t>。</w:t>
      </w:r>
    </w:p>
    <w:p w14:paraId="79CC3424">
      <w:pPr>
        <w:pageBreakBefore w:val="0"/>
        <w:kinsoku/>
        <w:wordWrap/>
        <w:overflowPunct/>
        <w:topLinePunct w:val="0"/>
        <w:autoSpaceDE/>
        <w:autoSpaceDN/>
        <w:bidi w:val="0"/>
        <w:adjustRightInd/>
        <w:spacing w:line="240" w:lineRule="auto"/>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5.6因系统自身原因或维保操作不当，导致部分或全部小车输送中断，且需取出超过10辆在途小车内物品进行人工输送的，每发生一次，从</w:t>
      </w:r>
      <w:r>
        <w:rPr>
          <w:rFonts w:hint="eastAsia" w:ascii="仿宋" w:hAnsi="仿宋" w:eastAsia="仿宋" w:cs="仿宋"/>
          <w:color w:val="auto"/>
          <w:sz w:val="24"/>
          <w:szCs w:val="24"/>
          <w:lang w:val="zh-TW" w:eastAsia="zh-CN"/>
        </w:rPr>
        <w:t>当</w:t>
      </w:r>
      <w:r>
        <w:rPr>
          <w:rFonts w:hint="eastAsia" w:ascii="仿宋" w:hAnsi="仿宋" w:eastAsia="仿宋" w:cs="仿宋"/>
          <w:color w:val="auto"/>
          <w:sz w:val="24"/>
          <w:szCs w:val="24"/>
          <w:lang w:val="en-US" w:eastAsia="zh-CN"/>
        </w:rPr>
        <w:t>期</w:t>
      </w:r>
      <w:r>
        <w:rPr>
          <w:rFonts w:hint="eastAsia" w:ascii="仿宋" w:hAnsi="仿宋" w:eastAsia="仿宋" w:cs="仿宋"/>
          <w:color w:val="auto"/>
          <w:sz w:val="24"/>
          <w:szCs w:val="24"/>
          <w:lang w:val="zh-TW" w:eastAsia="zh-CN"/>
        </w:rPr>
        <w:t>维保费中扣除</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lang w:val="zh-TW" w:eastAsia="zh-CN"/>
        </w:rPr>
        <w:t>00元。</w:t>
      </w:r>
      <w:r>
        <w:rPr>
          <w:rFonts w:hint="eastAsia" w:ascii="仿宋" w:hAnsi="仿宋" w:eastAsia="仿宋" w:cs="仿宋"/>
          <w:color w:val="auto"/>
          <w:sz w:val="24"/>
          <w:szCs w:val="24"/>
          <w:lang w:val="en-US" w:eastAsia="zh-CN"/>
        </w:rPr>
        <w:t>取出物品过程中因操作不当或防护不到位造成物品损坏的，中标人需照价赔偿。</w:t>
      </w:r>
    </w:p>
    <w:p w14:paraId="5DA4755C">
      <w:pPr>
        <w:keepNext w:val="0"/>
        <w:keepLines w:val="0"/>
        <w:pageBreakBefore w:val="0"/>
        <w:kinsoku/>
        <w:wordWrap/>
        <w:overflowPunct/>
        <w:topLinePunct w:val="0"/>
        <w:autoSpaceDE/>
        <w:autoSpaceDN/>
        <w:bidi w:val="0"/>
        <w:adjustRightInd/>
        <w:snapToGrid w:val="0"/>
        <w:spacing w:line="288" w:lineRule="auto"/>
        <w:rPr>
          <w:rFonts w:hint="eastAsia" w:ascii="仿宋" w:hAnsi="仿宋" w:eastAsia="仿宋" w:cs="仿宋"/>
          <w:color w:val="auto"/>
          <w:sz w:val="24"/>
          <w:szCs w:val="24"/>
          <w:lang w:val="zh-TW" w:eastAsia="zh-CN"/>
        </w:rPr>
      </w:pPr>
      <w:r>
        <w:rPr>
          <w:rFonts w:hint="eastAsia" w:ascii="仿宋" w:hAnsi="仿宋" w:eastAsia="仿宋" w:cs="仿宋"/>
          <w:color w:val="auto"/>
          <w:sz w:val="24"/>
          <w:szCs w:val="24"/>
          <w:highlight w:val="none"/>
          <w:lang w:val="en-US" w:eastAsia="zh-CN"/>
        </w:rPr>
        <w:t>5.7</w:t>
      </w:r>
      <w:r>
        <w:rPr>
          <w:rFonts w:hint="eastAsia" w:ascii="仿宋" w:hAnsi="仿宋" w:eastAsia="仿宋" w:cs="仿宋"/>
          <w:color w:val="auto"/>
          <w:sz w:val="24"/>
          <w:szCs w:val="24"/>
          <w:highlight w:val="none"/>
          <w:lang w:val="zh-TW" w:eastAsia="zh-CN"/>
        </w:rPr>
        <w:t>中标人</w:t>
      </w:r>
      <w:r>
        <w:rPr>
          <w:rFonts w:hint="eastAsia" w:ascii="仿宋" w:hAnsi="仿宋" w:eastAsia="仿宋" w:cs="仿宋"/>
          <w:color w:val="auto"/>
          <w:sz w:val="24"/>
          <w:szCs w:val="24"/>
          <w:highlight w:val="none"/>
          <w:lang w:val="en-US" w:eastAsia="zh-CN"/>
        </w:rPr>
        <w:t>未委派驻场维保人员，或委派的驻场维保人员工作</w:t>
      </w:r>
      <w:r>
        <w:rPr>
          <w:rFonts w:hint="eastAsia" w:ascii="仿宋" w:hAnsi="仿宋" w:eastAsia="仿宋" w:cs="仿宋"/>
          <w:color w:val="auto"/>
          <w:sz w:val="24"/>
          <w:szCs w:val="24"/>
          <w:highlight w:val="none"/>
          <w:lang w:val="zh-TW" w:eastAsia="zh-CN"/>
        </w:rPr>
        <w:t>不符合</w:t>
      </w:r>
      <w:r>
        <w:rPr>
          <w:rFonts w:hint="eastAsia" w:ascii="仿宋" w:hAnsi="仿宋" w:eastAsia="仿宋" w:cs="仿宋"/>
          <w:color w:val="auto"/>
          <w:sz w:val="24"/>
          <w:szCs w:val="24"/>
          <w:highlight w:val="none"/>
          <w:lang w:val="en-US" w:eastAsia="zh-CN"/>
        </w:rPr>
        <w:t>采购人服务</w:t>
      </w:r>
      <w:r>
        <w:rPr>
          <w:rFonts w:hint="eastAsia" w:ascii="仿宋" w:hAnsi="仿宋" w:eastAsia="仿宋" w:cs="仿宋"/>
          <w:color w:val="auto"/>
          <w:sz w:val="24"/>
          <w:szCs w:val="24"/>
          <w:highlight w:val="none"/>
          <w:lang w:val="zh-TW" w:eastAsia="zh-CN"/>
        </w:rPr>
        <w:t>要求</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lang w:val="zh-TW" w:eastAsia="zh-CN"/>
        </w:rPr>
        <w:t>，从当期维保费中按每日500元扣除。</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lang w:val="zh-TW" w:eastAsia="zh-CN"/>
        </w:rPr>
        <w:t>有权要求更换</w:t>
      </w:r>
      <w:r>
        <w:rPr>
          <w:rFonts w:hint="eastAsia" w:ascii="仿宋" w:hAnsi="仿宋" w:eastAsia="仿宋" w:cs="仿宋"/>
          <w:color w:val="auto"/>
          <w:sz w:val="24"/>
          <w:szCs w:val="24"/>
          <w:highlight w:val="none"/>
          <w:lang w:val="en-US" w:eastAsia="zh-CN"/>
        </w:rPr>
        <w:t>不符合要求的</w:t>
      </w:r>
      <w:r>
        <w:rPr>
          <w:rFonts w:hint="eastAsia" w:ascii="仿宋" w:hAnsi="仿宋" w:eastAsia="仿宋" w:cs="仿宋"/>
          <w:color w:val="auto"/>
          <w:sz w:val="24"/>
          <w:szCs w:val="24"/>
          <w:highlight w:val="none"/>
          <w:lang w:val="zh-TW" w:eastAsia="zh-CN"/>
        </w:rPr>
        <w:t>驻场维保人员，中标人未在规定时间内完成更换的，采购人可单方面终止合同，费用按实际现场服务时间结算</w:t>
      </w:r>
      <w:r>
        <w:rPr>
          <w:rFonts w:hint="eastAsia" w:ascii="仿宋" w:hAnsi="仿宋" w:eastAsia="仿宋" w:cs="仿宋"/>
          <w:color w:val="auto"/>
          <w:sz w:val="24"/>
          <w:szCs w:val="24"/>
          <w:lang w:val="zh-TW" w:eastAsia="zh-CN"/>
        </w:rPr>
        <w:t>。</w:t>
      </w:r>
    </w:p>
    <w:p w14:paraId="0C53E38C">
      <w:pPr>
        <w:pageBreakBefore w:val="0"/>
        <w:kinsoku/>
        <w:wordWrap/>
        <w:overflowPunct/>
        <w:topLinePunct w:val="0"/>
        <w:autoSpaceDE/>
        <w:autoSpaceDN/>
        <w:bidi w:val="0"/>
        <w:adjustRightInd/>
        <w:spacing w:line="240" w:lineRule="auto"/>
        <w:textAlignment w:val="auto"/>
        <w:rPr>
          <w:rFonts w:hint="eastAsia" w:eastAsia="宋体"/>
          <w:lang w:eastAsia="zh-CN"/>
        </w:rPr>
      </w:pPr>
      <w:r>
        <w:rPr>
          <w:rFonts w:hint="eastAsia" w:ascii="仿宋" w:hAnsi="仿宋" w:eastAsia="仿宋" w:cs="仿宋"/>
          <w:b w:val="0"/>
          <w:bCs w:val="0"/>
          <w:color w:val="auto"/>
          <w:sz w:val="24"/>
          <w:szCs w:val="24"/>
          <w:lang w:val="en-US" w:eastAsia="zh-CN"/>
        </w:rPr>
        <w:t>5.8若中标人未能及时提供替换的软硬件，导致系统整体或部分无法正常使用，采购人可直接邀请具备问题解决能力的国内外机构先行开展维修工作，所产生的全部费用与相关责任均由中标人承担。</w:t>
      </w:r>
    </w:p>
    <w:p w14:paraId="251ADA50">
      <w:pPr>
        <w:pageBreakBefore w:val="0"/>
        <w:kinsoku/>
        <w:wordWrap/>
        <w:overflowPunct/>
        <w:topLinePunct w:val="0"/>
        <w:autoSpaceDE/>
        <w:autoSpaceDN/>
        <w:bidi w:val="0"/>
        <w:adjustRightInd/>
        <w:spacing w:line="240" w:lineRule="auto"/>
        <w:jc w:val="left"/>
        <w:textAlignment w:val="auto"/>
        <w:rPr>
          <w:rFonts w:hint="eastAsia" w:eastAsia="宋体"/>
          <w:lang w:eastAsia="zh-CN"/>
        </w:rPr>
      </w:pPr>
      <w:r>
        <w:rPr>
          <w:rFonts w:hint="eastAsia" w:ascii="仿宋" w:hAnsi="仿宋" w:eastAsia="仿宋" w:cs="仿宋"/>
          <w:color w:val="auto"/>
          <w:sz w:val="24"/>
          <w:szCs w:val="24"/>
          <w:highlight w:val="none"/>
          <w:lang w:val="en-US" w:eastAsia="zh-CN"/>
        </w:rPr>
        <w:t>5.9 中标人未及时提交要求报送的工作记录资料的，每次扣罚300元。</w:t>
      </w:r>
    </w:p>
    <w:p w14:paraId="4E2934F7">
      <w:pPr>
        <w:pageBreakBefore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lang w:val="en-US" w:eastAsia="zh-CN"/>
        </w:rPr>
        <w:t>5.10</w:t>
      </w:r>
      <w:r>
        <w:rPr>
          <w:rFonts w:hint="eastAsia" w:ascii="仿宋" w:hAnsi="仿宋" w:eastAsia="仿宋" w:cs="仿宋"/>
          <w:b w:val="0"/>
          <w:bCs w:val="0"/>
          <w:color w:val="auto"/>
          <w:sz w:val="24"/>
          <w:szCs w:val="24"/>
          <w:lang w:val="zh-TW" w:eastAsia="zh-CN"/>
        </w:rPr>
        <w:t>月度故障率</w:t>
      </w:r>
      <w:r>
        <w:rPr>
          <w:rFonts w:hint="eastAsia" w:ascii="仿宋" w:hAnsi="仿宋" w:eastAsia="仿宋" w:cs="仿宋"/>
          <w:b w:val="0"/>
          <w:bCs w:val="0"/>
          <w:color w:val="auto"/>
          <w:sz w:val="24"/>
          <w:szCs w:val="24"/>
          <w:lang w:val="en-US" w:eastAsia="zh-CN"/>
        </w:rPr>
        <w:t>不得大于1</w:t>
      </w:r>
      <w:r>
        <w:rPr>
          <w:rFonts w:hint="eastAsia" w:ascii="仿宋" w:hAnsi="仿宋" w:eastAsia="仿宋" w:cs="仿宋"/>
          <w:b w:val="0"/>
          <w:bCs w:val="0"/>
          <w:color w:val="auto"/>
          <w:sz w:val="24"/>
          <w:szCs w:val="24"/>
          <w:lang w:val="zh-TW" w:eastAsia="zh-CN"/>
        </w:rPr>
        <w:t>%。若当月故障率大于</w:t>
      </w: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val="zh-TW" w:eastAsia="zh-CN"/>
        </w:rPr>
        <w:t>%，</w:t>
      </w:r>
      <w:r>
        <w:rPr>
          <w:rFonts w:hint="eastAsia" w:ascii="仿宋" w:hAnsi="仿宋" w:eastAsia="仿宋" w:cs="仿宋"/>
          <w:b w:val="0"/>
          <w:bCs w:val="0"/>
          <w:color w:val="auto"/>
          <w:sz w:val="24"/>
          <w:szCs w:val="24"/>
          <w:lang w:val="en-US" w:eastAsia="zh-CN"/>
        </w:rPr>
        <w:t>从当期维保费中扣除1</w:t>
      </w:r>
      <w:r>
        <w:rPr>
          <w:rFonts w:hint="eastAsia" w:ascii="仿宋" w:hAnsi="仿宋" w:eastAsia="仿宋" w:cs="仿宋"/>
          <w:b w:val="0"/>
          <w:bCs w:val="0"/>
          <w:color w:val="auto"/>
          <w:sz w:val="24"/>
          <w:szCs w:val="24"/>
          <w:lang w:val="zh-TW" w:eastAsia="zh-CN"/>
        </w:rPr>
        <w:t>00</w:t>
      </w:r>
      <w:r>
        <w:rPr>
          <w:rFonts w:hint="eastAsia" w:ascii="仿宋" w:hAnsi="仿宋" w:eastAsia="仿宋" w:cs="仿宋"/>
          <w:b w:val="0"/>
          <w:bCs w:val="0"/>
          <w:color w:val="auto"/>
          <w:sz w:val="24"/>
          <w:szCs w:val="24"/>
          <w:lang w:val="en-US" w:eastAsia="zh-CN"/>
        </w:rPr>
        <w:t>0</w:t>
      </w:r>
      <w:r>
        <w:rPr>
          <w:rFonts w:hint="eastAsia" w:ascii="仿宋" w:hAnsi="仿宋" w:eastAsia="仿宋" w:cs="仿宋"/>
          <w:b w:val="0"/>
          <w:bCs w:val="0"/>
          <w:color w:val="auto"/>
          <w:sz w:val="24"/>
          <w:szCs w:val="24"/>
          <w:lang w:val="zh-TW" w:eastAsia="zh-CN"/>
        </w:rPr>
        <w:t>元。</w:t>
      </w:r>
      <w:r>
        <w:rPr>
          <w:rFonts w:hint="eastAsia" w:ascii="仿宋" w:hAnsi="仿宋" w:eastAsia="仿宋" w:cs="仿宋"/>
          <w:b w:val="0"/>
          <w:bCs w:val="0"/>
          <w:color w:val="auto"/>
          <w:sz w:val="24"/>
          <w:szCs w:val="24"/>
          <w:lang w:val="en-US" w:eastAsia="zh-CN"/>
        </w:rPr>
        <w:t>当日小车</w:t>
      </w:r>
      <w:r>
        <w:rPr>
          <w:rFonts w:hint="eastAsia" w:ascii="仿宋" w:hAnsi="仿宋" w:eastAsia="仿宋" w:cs="仿宋"/>
          <w:color w:val="auto"/>
          <w:sz w:val="24"/>
          <w:szCs w:val="24"/>
          <w:highlight w:val="none"/>
          <w:lang w:val="en-US" w:eastAsia="zh-CN"/>
        </w:rPr>
        <w:t>上线率低于46辆的，按每日500元从维保费中扣除。</w:t>
      </w:r>
    </w:p>
    <w:p w14:paraId="13E78ACD">
      <w:pPr>
        <w:pageBreakBefore w:val="0"/>
        <w:kinsoku/>
        <w:wordWrap/>
        <w:overflowPunct/>
        <w:topLinePunct w:val="0"/>
        <w:autoSpaceDE/>
        <w:autoSpaceDN/>
        <w:bidi w:val="0"/>
        <w:adjustRightInd/>
        <w:spacing w:line="240" w:lineRule="auto"/>
        <w:jc w:val="left"/>
        <w:textAlignment w:val="auto"/>
        <w:rPr>
          <w:rFonts w:hint="eastAsia" w:eastAsia="宋体"/>
          <w:lang w:eastAsia="zh-CN"/>
        </w:rPr>
      </w:pPr>
      <w:r>
        <w:rPr>
          <w:rFonts w:hint="eastAsia" w:ascii="仿宋" w:hAnsi="仿宋" w:eastAsia="仿宋" w:cs="仿宋"/>
          <w:color w:val="auto"/>
          <w:sz w:val="24"/>
          <w:szCs w:val="24"/>
          <w:highlight w:val="none"/>
          <w:lang w:val="en-US" w:eastAsia="zh-CN"/>
        </w:rPr>
        <w:t>5.11</w:t>
      </w:r>
      <w:r>
        <w:rPr>
          <w:rFonts w:hint="eastAsia" w:ascii="仿宋" w:hAnsi="仿宋" w:eastAsia="仿宋" w:cs="仿宋"/>
          <w:color w:val="auto"/>
          <w:sz w:val="24"/>
          <w:szCs w:val="24"/>
          <w:highlight w:val="none"/>
          <w:lang w:val="zh-TW" w:eastAsia="zh-CN"/>
        </w:rPr>
        <w:t>接到设备使用部门工作人员投诉，且经采购人工作人员接到电话投诉或收到相应书面资料后核查，确认投诉事项确因中标人责任造成的，从当期维保费中按每次500元予以扣除。</w:t>
      </w:r>
    </w:p>
    <w:p w14:paraId="7D8D84CC">
      <w:pPr>
        <w:pageBreakBefore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highlight w:val="none"/>
          <w:lang w:val="zh-TW" w:eastAsia="zh-CN"/>
        </w:rPr>
      </w:pPr>
      <w:r>
        <w:rPr>
          <w:rFonts w:hint="eastAsia" w:ascii="仿宋" w:hAnsi="仿宋" w:eastAsia="仿宋" w:cs="仿宋"/>
          <w:color w:val="auto"/>
          <w:sz w:val="24"/>
          <w:szCs w:val="24"/>
          <w:highlight w:val="none"/>
          <w:lang w:val="en-US" w:eastAsia="zh-CN"/>
        </w:rPr>
        <w:t>5.12</w:t>
      </w:r>
      <w:r>
        <w:rPr>
          <w:rFonts w:hint="eastAsia" w:ascii="仿宋" w:hAnsi="仿宋" w:eastAsia="仿宋" w:cs="仿宋"/>
          <w:color w:val="auto"/>
          <w:sz w:val="24"/>
          <w:szCs w:val="24"/>
          <w:highlight w:val="none"/>
          <w:lang w:val="zh-TW" w:eastAsia="zh-CN"/>
        </w:rPr>
        <w:t>每个合同年度届满时须对中标人服务开展评估，若评估发现当年前述扣款情形累计超过5单，采购人有权提前终止合同。采购人应当以书面形式通知中标人，明确指出其违约性质；中标人应当自收到通知之日起20日内，就通知载明的违约事项完成补救。若前述违约事项在通知送达20日后仍未纠正，且已造成重大损失，采购人可向中标人发出书面通知终止合同。</w:t>
      </w:r>
    </w:p>
    <w:p w14:paraId="3058E146">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eastAsia="宋体"/>
          <w:lang w:eastAsia="zh-CN"/>
        </w:rPr>
      </w:pPr>
      <w:r>
        <w:rPr>
          <w:rFonts w:hint="eastAsia" w:ascii="仿宋" w:hAnsi="仿宋" w:eastAsia="仿宋" w:cs="仿宋"/>
          <w:b w:val="0"/>
          <w:bCs w:val="0"/>
          <w:color w:val="auto"/>
          <w:kern w:val="0"/>
          <w:sz w:val="24"/>
          <w:szCs w:val="24"/>
          <w:lang w:val="en-US" w:eastAsia="zh-CN" w:bidi="ar"/>
        </w:rPr>
        <w:t>5.13合同履行过程中，发生下列情形之一的，采购人有权单方解除本合同，不予支付剩余服务费用；同时中标人须向采购人支付合同总金额10%的违约金，并对采购人所遭受的损失承担赔偿责任：</w:t>
      </w:r>
    </w:p>
    <w:p w14:paraId="217EEF88">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rPr>
      </w:pPr>
      <w:r>
        <w:rPr>
          <w:rFonts w:hint="eastAsia" w:ascii="仿宋" w:hAnsi="仿宋" w:eastAsia="仿宋" w:cs="仿宋"/>
          <w:b w:val="0"/>
          <w:bCs w:val="0"/>
          <w:color w:val="auto"/>
          <w:kern w:val="0"/>
          <w:sz w:val="24"/>
          <w:szCs w:val="24"/>
          <w:lang w:val="en-US" w:eastAsia="zh-CN" w:bidi="ar"/>
        </w:rPr>
        <w:t>（1）因中标人原因导致采购人设备损坏、故障，系统信息丢失，以及发生人员伤亡等财产损失、人身损害事故的。</w:t>
      </w:r>
    </w:p>
    <w:p w14:paraId="724FE9D9">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 w:hAnsi="仿宋" w:eastAsia="仿宋" w:cs="仿宋"/>
          <w:b w:val="0"/>
          <w:bCs w:val="0"/>
          <w:color w:val="auto"/>
          <w:kern w:val="0"/>
          <w:sz w:val="24"/>
          <w:szCs w:val="24"/>
          <w:lang w:val="en-US" w:eastAsia="zh-CN" w:bidi="ar"/>
        </w:rPr>
      </w:pPr>
      <w:r>
        <w:rPr>
          <w:rFonts w:hint="eastAsia" w:ascii="仿宋" w:hAnsi="仿宋" w:eastAsia="仿宋" w:cs="仿宋"/>
          <w:b w:val="0"/>
          <w:bCs w:val="0"/>
          <w:color w:val="auto"/>
          <w:kern w:val="0"/>
          <w:sz w:val="24"/>
          <w:szCs w:val="24"/>
          <w:lang w:val="en-US" w:eastAsia="zh-CN" w:bidi="ar"/>
        </w:rPr>
        <w:t>（2）中标人未遵照安全相关规定开展工作，造成人员伤亡或者安全、消防等责任事故的。</w:t>
      </w:r>
    </w:p>
    <w:p w14:paraId="0F1BBB64">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rPr>
      </w:pPr>
      <w:r>
        <w:rPr>
          <w:rFonts w:hint="eastAsia" w:ascii="仿宋" w:hAnsi="仿宋" w:eastAsia="仿宋" w:cs="仿宋"/>
          <w:b w:val="0"/>
          <w:bCs w:val="0"/>
          <w:color w:val="auto"/>
          <w:kern w:val="0"/>
          <w:sz w:val="24"/>
          <w:szCs w:val="24"/>
          <w:lang w:val="en-US" w:eastAsia="zh-CN" w:bidi="ar"/>
        </w:rPr>
        <w:t>（3）因中标人的违约行为，给采购人或采购人工作人员造成损失或不良影响（即医疗不良事件）的。</w:t>
      </w:r>
    </w:p>
    <w:p w14:paraId="68CDA746">
      <w:pPr>
        <w:keepNext w:val="0"/>
        <w:keepLines w:val="0"/>
        <w:pageBreakBefore w:val="0"/>
        <w:widowControl/>
        <w:suppressLineNumbers w:val="0"/>
        <w:kinsoku/>
        <w:wordWrap/>
        <w:overflowPunct/>
        <w:topLinePunct w:val="0"/>
        <w:autoSpaceDE/>
        <w:autoSpaceDN/>
        <w:bidi w:val="0"/>
        <w:adjustRightInd/>
        <w:spacing w:line="240" w:lineRule="auto"/>
        <w:jc w:val="left"/>
        <w:textAlignment w:val="auto"/>
        <w:rPr>
          <w:rFonts w:hint="eastAsia" w:ascii="仿宋" w:hAnsi="仿宋" w:eastAsia="仿宋" w:cs="仿宋"/>
          <w:color w:val="auto"/>
          <w:sz w:val="24"/>
          <w:szCs w:val="24"/>
        </w:rPr>
      </w:pPr>
      <w:r>
        <w:rPr>
          <w:rFonts w:hint="eastAsia" w:ascii="仿宋" w:hAnsi="仿宋" w:eastAsia="仿宋" w:cs="仿宋"/>
          <w:b w:val="0"/>
          <w:bCs w:val="0"/>
          <w:color w:val="auto"/>
          <w:kern w:val="0"/>
          <w:sz w:val="24"/>
          <w:szCs w:val="24"/>
          <w:lang w:val="en-US" w:eastAsia="zh-CN" w:bidi="ar"/>
        </w:rPr>
        <w:t>（4）中标人违反保密义务或知识产权相关条款约定的。</w:t>
      </w:r>
    </w:p>
    <w:p w14:paraId="7B2ED54C">
      <w:pPr>
        <w:pStyle w:val="2"/>
        <w:rPr>
          <w:rFonts w:hint="eastAsia"/>
          <w:color w:val="auto"/>
          <w:lang w:val="zh-TW" w:eastAsia="zh-CN"/>
        </w:rPr>
      </w:pPr>
    </w:p>
    <w:p w14:paraId="0A3DB7B2">
      <w:pPr>
        <w:rPr>
          <w:rFonts w:hint="eastAsia"/>
          <w:color w:val="auto"/>
          <w:lang w:val="en-US" w:eastAsia="zh-CN"/>
        </w:rPr>
      </w:pPr>
    </w:p>
    <w:p w14:paraId="2C74AB47">
      <w:pPr>
        <w:pStyle w:val="17"/>
        <w:numPr>
          <w:ilvl w:val="0"/>
          <w:numId w:val="0"/>
        </w:numPr>
        <w:ind w:left="120" w:leftChars="0"/>
        <w:rPr>
          <w:rFonts w:hint="eastAsia" w:hAnsi="宋体" w:eastAsia="宋体" w:cs="宋体"/>
          <w:color w:val="auto"/>
          <w:kern w:val="2"/>
          <w:sz w:val="24"/>
          <w:szCs w:val="24"/>
          <w:highlight w:val="none"/>
          <w:lang w:val="en-US" w:eastAsia="zh-CN" w:bidi="ar-SA"/>
        </w:rPr>
      </w:pPr>
    </w:p>
    <w:p w14:paraId="38D61D18">
      <w:pPr>
        <w:rPr>
          <w:rFonts w:hint="eastAsia" w:ascii="仿宋_GB2312" w:hAnsi="仿宋_GB2312" w:eastAsia="仿宋_GB2312" w:cs="仿宋_GB2312"/>
          <w:b/>
          <w:bCs/>
          <w:color w:val="auto"/>
          <w:sz w:val="24"/>
          <w:szCs w:val="24"/>
          <w:lang w:val="zh-TW" w:eastAsia="zh-CN"/>
        </w:rPr>
      </w:pPr>
      <w:r>
        <w:rPr>
          <w:rFonts w:hint="eastAsia" w:ascii="仿宋_GB2312" w:hAnsi="仿宋_GB2312" w:eastAsia="仿宋_GB2312" w:cs="仿宋_GB2312"/>
          <w:color w:val="auto"/>
          <w:kern w:val="2"/>
          <w:sz w:val="24"/>
          <w:szCs w:val="24"/>
          <w:highlight w:val="none"/>
          <w:lang w:val="en-US" w:eastAsia="zh-CN" w:bidi="ar-SA"/>
        </w:rPr>
        <w:t>附件1：</w:t>
      </w:r>
    </w:p>
    <w:p w14:paraId="674ABB80">
      <w:pPr>
        <w:pStyle w:val="9"/>
        <w:jc w:val="center"/>
        <w:rPr>
          <w:rFonts w:hint="default"/>
          <w:color w:val="auto"/>
          <w:lang w:val="en-US"/>
        </w:rPr>
      </w:pPr>
      <w:r>
        <w:rPr>
          <w:rFonts w:hint="eastAsia" w:ascii="宋体" w:hAnsi="宋体" w:cs="宋体"/>
          <w:b/>
          <w:color w:val="auto"/>
          <w:sz w:val="36"/>
          <w:szCs w:val="36"/>
          <w:lang w:val="en-US" w:eastAsia="zh-CN"/>
        </w:rPr>
        <w:t>外包公司服务考核评价表</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1394"/>
        <w:gridCol w:w="5067"/>
        <w:gridCol w:w="1240"/>
        <w:gridCol w:w="1156"/>
      </w:tblGrid>
      <w:tr w14:paraId="7E0A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2" w:hRule="atLeast"/>
        </w:trPr>
        <w:tc>
          <w:tcPr>
            <w:tcW w:w="1419" w:type="pct"/>
            <w:gridSpan w:val="2"/>
            <w:vAlign w:val="center"/>
          </w:tcPr>
          <w:p w14:paraId="66508E84">
            <w:pPr>
              <w:spacing w:line="4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监管部门</w:t>
            </w:r>
          </w:p>
        </w:tc>
        <w:tc>
          <w:tcPr>
            <w:tcW w:w="3580" w:type="pct"/>
            <w:gridSpan w:val="3"/>
            <w:vAlign w:val="center"/>
          </w:tcPr>
          <w:p w14:paraId="662F3ED5">
            <w:pPr>
              <w:spacing w:line="400" w:lineRule="exact"/>
              <w:jc w:val="center"/>
              <w:rPr>
                <w:rFonts w:hint="eastAsia" w:ascii="仿宋_GB2312" w:hAnsi="仿宋_GB2312" w:eastAsia="仿宋_GB2312" w:cs="仿宋_GB2312"/>
                <w:bCs/>
                <w:color w:val="auto"/>
                <w:sz w:val="24"/>
                <w:highlight w:val="none"/>
              </w:rPr>
            </w:pPr>
          </w:p>
        </w:tc>
      </w:tr>
      <w:tr w14:paraId="5B1B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419" w:type="pct"/>
            <w:gridSpan w:val="2"/>
            <w:vAlign w:val="center"/>
          </w:tcPr>
          <w:p w14:paraId="00A98CE4">
            <w:pPr>
              <w:spacing w:line="4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评价期间</w:t>
            </w:r>
          </w:p>
        </w:tc>
        <w:tc>
          <w:tcPr>
            <w:tcW w:w="3580" w:type="pct"/>
            <w:gridSpan w:val="3"/>
            <w:vAlign w:val="center"/>
          </w:tcPr>
          <w:p w14:paraId="27574B16">
            <w:pPr>
              <w:spacing w:line="4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年    月    日-    年    月    日</w:t>
            </w:r>
          </w:p>
        </w:tc>
      </w:tr>
      <w:tr w14:paraId="0AC5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419" w:type="pct"/>
            <w:gridSpan w:val="2"/>
            <w:vAlign w:val="center"/>
          </w:tcPr>
          <w:p w14:paraId="0D577DB3">
            <w:pPr>
              <w:spacing w:line="4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服务外包单位</w:t>
            </w:r>
          </w:p>
        </w:tc>
        <w:tc>
          <w:tcPr>
            <w:tcW w:w="3580" w:type="pct"/>
            <w:gridSpan w:val="3"/>
            <w:vAlign w:val="center"/>
          </w:tcPr>
          <w:p w14:paraId="697FB8D6">
            <w:pPr>
              <w:spacing w:line="400" w:lineRule="exact"/>
              <w:jc w:val="center"/>
              <w:rPr>
                <w:rFonts w:hint="eastAsia" w:ascii="仿宋_GB2312" w:hAnsi="仿宋_GB2312" w:eastAsia="仿宋_GB2312" w:cs="仿宋_GB2312"/>
                <w:bCs/>
                <w:color w:val="auto"/>
                <w:sz w:val="24"/>
                <w:highlight w:val="none"/>
              </w:rPr>
            </w:pPr>
          </w:p>
        </w:tc>
      </w:tr>
      <w:tr w14:paraId="2FEC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419" w:type="pct"/>
            <w:gridSpan w:val="2"/>
            <w:vAlign w:val="center"/>
          </w:tcPr>
          <w:p w14:paraId="5FB03139">
            <w:pPr>
              <w:spacing w:line="4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服务内容范围</w:t>
            </w:r>
          </w:p>
        </w:tc>
        <w:tc>
          <w:tcPr>
            <w:tcW w:w="3580" w:type="pct"/>
            <w:gridSpan w:val="3"/>
            <w:vAlign w:val="center"/>
          </w:tcPr>
          <w:p w14:paraId="2F048092">
            <w:pPr>
              <w:spacing w:line="400" w:lineRule="exact"/>
              <w:jc w:val="center"/>
              <w:rPr>
                <w:rFonts w:hint="eastAsia" w:ascii="仿宋_GB2312" w:hAnsi="仿宋_GB2312" w:eastAsia="仿宋_GB2312" w:cs="仿宋_GB2312"/>
                <w:bCs/>
                <w:color w:val="auto"/>
                <w:sz w:val="24"/>
                <w:highlight w:val="none"/>
              </w:rPr>
            </w:pPr>
          </w:p>
        </w:tc>
      </w:tr>
      <w:tr w14:paraId="7989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750" w:type="pct"/>
            <w:vAlign w:val="center"/>
          </w:tcPr>
          <w:p w14:paraId="3AC81BFD">
            <w:pPr>
              <w:spacing w:line="26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考核内容</w:t>
            </w:r>
          </w:p>
          <w:p w14:paraId="06BD8559">
            <w:pPr>
              <w:spacing w:line="26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（100分）</w:t>
            </w:r>
          </w:p>
        </w:tc>
        <w:tc>
          <w:tcPr>
            <w:tcW w:w="668" w:type="pct"/>
            <w:vAlign w:val="center"/>
          </w:tcPr>
          <w:p w14:paraId="47D60227">
            <w:pPr>
              <w:spacing w:line="26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权重</w:t>
            </w:r>
          </w:p>
        </w:tc>
        <w:tc>
          <w:tcPr>
            <w:tcW w:w="2431" w:type="pct"/>
            <w:vAlign w:val="center"/>
          </w:tcPr>
          <w:p w14:paraId="3409F874">
            <w:pPr>
              <w:spacing w:line="26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考核标准</w:t>
            </w:r>
          </w:p>
        </w:tc>
        <w:tc>
          <w:tcPr>
            <w:tcW w:w="595" w:type="pct"/>
            <w:vAlign w:val="center"/>
          </w:tcPr>
          <w:p w14:paraId="2800E537">
            <w:pPr>
              <w:spacing w:line="26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得分</w:t>
            </w:r>
          </w:p>
        </w:tc>
        <w:tc>
          <w:tcPr>
            <w:tcW w:w="553" w:type="pct"/>
            <w:vAlign w:val="center"/>
          </w:tcPr>
          <w:p w14:paraId="6760E734">
            <w:pPr>
              <w:spacing w:line="26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备注</w:t>
            </w:r>
          </w:p>
        </w:tc>
      </w:tr>
      <w:tr w14:paraId="14A4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1AF355C2">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响应情况</w:t>
            </w:r>
          </w:p>
        </w:tc>
        <w:tc>
          <w:tcPr>
            <w:tcW w:w="668" w:type="pct"/>
            <w:vAlign w:val="center"/>
          </w:tcPr>
          <w:p w14:paraId="695AAEB4">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15%</w:t>
            </w:r>
          </w:p>
          <w:p w14:paraId="05ED767C">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（15分）</w:t>
            </w:r>
          </w:p>
        </w:tc>
        <w:tc>
          <w:tcPr>
            <w:tcW w:w="2431" w:type="pct"/>
          </w:tcPr>
          <w:p w14:paraId="749E0A25">
            <w:pPr>
              <w:spacing w:line="240" w:lineRule="auto"/>
              <w:ind w:firstLine="480" w:firstLineChars="200"/>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1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①</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bCs/>
                <w:color w:val="auto"/>
                <w:sz w:val="24"/>
                <w:highlight w:val="none"/>
              </w:rPr>
              <w:t>每次均在规定</w:t>
            </w:r>
            <w:r>
              <w:rPr>
                <w:rFonts w:hint="eastAsia" w:ascii="仿宋_GB2312" w:hAnsi="仿宋_GB2312" w:eastAsia="仿宋_GB2312" w:cs="仿宋_GB2312"/>
                <w:bCs/>
                <w:color w:val="auto"/>
                <w:sz w:val="24"/>
                <w:highlight w:val="none"/>
                <w:lang w:eastAsia="zh-CN"/>
              </w:rPr>
              <w:t>时限内</w:t>
            </w:r>
            <w:r>
              <w:rPr>
                <w:rFonts w:hint="eastAsia" w:ascii="仿宋_GB2312" w:hAnsi="仿宋_GB2312" w:eastAsia="仿宋_GB2312" w:cs="仿宋_GB2312"/>
                <w:bCs/>
                <w:color w:val="auto"/>
                <w:sz w:val="24"/>
                <w:highlight w:val="none"/>
              </w:rPr>
              <w:t>响应并</w:t>
            </w:r>
            <w:r>
              <w:rPr>
                <w:rFonts w:hint="eastAsia" w:ascii="仿宋_GB2312" w:hAnsi="仿宋_GB2312" w:eastAsia="仿宋_GB2312" w:cs="仿宋_GB2312"/>
                <w:bCs/>
                <w:color w:val="auto"/>
                <w:sz w:val="24"/>
                <w:highlight w:val="none"/>
                <w:lang w:eastAsia="zh-CN"/>
              </w:rPr>
              <w:t>抵达</w:t>
            </w:r>
            <w:r>
              <w:rPr>
                <w:rFonts w:hint="eastAsia" w:ascii="仿宋_GB2312" w:hAnsi="仿宋_GB2312" w:eastAsia="仿宋_GB2312" w:cs="仿宋_GB2312"/>
                <w:bCs/>
                <w:color w:val="auto"/>
                <w:sz w:val="24"/>
                <w:highlight w:val="none"/>
              </w:rPr>
              <w:t>现场得15分；</w:t>
            </w: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2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②</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bCs/>
                <w:color w:val="auto"/>
                <w:sz w:val="24"/>
                <w:highlight w:val="none"/>
                <w:lang w:eastAsia="zh-CN"/>
              </w:rPr>
              <w:t>未在规定时限内响应并抵达现场的，</w:t>
            </w:r>
            <w:r>
              <w:rPr>
                <w:rFonts w:hint="eastAsia" w:ascii="仿宋_GB2312" w:hAnsi="仿宋_GB2312" w:eastAsia="仿宋_GB2312" w:cs="仿宋_GB2312"/>
                <w:bCs/>
                <w:color w:val="auto"/>
                <w:sz w:val="24"/>
                <w:highlight w:val="none"/>
              </w:rPr>
              <w:t>每次扣</w:t>
            </w:r>
            <w:r>
              <w:rPr>
                <w:rFonts w:hint="eastAsia" w:ascii="仿宋_GB2312" w:hAnsi="仿宋_GB2312" w:eastAsia="仿宋_GB2312" w:cs="仿宋_GB2312"/>
                <w:bCs/>
                <w:color w:val="auto"/>
                <w:sz w:val="24"/>
                <w:highlight w:val="none"/>
                <w:lang w:val="en-US" w:eastAsia="zh-CN"/>
              </w:rPr>
              <w:t>1.5</w:t>
            </w:r>
            <w:r>
              <w:rPr>
                <w:rFonts w:hint="eastAsia" w:ascii="仿宋_GB2312" w:hAnsi="仿宋_GB2312" w:eastAsia="仿宋_GB2312" w:cs="仿宋_GB2312"/>
                <w:bCs/>
                <w:color w:val="auto"/>
                <w:sz w:val="24"/>
                <w:highlight w:val="none"/>
              </w:rPr>
              <w:t>分。</w:t>
            </w:r>
          </w:p>
        </w:tc>
        <w:tc>
          <w:tcPr>
            <w:tcW w:w="595" w:type="pct"/>
          </w:tcPr>
          <w:p w14:paraId="73BCD2B6">
            <w:pPr>
              <w:spacing w:line="240" w:lineRule="auto"/>
              <w:rPr>
                <w:rFonts w:hint="eastAsia" w:ascii="仿宋_GB2312" w:hAnsi="仿宋_GB2312" w:eastAsia="仿宋_GB2312" w:cs="仿宋_GB2312"/>
                <w:bCs/>
                <w:color w:val="auto"/>
                <w:sz w:val="24"/>
                <w:highlight w:val="none"/>
              </w:rPr>
            </w:pPr>
          </w:p>
        </w:tc>
        <w:tc>
          <w:tcPr>
            <w:tcW w:w="553" w:type="pct"/>
          </w:tcPr>
          <w:p w14:paraId="001D6E40">
            <w:pPr>
              <w:spacing w:line="240" w:lineRule="auto"/>
              <w:rPr>
                <w:rFonts w:hint="eastAsia" w:ascii="仿宋_GB2312" w:hAnsi="仿宋_GB2312" w:eastAsia="仿宋_GB2312" w:cs="仿宋_GB2312"/>
                <w:bCs/>
                <w:color w:val="auto"/>
                <w:sz w:val="24"/>
                <w:highlight w:val="none"/>
              </w:rPr>
            </w:pPr>
          </w:p>
        </w:tc>
      </w:tr>
      <w:tr w14:paraId="40AA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757EF507">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工作</w:t>
            </w:r>
          </w:p>
          <w:p w14:paraId="19EE9039">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质量</w:t>
            </w:r>
          </w:p>
        </w:tc>
        <w:tc>
          <w:tcPr>
            <w:tcW w:w="668" w:type="pct"/>
            <w:vAlign w:val="center"/>
          </w:tcPr>
          <w:p w14:paraId="655D796E">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lang w:val="en-US" w:eastAsia="zh-CN"/>
              </w:rPr>
              <w:t>60</w:t>
            </w:r>
            <w:r>
              <w:rPr>
                <w:rFonts w:hint="eastAsia" w:ascii="仿宋_GB2312" w:hAnsi="仿宋_GB2312" w:eastAsia="仿宋_GB2312" w:cs="仿宋_GB2312"/>
                <w:bCs/>
                <w:color w:val="auto"/>
                <w:sz w:val="24"/>
                <w:highlight w:val="none"/>
              </w:rPr>
              <w:t>%</w:t>
            </w:r>
          </w:p>
          <w:p w14:paraId="3C9754BD">
            <w:pPr>
              <w:spacing w:line="300" w:lineRule="exact"/>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w:t>
            </w:r>
            <w:r>
              <w:rPr>
                <w:rFonts w:hint="eastAsia" w:ascii="仿宋_GB2312" w:hAnsi="仿宋_GB2312" w:eastAsia="仿宋_GB2312" w:cs="仿宋_GB2312"/>
                <w:bCs/>
                <w:color w:val="auto"/>
                <w:sz w:val="24"/>
                <w:highlight w:val="none"/>
                <w:lang w:val="en-US" w:eastAsia="zh-CN"/>
              </w:rPr>
              <w:t>60</w:t>
            </w:r>
            <w:r>
              <w:rPr>
                <w:rFonts w:hint="eastAsia" w:ascii="仿宋_GB2312" w:hAnsi="仿宋_GB2312" w:eastAsia="仿宋_GB2312" w:cs="仿宋_GB2312"/>
                <w:bCs/>
                <w:color w:val="auto"/>
                <w:sz w:val="24"/>
                <w:highlight w:val="none"/>
              </w:rPr>
              <w:t>分）</w:t>
            </w:r>
          </w:p>
        </w:tc>
        <w:tc>
          <w:tcPr>
            <w:tcW w:w="2431" w:type="pct"/>
          </w:tcPr>
          <w:p w14:paraId="706917AF">
            <w:pPr>
              <w:spacing w:line="240" w:lineRule="auto"/>
              <w:ind w:firstLine="480" w:firstLineChars="200"/>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该项内容按以下</w:t>
            </w:r>
            <w:r>
              <w:rPr>
                <w:rFonts w:hint="eastAsia" w:ascii="仿宋_GB2312" w:hAnsi="仿宋_GB2312" w:eastAsia="仿宋_GB2312" w:cs="仿宋_GB2312"/>
                <w:bCs/>
                <w:color w:val="auto"/>
                <w:sz w:val="24"/>
                <w:highlight w:val="none"/>
                <w:lang w:val="en-US" w:eastAsia="zh-CN"/>
              </w:rPr>
              <w:t>4</w:t>
            </w:r>
            <w:r>
              <w:rPr>
                <w:rFonts w:hint="eastAsia" w:ascii="仿宋_GB2312" w:hAnsi="仿宋_GB2312" w:eastAsia="仿宋_GB2312" w:cs="仿宋_GB2312"/>
                <w:bCs/>
                <w:color w:val="auto"/>
                <w:sz w:val="24"/>
                <w:highlight w:val="none"/>
              </w:rPr>
              <w:t>方面评分：</w:t>
            </w:r>
          </w:p>
          <w:p w14:paraId="13782B34">
            <w:pPr>
              <w:spacing w:line="240" w:lineRule="auto"/>
              <w:ind w:firstLine="480" w:firstLineChars="200"/>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eastAsia="zh-CN"/>
              </w:rPr>
              <w:t>①</w:t>
            </w:r>
            <w:r>
              <w:rPr>
                <w:rFonts w:hint="eastAsia" w:ascii="仿宋_GB2312" w:hAnsi="仿宋_GB2312" w:eastAsia="仿宋_GB2312" w:cs="仿宋_GB2312"/>
                <w:color w:val="auto"/>
                <w:sz w:val="24"/>
                <w:highlight w:val="none"/>
                <w:lang w:val="en-US" w:eastAsia="zh-CN"/>
              </w:rPr>
              <w:t>认真完成巡查工作，巡查过程发现问题立即处理，保证系统正常使用，及时填写巡查记录，内容完整、填写规范，得15分。</w:t>
            </w:r>
          </w:p>
          <w:p w14:paraId="04367D4F">
            <w:pPr>
              <w:spacing w:line="240" w:lineRule="auto"/>
              <w:ind w:firstLine="480" w:firstLineChars="200"/>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②定期保养工作高效开展，主动发现问题，及时提交定期保养记录，内容完整、填写规范，妥善保管好维保工器具、配件等，得15分。</w:t>
            </w:r>
          </w:p>
          <w:p w14:paraId="395983BD">
            <w:pPr>
              <w:spacing w:line="240" w:lineRule="auto"/>
              <w:ind w:firstLine="480" w:firstLineChars="200"/>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③故障及应急处置高效及时，应急备件准备充足、补充及时，按要求提交相关故障分析报告。得到15分；</w:t>
            </w:r>
          </w:p>
          <w:p w14:paraId="4F2D79B2">
            <w:pPr>
              <w:spacing w:line="240" w:lineRule="auto"/>
              <w:ind w:firstLine="480" w:firstLineChars="200"/>
              <w:rPr>
                <w:rFonts w:hint="eastAsia" w:ascii="仿宋_GB2312" w:hAnsi="仿宋_GB2312" w:eastAsia="仿宋_GB2312" w:cs="仿宋_GB2312"/>
                <w:lang w:eastAsia="zh-CN"/>
              </w:rPr>
            </w:pPr>
            <w:r>
              <w:rPr>
                <w:rFonts w:hint="eastAsia" w:ascii="仿宋_GB2312" w:hAnsi="仿宋_GB2312" w:eastAsia="仿宋_GB2312" w:cs="仿宋_GB2312"/>
                <w:color w:val="auto"/>
                <w:sz w:val="24"/>
                <w:highlight w:val="none"/>
                <w:lang w:val="en-US" w:eastAsia="zh-CN"/>
              </w:rPr>
              <w:t>④系统整体运行稳定，故障率保持低位，现场管理规范，</w:t>
            </w:r>
            <w:r>
              <w:rPr>
                <w:rFonts w:hint="eastAsia" w:ascii="仿宋_GB2312" w:hAnsi="仿宋_GB2312" w:eastAsia="仿宋_GB2312" w:cs="仿宋_GB2312"/>
                <w:bCs/>
                <w:color w:val="auto"/>
                <w:sz w:val="24"/>
                <w:highlight w:val="none"/>
                <w:lang w:eastAsia="zh-CN"/>
              </w:rPr>
              <w:t>临时性和突击性工作</w:t>
            </w:r>
            <w:r>
              <w:rPr>
                <w:rFonts w:hint="eastAsia" w:ascii="仿宋_GB2312" w:hAnsi="仿宋_GB2312" w:eastAsia="仿宋_GB2312" w:cs="仿宋_GB2312"/>
                <w:bCs/>
                <w:color w:val="auto"/>
                <w:sz w:val="24"/>
                <w:highlight w:val="none"/>
                <w:lang w:val="en-US" w:eastAsia="zh-CN"/>
              </w:rPr>
              <w:t>完成良好，得15</w:t>
            </w:r>
            <w:r>
              <w:rPr>
                <w:rFonts w:hint="eastAsia" w:ascii="仿宋_GB2312" w:hAnsi="仿宋_GB2312" w:eastAsia="仿宋_GB2312" w:cs="仿宋_GB2312"/>
                <w:bCs/>
                <w:color w:val="auto"/>
                <w:sz w:val="24"/>
                <w:highlight w:val="none"/>
                <w:lang w:eastAsia="zh-CN"/>
              </w:rPr>
              <w:t>分。</w:t>
            </w:r>
          </w:p>
          <w:p w14:paraId="2595D549">
            <w:pPr>
              <w:spacing w:line="240" w:lineRule="auto"/>
              <w:ind w:firstLine="480" w:firstLineChars="200"/>
              <w:rPr>
                <w:rFonts w:hint="eastAsia" w:ascii="仿宋_GB2312" w:hAnsi="仿宋_GB2312" w:eastAsia="仿宋_GB2312" w:cs="仿宋_GB2312"/>
                <w:bCs/>
                <w:color w:val="auto"/>
                <w:sz w:val="24"/>
                <w:highlight w:val="none"/>
                <w:lang w:eastAsia="zh-CN"/>
              </w:rPr>
            </w:pPr>
            <w:r>
              <w:rPr>
                <w:rFonts w:hint="eastAsia" w:ascii="仿宋_GB2312" w:hAnsi="仿宋_GB2312" w:eastAsia="仿宋_GB2312" w:cs="仿宋_GB2312"/>
                <w:bCs/>
                <w:color w:val="auto"/>
                <w:sz w:val="24"/>
                <w:highlight w:val="none"/>
                <w:lang w:eastAsia="zh-CN"/>
              </w:rPr>
              <w:t>若能够按照上述</w:t>
            </w:r>
            <w:r>
              <w:rPr>
                <w:rFonts w:hint="eastAsia" w:ascii="仿宋_GB2312" w:hAnsi="仿宋_GB2312" w:eastAsia="仿宋_GB2312" w:cs="仿宋_GB2312"/>
                <w:bCs/>
                <w:color w:val="auto"/>
                <w:sz w:val="24"/>
                <w:highlight w:val="none"/>
                <w:lang w:val="en-US" w:eastAsia="zh-CN"/>
              </w:rPr>
              <w:t>四</w:t>
            </w:r>
            <w:r>
              <w:rPr>
                <w:rFonts w:hint="eastAsia" w:ascii="仿宋_GB2312" w:hAnsi="仿宋_GB2312" w:eastAsia="仿宋_GB2312" w:cs="仿宋_GB2312"/>
                <w:bCs/>
                <w:color w:val="auto"/>
                <w:sz w:val="24"/>
                <w:highlight w:val="none"/>
                <w:lang w:eastAsia="zh-CN"/>
              </w:rPr>
              <w:t>方面要求保质保量完成工作，该项可得满分；若工作存在失误，将视情节轻重予以扣分。</w:t>
            </w:r>
          </w:p>
        </w:tc>
        <w:tc>
          <w:tcPr>
            <w:tcW w:w="595" w:type="pct"/>
          </w:tcPr>
          <w:p w14:paraId="0E750AE5">
            <w:pPr>
              <w:spacing w:line="240" w:lineRule="auto"/>
              <w:rPr>
                <w:rFonts w:hint="eastAsia" w:ascii="仿宋_GB2312" w:hAnsi="仿宋_GB2312" w:eastAsia="仿宋_GB2312" w:cs="仿宋_GB2312"/>
                <w:bCs/>
                <w:color w:val="auto"/>
                <w:sz w:val="24"/>
                <w:highlight w:val="none"/>
              </w:rPr>
            </w:pPr>
          </w:p>
        </w:tc>
        <w:tc>
          <w:tcPr>
            <w:tcW w:w="553" w:type="pct"/>
          </w:tcPr>
          <w:p w14:paraId="5F306DF3">
            <w:pPr>
              <w:spacing w:line="240" w:lineRule="auto"/>
              <w:rPr>
                <w:rFonts w:hint="eastAsia" w:ascii="仿宋_GB2312" w:hAnsi="仿宋_GB2312" w:eastAsia="仿宋_GB2312" w:cs="仿宋_GB2312"/>
                <w:bCs/>
                <w:color w:val="auto"/>
                <w:sz w:val="24"/>
                <w:highlight w:val="none"/>
              </w:rPr>
            </w:pPr>
          </w:p>
        </w:tc>
      </w:tr>
      <w:tr w14:paraId="5E26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68F09229">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工作</w:t>
            </w:r>
          </w:p>
          <w:p w14:paraId="13F48C44">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态度</w:t>
            </w:r>
          </w:p>
        </w:tc>
        <w:tc>
          <w:tcPr>
            <w:tcW w:w="668" w:type="pct"/>
            <w:vAlign w:val="center"/>
          </w:tcPr>
          <w:p w14:paraId="637C9818">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10</w:t>
            </w:r>
            <w:r>
              <w:rPr>
                <w:rFonts w:hint="eastAsia" w:ascii="仿宋_GB2312" w:hAnsi="仿宋_GB2312" w:eastAsia="仿宋_GB2312" w:cs="仿宋_GB2312"/>
                <w:color w:val="auto"/>
                <w:sz w:val="24"/>
                <w:highlight w:val="none"/>
              </w:rPr>
              <w:t>%</w:t>
            </w:r>
          </w:p>
          <w:p w14:paraId="72A1FF9B">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10</w:t>
            </w:r>
            <w:r>
              <w:rPr>
                <w:rFonts w:hint="eastAsia" w:ascii="仿宋_GB2312" w:hAnsi="仿宋_GB2312" w:eastAsia="仿宋_GB2312" w:cs="仿宋_GB2312"/>
                <w:color w:val="auto"/>
                <w:sz w:val="24"/>
                <w:highlight w:val="none"/>
              </w:rPr>
              <w:t>分）</w:t>
            </w:r>
          </w:p>
        </w:tc>
        <w:tc>
          <w:tcPr>
            <w:tcW w:w="2431" w:type="pct"/>
          </w:tcPr>
          <w:p w14:paraId="33AE77D7">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1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①</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color w:val="auto"/>
                <w:sz w:val="24"/>
                <w:highlight w:val="none"/>
                <w:lang w:eastAsia="zh-CN"/>
              </w:rPr>
              <w:t>工作热情主动，能够主动思考问题，</w:t>
            </w:r>
            <w:r>
              <w:rPr>
                <w:rFonts w:hint="eastAsia" w:ascii="仿宋_GB2312" w:hAnsi="仿宋_GB2312" w:eastAsia="仿宋_GB2312" w:cs="仿宋_GB2312"/>
                <w:color w:val="auto"/>
                <w:sz w:val="24"/>
                <w:highlight w:val="none"/>
              </w:rPr>
              <w:t>主动提出解决办法</w:t>
            </w:r>
            <w:r>
              <w:rPr>
                <w:rFonts w:hint="eastAsia" w:ascii="仿宋_GB2312" w:hAnsi="仿宋_GB2312" w:eastAsia="仿宋_GB2312" w:cs="仿宋_GB2312"/>
                <w:color w:val="auto"/>
                <w:sz w:val="24"/>
                <w:highlight w:val="none"/>
                <w:lang w:eastAsia="zh-CN"/>
              </w:rPr>
              <w:t>与</w:t>
            </w:r>
            <w:r>
              <w:rPr>
                <w:rFonts w:hint="eastAsia" w:ascii="仿宋_GB2312" w:hAnsi="仿宋_GB2312" w:eastAsia="仿宋_GB2312" w:cs="仿宋_GB2312"/>
                <w:color w:val="auto"/>
                <w:sz w:val="24"/>
                <w:highlight w:val="none"/>
              </w:rPr>
              <w:t>改进措施，积极承担力所能及工作的，得</w:t>
            </w:r>
            <w:r>
              <w:rPr>
                <w:rFonts w:hint="eastAsia" w:ascii="仿宋_GB2312" w:hAnsi="仿宋_GB2312" w:eastAsia="仿宋_GB2312" w:cs="仿宋_GB2312"/>
                <w:color w:val="auto"/>
                <w:sz w:val="24"/>
                <w:highlight w:val="none"/>
                <w:lang w:val="en-US" w:eastAsia="zh-CN"/>
              </w:rPr>
              <w:t>10</w:t>
            </w:r>
            <w:r>
              <w:rPr>
                <w:rFonts w:hint="eastAsia" w:ascii="仿宋_GB2312" w:hAnsi="仿宋_GB2312" w:eastAsia="仿宋_GB2312" w:cs="仿宋_GB2312"/>
                <w:color w:val="auto"/>
                <w:sz w:val="24"/>
                <w:highlight w:val="none"/>
              </w:rPr>
              <w:t>分；</w:t>
            </w:r>
          </w:p>
          <w:p w14:paraId="6556868A">
            <w:pPr>
              <w:spacing w:line="240" w:lineRule="auto"/>
              <w:ind w:firstLine="480" w:firstLineChars="200"/>
              <w:rPr>
                <w:rFonts w:hint="eastAsia" w:ascii="仿宋_GB2312" w:hAnsi="仿宋_GB2312" w:eastAsia="仿宋_GB2312" w:cs="仿宋_GB2312"/>
                <w:lang w:eastAsia="zh-CN"/>
              </w:rPr>
            </w:pP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2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②</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color w:val="auto"/>
                <w:sz w:val="24"/>
                <w:highlight w:val="none"/>
                <w:lang w:eastAsia="zh-CN"/>
              </w:rPr>
              <w:t>责任意识欠缺，存在推诿自身工作责任情形的，每次扣</w:t>
            </w:r>
            <w:r>
              <w:rPr>
                <w:rFonts w:hint="eastAsia" w:ascii="仿宋_GB2312" w:hAnsi="仿宋_GB2312" w:eastAsia="仿宋_GB2312" w:cs="仿宋_GB2312"/>
                <w:color w:val="auto"/>
                <w:sz w:val="24"/>
                <w:highlight w:val="none"/>
                <w:lang w:val="en-US" w:eastAsia="zh-CN"/>
              </w:rPr>
              <w:t>2</w:t>
            </w:r>
            <w:r>
              <w:rPr>
                <w:rFonts w:hint="eastAsia" w:ascii="仿宋_GB2312" w:hAnsi="仿宋_GB2312" w:eastAsia="仿宋_GB2312" w:cs="仿宋_GB2312"/>
                <w:color w:val="auto"/>
                <w:sz w:val="24"/>
                <w:highlight w:val="none"/>
                <w:lang w:eastAsia="zh-CN"/>
              </w:rPr>
              <w:t>分；</w:t>
            </w:r>
          </w:p>
          <w:p w14:paraId="0AF84919">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3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③</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color w:val="auto"/>
                <w:sz w:val="24"/>
                <w:highlight w:val="none"/>
              </w:rPr>
              <w:t>违反医院各项管理制度，</w:t>
            </w:r>
            <w:r>
              <w:rPr>
                <w:rFonts w:hint="eastAsia" w:ascii="仿宋_GB2312" w:hAnsi="仿宋_GB2312" w:eastAsia="仿宋_GB2312" w:cs="仿宋_GB2312"/>
                <w:color w:val="auto"/>
                <w:sz w:val="24"/>
                <w:highlight w:val="none"/>
                <w:lang w:eastAsia="zh-CN"/>
              </w:rPr>
              <w:t>未遵守医院行为规范要求的，</w:t>
            </w:r>
            <w:r>
              <w:rPr>
                <w:rFonts w:hint="eastAsia" w:ascii="仿宋_GB2312" w:hAnsi="仿宋_GB2312" w:eastAsia="仿宋_GB2312" w:cs="仿宋_GB2312"/>
                <w:color w:val="auto"/>
                <w:sz w:val="24"/>
                <w:highlight w:val="none"/>
              </w:rPr>
              <w:t>每次扣5分。</w:t>
            </w:r>
          </w:p>
        </w:tc>
        <w:tc>
          <w:tcPr>
            <w:tcW w:w="595" w:type="pct"/>
          </w:tcPr>
          <w:p w14:paraId="7157E43E">
            <w:pPr>
              <w:spacing w:line="240" w:lineRule="auto"/>
              <w:rPr>
                <w:rFonts w:hint="eastAsia" w:ascii="仿宋_GB2312" w:hAnsi="仿宋_GB2312" w:eastAsia="仿宋_GB2312" w:cs="仿宋_GB2312"/>
                <w:color w:val="auto"/>
                <w:sz w:val="24"/>
                <w:highlight w:val="none"/>
              </w:rPr>
            </w:pPr>
          </w:p>
        </w:tc>
        <w:tc>
          <w:tcPr>
            <w:tcW w:w="553" w:type="pct"/>
          </w:tcPr>
          <w:p w14:paraId="66512306">
            <w:pPr>
              <w:spacing w:line="240" w:lineRule="auto"/>
              <w:rPr>
                <w:rFonts w:hint="eastAsia" w:ascii="仿宋_GB2312" w:hAnsi="仿宋_GB2312" w:eastAsia="仿宋_GB2312" w:cs="仿宋_GB2312"/>
                <w:color w:val="auto"/>
                <w:sz w:val="24"/>
                <w:highlight w:val="none"/>
              </w:rPr>
            </w:pPr>
          </w:p>
        </w:tc>
      </w:tr>
      <w:tr w14:paraId="5218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384F13EB">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工作</w:t>
            </w:r>
          </w:p>
          <w:p w14:paraId="7FDC9EC0">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能力</w:t>
            </w:r>
          </w:p>
        </w:tc>
        <w:tc>
          <w:tcPr>
            <w:tcW w:w="668" w:type="pct"/>
            <w:vAlign w:val="center"/>
          </w:tcPr>
          <w:p w14:paraId="0DE4E0F3">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10</w:t>
            </w:r>
            <w:r>
              <w:rPr>
                <w:rFonts w:hint="eastAsia" w:ascii="仿宋_GB2312" w:hAnsi="仿宋_GB2312" w:eastAsia="仿宋_GB2312" w:cs="仿宋_GB2312"/>
                <w:color w:val="auto"/>
                <w:sz w:val="24"/>
                <w:highlight w:val="none"/>
              </w:rPr>
              <w:t>%</w:t>
            </w:r>
          </w:p>
          <w:p w14:paraId="49216FC3">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10</w:t>
            </w:r>
            <w:r>
              <w:rPr>
                <w:rFonts w:hint="eastAsia" w:ascii="仿宋_GB2312" w:hAnsi="仿宋_GB2312" w:eastAsia="仿宋_GB2312" w:cs="仿宋_GB2312"/>
                <w:color w:val="auto"/>
                <w:sz w:val="24"/>
                <w:highlight w:val="none"/>
              </w:rPr>
              <w:t>分）</w:t>
            </w:r>
          </w:p>
        </w:tc>
        <w:tc>
          <w:tcPr>
            <w:tcW w:w="2431" w:type="pct"/>
          </w:tcPr>
          <w:p w14:paraId="7004A78D">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该项工作内容按以下</w:t>
            </w:r>
            <w:r>
              <w:rPr>
                <w:rFonts w:hint="eastAsia" w:ascii="仿宋_GB2312" w:hAnsi="仿宋_GB2312" w:eastAsia="仿宋_GB2312" w:cs="仿宋_GB2312"/>
                <w:color w:val="auto"/>
                <w:sz w:val="24"/>
                <w:highlight w:val="none"/>
                <w:lang w:eastAsia="zh-CN"/>
              </w:rPr>
              <w:t>四个</w:t>
            </w:r>
            <w:r>
              <w:rPr>
                <w:rFonts w:hint="eastAsia" w:ascii="仿宋_GB2312" w:hAnsi="仿宋_GB2312" w:eastAsia="仿宋_GB2312" w:cs="仿宋_GB2312"/>
                <w:color w:val="auto"/>
                <w:sz w:val="24"/>
                <w:highlight w:val="none"/>
              </w:rPr>
              <w:t>梯度评分：</w:t>
            </w:r>
          </w:p>
          <w:p w14:paraId="349A140D">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①</w:t>
            </w:r>
            <w:r>
              <w:rPr>
                <w:rFonts w:hint="eastAsia" w:ascii="仿宋_GB2312" w:hAnsi="仿宋_GB2312" w:eastAsia="仿宋_GB2312" w:cs="仿宋_GB2312"/>
                <w:color w:val="auto"/>
                <w:sz w:val="24"/>
                <w:highlight w:val="none"/>
                <w:lang w:val="en-US" w:eastAsia="zh-CN"/>
              </w:rPr>
              <w:t>轨道物流系统</w:t>
            </w:r>
            <w:r>
              <w:rPr>
                <w:rFonts w:hint="eastAsia" w:ascii="仿宋_GB2312" w:hAnsi="仿宋_GB2312" w:eastAsia="仿宋_GB2312" w:cs="仿宋_GB2312"/>
                <w:color w:val="auto"/>
                <w:sz w:val="24"/>
                <w:highlight w:val="none"/>
              </w:rPr>
              <w:t>相关知识广博，具备扎实的本岗位专业知识，熟练掌握本职工作的技术技巧，经验丰富得</w:t>
            </w:r>
            <w:r>
              <w:rPr>
                <w:rFonts w:hint="eastAsia" w:ascii="仿宋_GB2312" w:hAnsi="仿宋_GB2312" w:eastAsia="仿宋_GB2312" w:cs="仿宋_GB2312"/>
                <w:color w:val="auto"/>
                <w:sz w:val="24"/>
                <w:highlight w:val="none"/>
                <w:lang w:val="en-US" w:eastAsia="zh-CN"/>
              </w:rPr>
              <w:t>10</w:t>
            </w:r>
            <w:r>
              <w:rPr>
                <w:rFonts w:hint="eastAsia" w:ascii="仿宋_GB2312" w:hAnsi="仿宋_GB2312" w:eastAsia="仿宋_GB2312" w:cs="仿宋_GB2312"/>
                <w:color w:val="auto"/>
                <w:sz w:val="24"/>
                <w:highlight w:val="none"/>
              </w:rPr>
              <w:t>分；</w:t>
            </w:r>
          </w:p>
          <w:p w14:paraId="137C2A3C">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②</w:t>
            </w:r>
            <w:r>
              <w:rPr>
                <w:rFonts w:hint="eastAsia" w:ascii="仿宋_GB2312" w:hAnsi="仿宋_GB2312" w:eastAsia="仿宋_GB2312" w:cs="仿宋_GB2312"/>
                <w:color w:val="auto"/>
                <w:sz w:val="24"/>
                <w:highlight w:val="none"/>
              </w:rPr>
              <w:t>熟悉</w:t>
            </w:r>
            <w:r>
              <w:rPr>
                <w:rFonts w:hint="eastAsia" w:ascii="仿宋_GB2312" w:hAnsi="仿宋_GB2312" w:eastAsia="仿宋_GB2312" w:cs="仿宋_GB2312"/>
                <w:color w:val="auto"/>
                <w:sz w:val="24"/>
                <w:highlight w:val="none"/>
                <w:lang w:val="en-US" w:eastAsia="zh-CN"/>
              </w:rPr>
              <w:t>轨道物流系统</w:t>
            </w:r>
            <w:r>
              <w:rPr>
                <w:rFonts w:hint="eastAsia" w:ascii="仿宋_GB2312" w:hAnsi="仿宋_GB2312" w:eastAsia="仿宋_GB2312" w:cs="仿宋_GB2312"/>
                <w:color w:val="auto"/>
                <w:sz w:val="24"/>
                <w:highlight w:val="none"/>
              </w:rPr>
              <w:t>相关知识，具备</w:t>
            </w:r>
            <w:r>
              <w:rPr>
                <w:rFonts w:hint="eastAsia" w:ascii="仿宋_GB2312" w:hAnsi="仿宋_GB2312" w:eastAsia="仿宋_GB2312" w:cs="仿宋_GB2312"/>
                <w:color w:val="auto"/>
                <w:sz w:val="24"/>
                <w:highlight w:val="none"/>
                <w:lang w:eastAsia="zh-CN"/>
              </w:rPr>
              <w:t>较为</w:t>
            </w:r>
            <w:r>
              <w:rPr>
                <w:rFonts w:hint="eastAsia" w:ascii="仿宋_GB2312" w:hAnsi="仿宋_GB2312" w:eastAsia="仿宋_GB2312" w:cs="仿宋_GB2312"/>
                <w:color w:val="auto"/>
                <w:sz w:val="24"/>
                <w:highlight w:val="none"/>
              </w:rPr>
              <w:t>充实的本岗位专业知识，掌握本职工作的技术技巧，经验</w:t>
            </w:r>
            <w:r>
              <w:rPr>
                <w:rFonts w:hint="eastAsia" w:ascii="仿宋_GB2312" w:hAnsi="仿宋_GB2312" w:eastAsia="仿宋_GB2312" w:cs="仿宋_GB2312"/>
                <w:color w:val="auto"/>
                <w:sz w:val="24"/>
                <w:highlight w:val="none"/>
                <w:lang w:eastAsia="zh-CN"/>
              </w:rPr>
              <w:t>较为</w:t>
            </w:r>
            <w:r>
              <w:rPr>
                <w:rFonts w:hint="eastAsia" w:ascii="仿宋_GB2312" w:hAnsi="仿宋_GB2312" w:eastAsia="仿宋_GB2312" w:cs="仿宋_GB2312"/>
                <w:color w:val="auto"/>
                <w:sz w:val="24"/>
                <w:highlight w:val="none"/>
              </w:rPr>
              <w:t>丰富得</w:t>
            </w:r>
            <w:r>
              <w:rPr>
                <w:rFonts w:hint="eastAsia" w:ascii="仿宋_GB2312" w:hAnsi="仿宋_GB2312" w:eastAsia="仿宋_GB2312" w:cs="仿宋_GB2312"/>
                <w:color w:val="auto"/>
                <w:sz w:val="24"/>
                <w:highlight w:val="none"/>
                <w:lang w:val="en-US" w:eastAsia="zh-CN"/>
              </w:rPr>
              <w:t>8</w:t>
            </w:r>
            <w:r>
              <w:rPr>
                <w:rFonts w:hint="eastAsia" w:ascii="仿宋_GB2312" w:hAnsi="仿宋_GB2312" w:eastAsia="仿宋_GB2312" w:cs="仿宋_GB2312"/>
                <w:color w:val="auto"/>
                <w:sz w:val="24"/>
                <w:highlight w:val="none"/>
              </w:rPr>
              <w:t>分；</w:t>
            </w:r>
          </w:p>
          <w:p w14:paraId="300043B9">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③</w:t>
            </w:r>
            <w:r>
              <w:rPr>
                <w:rFonts w:hint="eastAsia" w:ascii="仿宋_GB2312" w:hAnsi="仿宋_GB2312" w:eastAsia="仿宋_GB2312" w:cs="仿宋_GB2312"/>
                <w:color w:val="auto"/>
                <w:sz w:val="24"/>
                <w:highlight w:val="none"/>
              </w:rPr>
              <w:t>具备本岗位专业知识，对</w:t>
            </w:r>
            <w:r>
              <w:rPr>
                <w:rFonts w:hint="eastAsia" w:ascii="仿宋_GB2312" w:hAnsi="仿宋_GB2312" w:eastAsia="仿宋_GB2312" w:cs="仿宋_GB2312"/>
                <w:color w:val="auto"/>
                <w:sz w:val="24"/>
                <w:highlight w:val="none"/>
                <w:lang w:val="en-US" w:eastAsia="zh-CN"/>
              </w:rPr>
              <w:t>轨道物流系统</w:t>
            </w:r>
            <w:r>
              <w:rPr>
                <w:rFonts w:hint="eastAsia" w:ascii="仿宋_GB2312" w:hAnsi="仿宋_GB2312" w:eastAsia="仿宋_GB2312" w:cs="仿宋_GB2312"/>
                <w:color w:val="auto"/>
                <w:sz w:val="24"/>
                <w:highlight w:val="none"/>
              </w:rPr>
              <w:t>相关知识有一定了解，</w:t>
            </w:r>
            <w:r>
              <w:rPr>
                <w:rFonts w:hint="eastAsia" w:ascii="仿宋_GB2312" w:hAnsi="仿宋_GB2312" w:eastAsia="仿宋_GB2312" w:cs="仿宋_GB2312"/>
                <w:color w:val="auto"/>
                <w:sz w:val="24"/>
                <w:highlight w:val="none"/>
                <w:lang w:eastAsia="zh-CN"/>
              </w:rPr>
              <w:t>基本掌握本职工作的技术技巧，岗位专业知识储备有限，</w:t>
            </w:r>
            <w:r>
              <w:rPr>
                <w:rFonts w:hint="eastAsia" w:ascii="仿宋_GB2312" w:hAnsi="仿宋_GB2312" w:eastAsia="仿宋_GB2312" w:cs="仿宋_GB2312"/>
                <w:color w:val="auto"/>
                <w:sz w:val="24"/>
                <w:highlight w:val="none"/>
              </w:rPr>
              <w:t>对相关知识</w:t>
            </w:r>
            <w:r>
              <w:rPr>
                <w:rFonts w:hint="eastAsia" w:ascii="仿宋_GB2312" w:hAnsi="仿宋_GB2312" w:eastAsia="仿宋_GB2312" w:cs="仿宋_GB2312"/>
                <w:color w:val="auto"/>
                <w:sz w:val="24"/>
                <w:highlight w:val="none"/>
                <w:lang w:eastAsia="zh-CN"/>
              </w:rPr>
              <w:t>掌握</w:t>
            </w:r>
            <w:r>
              <w:rPr>
                <w:rFonts w:hint="eastAsia" w:ascii="仿宋_GB2312" w:hAnsi="仿宋_GB2312" w:eastAsia="仿宋_GB2312" w:cs="仿宋_GB2312"/>
                <w:color w:val="auto"/>
                <w:sz w:val="24"/>
                <w:highlight w:val="none"/>
              </w:rPr>
              <w:t>不够</w:t>
            </w:r>
            <w:r>
              <w:rPr>
                <w:rFonts w:hint="eastAsia" w:ascii="仿宋_GB2312" w:hAnsi="仿宋_GB2312" w:eastAsia="仿宋_GB2312" w:cs="仿宋_GB2312"/>
                <w:color w:val="auto"/>
                <w:sz w:val="24"/>
                <w:highlight w:val="none"/>
                <w:lang w:eastAsia="zh-CN"/>
              </w:rPr>
              <w:t>深入</w:t>
            </w:r>
            <w:r>
              <w:rPr>
                <w:rFonts w:hint="eastAsia" w:ascii="仿宋_GB2312" w:hAnsi="仿宋_GB2312" w:eastAsia="仿宋_GB2312" w:cs="仿宋_GB2312"/>
                <w:color w:val="auto"/>
                <w:sz w:val="24"/>
                <w:highlight w:val="none"/>
              </w:rPr>
              <w:t>得</w:t>
            </w:r>
            <w:r>
              <w:rPr>
                <w:rFonts w:hint="eastAsia" w:ascii="仿宋_GB2312" w:hAnsi="仿宋_GB2312" w:eastAsia="仿宋_GB2312" w:cs="仿宋_GB2312"/>
                <w:color w:val="auto"/>
                <w:sz w:val="24"/>
                <w:highlight w:val="none"/>
                <w:lang w:val="en-US" w:eastAsia="zh-CN"/>
              </w:rPr>
              <w:t>6</w:t>
            </w:r>
            <w:r>
              <w:rPr>
                <w:rFonts w:hint="eastAsia" w:ascii="仿宋_GB2312" w:hAnsi="仿宋_GB2312" w:eastAsia="仿宋_GB2312" w:cs="仿宋_GB2312"/>
                <w:color w:val="auto"/>
                <w:sz w:val="24"/>
                <w:highlight w:val="none"/>
              </w:rPr>
              <w:t>分；</w:t>
            </w:r>
          </w:p>
          <w:p w14:paraId="57CE7811">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④</w:t>
            </w:r>
            <w:r>
              <w:rPr>
                <w:rFonts w:hint="eastAsia" w:ascii="仿宋_GB2312" w:hAnsi="仿宋_GB2312" w:eastAsia="仿宋_GB2312" w:cs="仿宋_GB2312"/>
                <w:color w:val="auto"/>
                <w:sz w:val="24"/>
                <w:highlight w:val="none"/>
              </w:rPr>
              <w:t>尚未全面掌握本专业知识，</w:t>
            </w:r>
            <w:r>
              <w:rPr>
                <w:rFonts w:hint="eastAsia" w:ascii="仿宋_GB2312" w:hAnsi="仿宋_GB2312" w:eastAsia="仿宋_GB2312" w:cs="仿宋_GB2312"/>
                <w:color w:val="auto"/>
                <w:sz w:val="24"/>
                <w:highlight w:val="none"/>
                <w:lang w:eastAsia="zh-CN"/>
              </w:rPr>
              <w:t>工作</w:t>
            </w:r>
            <w:r>
              <w:rPr>
                <w:rFonts w:hint="eastAsia" w:ascii="仿宋_GB2312" w:hAnsi="仿宋_GB2312" w:eastAsia="仿宋_GB2312" w:cs="仿宋_GB2312"/>
                <w:color w:val="auto"/>
                <w:sz w:val="24"/>
                <w:highlight w:val="none"/>
              </w:rPr>
              <w:t>经验不足得</w:t>
            </w:r>
            <w:r>
              <w:rPr>
                <w:rFonts w:hint="eastAsia" w:ascii="仿宋_GB2312" w:hAnsi="仿宋_GB2312" w:eastAsia="仿宋_GB2312" w:cs="仿宋_GB2312"/>
                <w:color w:val="auto"/>
                <w:sz w:val="24"/>
                <w:highlight w:val="none"/>
                <w:lang w:val="en-US" w:eastAsia="zh-CN"/>
              </w:rPr>
              <w:t>4</w:t>
            </w:r>
            <w:r>
              <w:rPr>
                <w:rFonts w:hint="eastAsia" w:ascii="仿宋_GB2312" w:hAnsi="仿宋_GB2312" w:eastAsia="仿宋_GB2312" w:cs="仿宋_GB2312"/>
                <w:color w:val="auto"/>
                <w:sz w:val="24"/>
                <w:highlight w:val="none"/>
              </w:rPr>
              <w:t>分。</w:t>
            </w:r>
          </w:p>
        </w:tc>
        <w:tc>
          <w:tcPr>
            <w:tcW w:w="595" w:type="pct"/>
          </w:tcPr>
          <w:p w14:paraId="7AD25442">
            <w:pPr>
              <w:spacing w:line="240" w:lineRule="auto"/>
              <w:rPr>
                <w:rFonts w:hint="eastAsia" w:ascii="仿宋_GB2312" w:hAnsi="仿宋_GB2312" w:eastAsia="仿宋_GB2312" w:cs="仿宋_GB2312"/>
                <w:color w:val="auto"/>
                <w:sz w:val="24"/>
                <w:highlight w:val="none"/>
              </w:rPr>
            </w:pPr>
          </w:p>
        </w:tc>
        <w:tc>
          <w:tcPr>
            <w:tcW w:w="553" w:type="pct"/>
          </w:tcPr>
          <w:p w14:paraId="76E1C461">
            <w:pPr>
              <w:spacing w:line="240" w:lineRule="auto"/>
              <w:rPr>
                <w:rFonts w:hint="eastAsia" w:ascii="仿宋_GB2312" w:hAnsi="仿宋_GB2312" w:eastAsia="仿宋_GB2312" w:cs="仿宋_GB2312"/>
                <w:color w:val="auto"/>
                <w:sz w:val="24"/>
                <w:highlight w:val="none"/>
              </w:rPr>
            </w:pPr>
          </w:p>
        </w:tc>
      </w:tr>
      <w:tr w14:paraId="7263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pct"/>
            <w:vAlign w:val="center"/>
          </w:tcPr>
          <w:p w14:paraId="4E864F85">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仪容</w:t>
            </w:r>
          </w:p>
          <w:p w14:paraId="416EAB69">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仪表</w:t>
            </w:r>
          </w:p>
        </w:tc>
        <w:tc>
          <w:tcPr>
            <w:tcW w:w="668" w:type="pct"/>
            <w:vAlign w:val="center"/>
          </w:tcPr>
          <w:p w14:paraId="41B0CE35">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w:t>
            </w:r>
          </w:p>
          <w:p w14:paraId="2F29E8D9">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分）</w:t>
            </w:r>
          </w:p>
        </w:tc>
        <w:tc>
          <w:tcPr>
            <w:tcW w:w="2431" w:type="pct"/>
          </w:tcPr>
          <w:p w14:paraId="4067BABD">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1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①</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color w:val="auto"/>
                <w:sz w:val="24"/>
                <w:highlight w:val="none"/>
              </w:rPr>
              <w:t>着装、仪容仪表</w:t>
            </w:r>
            <w:r>
              <w:rPr>
                <w:rFonts w:hint="eastAsia" w:ascii="仿宋_GB2312" w:hAnsi="仿宋_GB2312" w:eastAsia="仿宋_GB2312" w:cs="仿宋_GB2312"/>
                <w:color w:val="auto"/>
                <w:sz w:val="24"/>
                <w:highlight w:val="none"/>
                <w:lang w:eastAsia="zh-CN"/>
              </w:rPr>
              <w:t>与</w:t>
            </w:r>
            <w:r>
              <w:rPr>
                <w:rFonts w:hint="eastAsia" w:ascii="仿宋_GB2312" w:hAnsi="仿宋_GB2312" w:eastAsia="仿宋_GB2312" w:cs="仿宋_GB2312"/>
                <w:color w:val="auto"/>
                <w:sz w:val="24"/>
                <w:highlight w:val="none"/>
              </w:rPr>
              <w:t>行为符合医院要求，用语文明</w:t>
            </w:r>
            <w:r>
              <w:rPr>
                <w:rFonts w:hint="eastAsia" w:ascii="仿宋_GB2312" w:hAnsi="仿宋_GB2312" w:eastAsia="仿宋_GB2312" w:cs="仿宋_GB2312"/>
                <w:color w:val="auto"/>
                <w:sz w:val="24"/>
                <w:highlight w:val="none"/>
                <w:lang w:eastAsia="zh-CN"/>
              </w:rPr>
              <w:t>规范</w:t>
            </w:r>
            <w:r>
              <w:rPr>
                <w:rFonts w:hint="eastAsia" w:ascii="仿宋_GB2312" w:hAnsi="仿宋_GB2312" w:eastAsia="仿宋_GB2312" w:cs="仿宋_GB2312"/>
                <w:color w:val="auto"/>
                <w:sz w:val="24"/>
                <w:highlight w:val="none"/>
              </w:rPr>
              <w:t>的，得</w:t>
            </w:r>
            <w:r>
              <w:rPr>
                <w:rFonts w:hint="eastAsia" w:ascii="仿宋_GB2312" w:hAnsi="仿宋_GB2312" w:eastAsia="仿宋_GB2312" w:cs="仿宋_GB2312"/>
                <w:color w:val="auto"/>
                <w:sz w:val="24"/>
                <w:highlight w:val="none"/>
                <w:lang w:val="en-US" w:eastAsia="zh-CN"/>
              </w:rPr>
              <w:t>5</w:t>
            </w:r>
            <w:r>
              <w:rPr>
                <w:rFonts w:hint="eastAsia" w:ascii="仿宋_GB2312" w:hAnsi="仿宋_GB2312" w:eastAsia="仿宋_GB2312" w:cs="仿宋_GB2312"/>
                <w:color w:val="auto"/>
                <w:sz w:val="24"/>
                <w:highlight w:val="none"/>
              </w:rPr>
              <w:t>分；</w:t>
            </w:r>
          </w:p>
          <w:p w14:paraId="193764B7">
            <w:pPr>
              <w:spacing w:line="240" w:lineRule="auto"/>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fldChar w:fldCharType="begin"/>
            </w:r>
            <w:r>
              <w:rPr>
                <w:rFonts w:hint="eastAsia" w:ascii="仿宋_GB2312" w:hAnsi="仿宋_GB2312" w:eastAsia="仿宋_GB2312" w:cs="仿宋_GB2312"/>
                <w:color w:val="auto"/>
                <w:sz w:val="24"/>
                <w:highlight w:val="none"/>
              </w:rPr>
              <w:instrText xml:space="preserve"> = 2 \* GB3 </w:instrText>
            </w:r>
            <w:r>
              <w:rPr>
                <w:rFonts w:hint="eastAsia" w:ascii="仿宋_GB2312" w:hAnsi="仿宋_GB2312" w:eastAsia="仿宋_GB2312" w:cs="仿宋_GB2312"/>
                <w:color w:val="auto"/>
                <w:sz w:val="24"/>
                <w:highlight w:val="none"/>
              </w:rPr>
              <w:fldChar w:fldCharType="separate"/>
            </w:r>
            <w:r>
              <w:rPr>
                <w:rFonts w:hint="eastAsia" w:ascii="仿宋_GB2312" w:hAnsi="仿宋_GB2312" w:eastAsia="仿宋_GB2312" w:cs="仿宋_GB2312"/>
                <w:color w:val="auto"/>
                <w:sz w:val="24"/>
                <w:highlight w:val="none"/>
              </w:rPr>
              <w:t>②</w:t>
            </w:r>
            <w:r>
              <w:rPr>
                <w:rFonts w:hint="eastAsia" w:ascii="仿宋_GB2312" w:hAnsi="仿宋_GB2312" w:eastAsia="仿宋_GB2312" w:cs="仿宋_GB2312"/>
                <w:color w:val="auto"/>
                <w:sz w:val="24"/>
                <w:highlight w:val="none"/>
              </w:rPr>
              <w:fldChar w:fldCharType="end"/>
            </w:r>
            <w:r>
              <w:rPr>
                <w:rFonts w:hint="eastAsia" w:ascii="仿宋_GB2312" w:hAnsi="仿宋_GB2312" w:eastAsia="仿宋_GB2312" w:cs="仿宋_GB2312"/>
                <w:color w:val="auto"/>
                <w:sz w:val="24"/>
                <w:highlight w:val="none"/>
              </w:rPr>
              <w:t>违反医院相关管理规定上岗</w:t>
            </w:r>
            <w:r>
              <w:rPr>
                <w:rFonts w:hint="eastAsia" w:ascii="仿宋_GB2312" w:hAnsi="仿宋_GB2312" w:eastAsia="仿宋_GB2312" w:cs="仿宋_GB2312"/>
                <w:color w:val="auto"/>
                <w:sz w:val="24"/>
                <w:highlight w:val="none"/>
                <w:lang w:eastAsia="zh-CN"/>
              </w:rPr>
              <w:t>的</w:t>
            </w:r>
            <w:r>
              <w:rPr>
                <w:rFonts w:hint="eastAsia" w:ascii="仿宋_GB2312" w:hAnsi="仿宋_GB2312" w:eastAsia="仿宋_GB2312" w:cs="仿宋_GB2312"/>
                <w:color w:val="auto"/>
                <w:sz w:val="24"/>
                <w:highlight w:val="none"/>
              </w:rPr>
              <w:t>（如吸烟、着装不规范等），每次扣</w:t>
            </w:r>
            <w:r>
              <w:rPr>
                <w:rFonts w:hint="eastAsia" w:ascii="仿宋_GB2312" w:hAnsi="仿宋_GB2312" w:eastAsia="仿宋_GB2312" w:cs="仿宋_GB2312"/>
                <w:color w:val="auto"/>
                <w:sz w:val="24"/>
                <w:highlight w:val="none"/>
                <w:lang w:val="en-US" w:eastAsia="zh-CN"/>
              </w:rPr>
              <w:t>1</w:t>
            </w:r>
            <w:r>
              <w:rPr>
                <w:rFonts w:hint="eastAsia" w:ascii="仿宋_GB2312" w:hAnsi="仿宋_GB2312" w:eastAsia="仿宋_GB2312" w:cs="仿宋_GB2312"/>
                <w:color w:val="auto"/>
                <w:sz w:val="24"/>
                <w:highlight w:val="none"/>
              </w:rPr>
              <w:t>分。</w:t>
            </w:r>
          </w:p>
        </w:tc>
        <w:tc>
          <w:tcPr>
            <w:tcW w:w="595" w:type="pct"/>
          </w:tcPr>
          <w:p w14:paraId="76D44BCE">
            <w:pPr>
              <w:spacing w:line="240" w:lineRule="auto"/>
              <w:rPr>
                <w:rFonts w:hint="eastAsia" w:ascii="仿宋_GB2312" w:hAnsi="仿宋_GB2312" w:eastAsia="仿宋_GB2312" w:cs="仿宋_GB2312"/>
                <w:color w:val="auto"/>
                <w:sz w:val="24"/>
                <w:highlight w:val="none"/>
              </w:rPr>
            </w:pPr>
          </w:p>
        </w:tc>
        <w:tc>
          <w:tcPr>
            <w:tcW w:w="553" w:type="pct"/>
          </w:tcPr>
          <w:p w14:paraId="51E7A5E6">
            <w:pPr>
              <w:spacing w:line="240" w:lineRule="auto"/>
              <w:rPr>
                <w:rFonts w:hint="eastAsia" w:ascii="仿宋_GB2312" w:hAnsi="仿宋_GB2312" w:eastAsia="仿宋_GB2312" w:cs="仿宋_GB2312"/>
                <w:color w:val="auto"/>
                <w:sz w:val="24"/>
                <w:highlight w:val="none"/>
              </w:rPr>
            </w:pPr>
          </w:p>
        </w:tc>
      </w:tr>
      <w:tr w14:paraId="2393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pct"/>
            <w:gridSpan w:val="2"/>
            <w:vAlign w:val="center"/>
          </w:tcPr>
          <w:p w14:paraId="3242C2DC">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总得分</w:t>
            </w:r>
          </w:p>
          <w:p w14:paraId="752B0C9A">
            <w:pPr>
              <w:spacing w:line="300" w:lineRule="exact"/>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（及格要求：得分≥</w:t>
            </w:r>
            <w:r>
              <w:rPr>
                <w:rFonts w:hint="eastAsia" w:ascii="仿宋_GB2312" w:hAnsi="仿宋_GB2312" w:eastAsia="仿宋_GB2312" w:cs="仿宋_GB2312"/>
                <w:color w:val="auto"/>
                <w:sz w:val="24"/>
                <w:highlight w:val="none"/>
                <w:lang w:val="en-US" w:eastAsia="zh-CN"/>
              </w:rPr>
              <w:t>9</w:t>
            </w:r>
            <w:r>
              <w:rPr>
                <w:rFonts w:hint="eastAsia" w:ascii="仿宋_GB2312" w:hAnsi="仿宋_GB2312" w:eastAsia="仿宋_GB2312" w:cs="仿宋_GB2312"/>
                <w:color w:val="auto"/>
                <w:sz w:val="24"/>
                <w:highlight w:val="none"/>
              </w:rPr>
              <w:t>0分）</w:t>
            </w:r>
          </w:p>
        </w:tc>
        <w:tc>
          <w:tcPr>
            <w:tcW w:w="3580" w:type="pct"/>
            <w:gridSpan w:val="3"/>
          </w:tcPr>
          <w:p w14:paraId="170C9711">
            <w:pPr>
              <w:spacing w:line="240" w:lineRule="auto"/>
              <w:rPr>
                <w:rFonts w:hint="eastAsia" w:ascii="仿宋_GB2312" w:hAnsi="仿宋_GB2312" w:eastAsia="仿宋_GB2312" w:cs="仿宋_GB2312"/>
                <w:color w:val="auto"/>
                <w:sz w:val="24"/>
                <w:highlight w:val="none"/>
              </w:rPr>
            </w:pPr>
          </w:p>
        </w:tc>
      </w:tr>
      <w:tr w14:paraId="1F30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419" w:type="pct"/>
            <w:gridSpan w:val="2"/>
            <w:vAlign w:val="center"/>
          </w:tcPr>
          <w:p w14:paraId="7314E559">
            <w:pPr>
              <w:spacing w:line="30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4"/>
                <w:highlight w:val="none"/>
              </w:rPr>
              <w:t>考核总评</w:t>
            </w:r>
          </w:p>
        </w:tc>
        <w:tc>
          <w:tcPr>
            <w:tcW w:w="3580" w:type="pct"/>
            <w:gridSpan w:val="3"/>
            <w:vAlign w:val="center"/>
          </w:tcPr>
          <w:p w14:paraId="0572F272">
            <w:pPr>
              <w:spacing w:line="300" w:lineRule="exact"/>
              <w:rPr>
                <w:rFonts w:hint="eastAsia" w:ascii="仿宋_GB2312" w:hAnsi="仿宋_GB2312" w:eastAsia="仿宋_GB2312" w:cs="仿宋_GB2312"/>
                <w:color w:val="auto"/>
                <w:sz w:val="24"/>
                <w:highlight w:val="none"/>
              </w:rPr>
            </w:pPr>
          </w:p>
          <w:p w14:paraId="0C9D2CF1">
            <w:pPr>
              <w:rPr>
                <w:rFonts w:hint="eastAsia" w:ascii="仿宋_GB2312" w:hAnsi="仿宋_GB2312" w:eastAsia="仿宋_GB2312" w:cs="仿宋_GB2312"/>
                <w:color w:val="auto"/>
                <w:sz w:val="24"/>
                <w:highlight w:val="none"/>
              </w:rPr>
            </w:pPr>
          </w:p>
          <w:p w14:paraId="7A408A75">
            <w:pPr>
              <w:pStyle w:val="5"/>
              <w:rPr>
                <w:rFonts w:hint="eastAsia" w:ascii="仿宋_GB2312" w:hAnsi="仿宋_GB2312" w:eastAsia="仿宋_GB2312" w:cs="仿宋_GB2312"/>
                <w:color w:val="auto"/>
                <w:sz w:val="24"/>
                <w:highlight w:val="none"/>
              </w:rPr>
            </w:pPr>
          </w:p>
          <w:p w14:paraId="672B2FAF">
            <w:pPr>
              <w:wordWrap w:val="0"/>
              <w:jc w:val="righ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负责人：     </w:t>
            </w:r>
          </w:p>
          <w:p w14:paraId="52D181EC">
            <w:pPr>
              <w:pStyle w:val="5"/>
              <w:wordWrap w:val="0"/>
              <w:jc w:val="righ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4"/>
                <w:highlight w:val="none"/>
              </w:rPr>
              <w:t xml:space="preserve">             年    月     日</w:t>
            </w:r>
          </w:p>
        </w:tc>
      </w:tr>
    </w:tbl>
    <w:p w14:paraId="319D843C">
      <w:pPr>
        <w:rPr>
          <w:color w:val="auto"/>
        </w:rPr>
      </w:pPr>
    </w:p>
    <w:sectPr>
      <w:footerReference r:id="rId3" w:type="default"/>
      <w:pgSz w:w="11906" w:h="16838"/>
      <w:pgMar w:top="1440" w:right="850" w:bottom="1440" w:left="85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F2E3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93E1D">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393E1D">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2AD0B"/>
    <w:multiLevelType w:val="multilevel"/>
    <w:tmpl w:val="3462AD0B"/>
    <w:lvl w:ilvl="0" w:tentative="0">
      <w:start w:val="3"/>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62CB3"/>
    <w:rsid w:val="03A72C13"/>
    <w:rsid w:val="03E23567"/>
    <w:rsid w:val="05791EDF"/>
    <w:rsid w:val="057C552B"/>
    <w:rsid w:val="05816FE5"/>
    <w:rsid w:val="05E8755A"/>
    <w:rsid w:val="06CB676A"/>
    <w:rsid w:val="07C66A6A"/>
    <w:rsid w:val="09D23415"/>
    <w:rsid w:val="0A165F4E"/>
    <w:rsid w:val="0BA13F3D"/>
    <w:rsid w:val="0C51209B"/>
    <w:rsid w:val="0F0526A1"/>
    <w:rsid w:val="0F7F4595"/>
    <w:rsid w:val="0FB57FB7"/>
    <w:rsid w:val="0FB6788B"/>
    <w:rsid w:val="10207B26"/>
    <w:rsid w:val="10602244"/>
    <w:rsid w:val="11EA48C7"/>
    <w:rsid w:val="11EB4770"/>
    <w:rsid w:val="12FB7214"/>
    <w:rsid w:val="1560257A"/>
    <w:rsid w:val="17627AF4"/>
    <w:rsid w:val="17C136AD"/>
    <w:rsid w:val="19395B48"/>
    <w:rsid w:val="1A43628A"/>
    <w:rsid w:val="1D271DC8"/>
    <w:rsid w:val="1E63119C"/>
    <w:rsid w:val="1F6A50E7"/>
    <w:rsid w:val="1FEA2F8D"/>
    <w:rsid w:val="214D699B"/>
    <w:rsid w:val="23B3628C"/>
    <w:rsid w:val="23F4063B"/>
    <w:rsid w:val="2524556B"/>
    <w:rsid w:val="254259F1"/>
    <w:rsid w:val="269C55D5"/>
    <w:rsid w:val="26C02E84"/>
    <w:rsid w:val="27874BAA"/>
    <w:rsid w:val="28ED3202"/>
    <w:rsid w:val="290A66BF"/>
    <w:rsid w:val="2A7725E1"/>
    <w:rsid w:val="2AC7753A"/>
    <w:rsid w:val="2C64513A"/>
    <w:rsid w:val="2EB860B8"/>
    <w:rsid w:val="3380597E"/>
    <w:rsid w:val="353B45DA"/>
    <w:rsid w:val="36266C69"/>
    <w:rsid w:val="37DC1CD5"/>
    <w:rsid w:val="38107BD1"/>
    <w:rsid w:val="39A46823"/>
    <w:rsid w:val="39A6259B"/>
    <w:rsid w:val="39B50A30"/>
    <w:rsid w:val="3A944AE9"/>
    <w:rsid w:val="3D4C5207"/>
    <w:rsid w:val="3D62169D"/>
    <w:rsid w:val="3EDA24E9"/>
    <w:rsid w:val="403D352D"/>
    <w:rsid w:val="404B5B97"/>
    <w:rsid w:val="40FC0CF2"/>
    <w:rsid w:val="417A5466"/>
    <w:rsid w:val="41B9632D"/>
    <w:rsid w:val="42176969"/>
    <w:rsid w:val="4369069C"/>
    <w:rsid w:val="4387343D"/>
    <w:rsid w:val="44D0671E"/>
    <w:rsid w:val="45F36B68"/>
    <w:rsid w:val="4703102D"/>
    <w:rsid w:val="48053449"/>
    <w:rsid w:val="485C53FC"/>
    <w:rsid w:val="4A043AAF"/>
    <w:rsid w:val="4A1470AD"/>
    <w:rsid w:val="4CBE1552"/>
    <w:rsid w:val="4CC44379"/>
    <w:rsid w:val="4D5A74CD"/>
    <w:rsid w:val="4DE56F95"/>
    <w:rsid w:val="4F440434"/>
    <w:rsid w:val="4F5341B6"/>
    <w:rsid w:val="4F7F76BE"/>
    <w:rsid w:val="512322CB"/>
    <w:rsid w:val="527459AA"/>
    <w:rsid w:val="552F7491"/>
    <w:rsid w:val="56186177"/>
    <w:rsid w:val="56554CD5"/>
    <w:rsid w:val="56B24B73"/>
    <w:rsid w:val="59B14FC6"/>
    <w:rsid w:val="5ADE05D0"/>
    <w:rsid w:val="5B2A0AFE"/>
    <w:rsid w:val="5BC76675"/>
    <w:rsid w:val="5C454916"/>
    <w:rsid w:val="5E371164"/>
    <w:rsid w:val="5E693E49"/>
    <w:rsid w:val="5EBF27BB"/>
    <w:rsid w:val="5F7953B4"/>
    <w:rsid w:val="603E4563"/>
    <w:rsid w:val="607E304A"/>
    <w:rsid w:val="60FF065F"/>
    <w:rsid w:val="625C563D"/>
    <w:rsid w:val="6474381A"/>
    <w:rsid w:val="64D875C6"/>
    <w:rsid w:val="64DB6E39"/>
    <w:rsid w:val="65305F49"/>
    <w:rsid w:val="664B39FF"/>
    <w:rsid w:val="66911D59"/>
    <w:rsid w:val="66996E60"/>
    <w:rsid w:val="66B51D11"/>
    <w:rsid w:val="68AD09A1"/>
    <w:rsid w:val="6AF76F31"/>
    <w:rsid w:val="6B1C336D"/>
    <w:rsid w:val="6B6D2669"/>
    <w:rsid w:val="6BCA3618"/>
    <w:rsid w:val="6BD60001"/>
    <w:rsid w:val="6C417D7E"/>
    <w:rsid w:val="6CFA1963"/>
    <w:rsid w:val="6E443B55"/>
    <w:rsid w:val="6EDA0DBE"/>
    <w:rsid w:val="6FAA3E8C"/>
    <w:rsid w:val="70460437"/>
    <w:rsid w:val="729013E0"/>
    <w:rsid w:val="72B26053"/>
    <w:rsid w:val="73104006"/>
    <w:rsid w:val="768C6099"/>
    <w:rsid w:val="771966E6"/>
    <w:rsid w:val="776E7D20"/>
    <w:rsid w:val="77CB499F"/>
    <w:rsid w:val="795F1843"/>
    <w:rsid w:val="7B2D31C9"/>
    <w:rsid w:val="7B38059E"/>
    <w:rsid w:val="7B7516E6"/>
    <w:rsid w:val="7C1E3C37"/>
    <w:rsid w:val="7D0A5F6A"/>
    <w:rsid w:val="7F317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hd w:val="clear" w:color="auto" w:fill="auto"/>
      <w:spacing w:beforeLines="0" w:afterLines="0" w:line="360" w:lineRule="auto"/>
      <w:jc w:val="center"/>
      <w:outlineLvl w:val="0"/>
    </w:pPr>
    <w:rPr>
      <w:rFonts w:ascii="宋体" w:hAnsi="宋体" w:eastAsia="宋体" w:cs="宋体"/>
      <w:b/>
      <w:bCs/>
      <w:color w:val="auto"/>
      <w:kern w:val="44"/>
      <w:sz w:val="36"/>
      <w:szCs w:val="36"/>
      <w:highlight w:val="none"/>
    </w:rPr>
  </w:style>
  <w:style w:type="paragraph" w:styleId="4">
    <w:name w:val="heading 2"/>
    <w:basedOn w:val="1"/>
    <w:next w:val="1"/>
    <w:qFormat/>
    <w:uiPriority w:val="0"/>
    <w:pPr>
      <w:keepNext/>
      <w:keepLines/>
      <w:tabs>
        <w:tab w:val="left" w:pos="576"/>
      </w:tabs>
      <w:spacing w:before="260" w:after="260" w:line="416" w:lineRule="auto"/>
      <w:ind w:left="576" w:hanging="576"/>
      <w:jc w:val="center"/>
      <w:outlineLvl w:val="1"/>
    </w:pPr>
    <w:rPr>
      <w:b/>
      <w:bCs/>
      <w:sz w:val="32"/>
      <w:szCs w:val="32"/>
    </w:rPr>
  </w:style>
  <w:style w:type="paragraph" w:styleId="2">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sz w:val="24"/>
    </w:rPr>
  </w:style>
  <w:style w:type="paragraph" w:styleId="6">
    <w:name w:val="Body Text Indent"/>
    <w:basedOn w:val="1"/>
    <w:qFormat/>
    <w:uiPriority w:val="0"/>
    <w:pPr>
      <w:ind w:firstLine="570"/>
    </w:pPr>
    <w:rPr>
      <w:rFonts w:ascii="宋体" w:hAnsi="宋体"/>
      <w:sz w:val="28"/>
      <w:szCs w:val="20"/>
    </w:rPr>
  </w:style>
  <w:style w:type="paragraph" w:styleId="7">
    <w:name w:val="Plain Text"/>
    <w:basedOn w:val="1"/>
    <w:next w:val="8"/>
    <w:qFormat/>
    <w:uiPriority w:val="0"/>
    <w:pPr>
      <w:spacing w:beforeLines="50" w:afterLines="50" w:line="400" w:lineRule="exact"/>
    </w:pPr>
    <w:rPr>
      <w:rFonts w:ascii="宋体" w:hAnsi="Courier New"/>
    </w:rPr>
  </w:style>
  <w:style w:type="paragraph" w:styleId="8">
    <w:name w:val="Date"/>
    <w:basedOn w:val="1"/>
    <w:next w:val="1"/>
    <w:qFormat/>
    <w:uiPriority w:val="0"/>
    <w:pPr>
      <w:ind w:left="2500" w:leftChars="2500"/>
    </w:pPr>
    <w:rPr>
      <w:rFonts w:eastAsia="楷体_GB2312"/>
      <w:sz w:val="32"/>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6"/>
    <w:basedOn w:val="1"/>
    <w:next w:val="1"/>
    <w:qFormat/>
    <w:uiPriority w:val="0"/>
    <w:pPr>
      <w:ind w:left="1050"/>
      <w:jc w:val="left"/>
    </w:pPr>
    <w:rPr>
      <w:rFonts w:ascii="仿宋_GB2312" w:eastAsia="仿宋_GB2312"/>
      <w:sz w:val="18"/>
      <w:szCs w:val="18"/>
    </w:rPr>
  </w:style>
  <w:style w:type="paragraph" w:styleId="12">
    <w:name w:val="Body Text First Indent"/>
    <w:basedOn w:val="5"/>
    <w:next w:val="1"/>
    <w:qFormat/>
    <w:uiPriority w:val="0"/>
    <w:pPr>
      <w:spacing w:after="120"/>
      <w:ind w:firstLine="420" w:firstLineChars="100"/>
    </w:pPr>
    <w:rPr>
      <w:sz w:val="21"/>
    </w:rPr>
  </w:style>
  <w:style w:type="paragraph" w:styleId="13">
    <w:name w:val="Body Text First Indent 2"/>
    <w:basedOn w:val="6"/>
    <w:qFormat/>
    <w:uiPriority w:val="0"/>
    <w:pPr>
      <w:spacing w:after="120"/>
      <w:ind w:left="420" w:leftChars="200" w:firstLine="21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段"/>
    <w:next w:val="1"/>
    <w:qFormat/>
    <w:uiPriority w:val="0"/>
    <w:pPr>
      <w:autoSpaceDE w:val="0"/>
      <w:autoSpaceDN w:val="0"/>
      <w:ind w:firstLine="200" w:firstLineChars="200"/>
      <w:jc w:val="both"/>
    </w:pPr>
    <w:rPr>
      <w:rFonts w:ascii="宋体" w:hAnsi="Calibri" w:eastAsia="Times New Roman" w:cs="Times New Roman"/>
      <w:sz w:val="21"/>
      <w:lang w:val="en-US" w:eastAsia="zh-CN" w:bidi="ar-SA"/>
    </w:rPr>
  </w:style>
  <w:style w:type="character" w:customStyle="1" w:styleId="18">
    <w:name w:val="font21"/>
    <w:basedOn w:val="16"/>
    <w:qFormat/>
    <w:uiPriority w:val="0"/>
    <w:rPr>
      <w:rFonts w:hint="eastAsia" w:ascii="宋体" w:hAnsi="宋体" w:eastAsia="宋体" w:cs="宋体"/>
      <w:color w:val="000000"/>
      <w:sz w:val="18"/>
      <w:szCs w:val="18"/>
      <w:u w:val="none"/>
    </w:rPr>
  </w:style>
  <w:style w:type="character" w:customStyle="1" w:styleId="19">
    <w:name w:val="font51"/>
    <w:basedOn w:val="16"/>
    <w:qFormat/>
    <w:uiPriority w:val="0"/>
    <w:rPr>
      <w:rFonts w:ascii="Calibri" w:hAnsi="Calibri" w:cs="Calibri"/>
      <w:color w:val="000000"/>
      <w:sz w:val="18"/>
      <w:szCs w:val="18"/>
      <w:u w:val="none"/>
    </w:rPr>
  </w:style>
  <w:style w:type="character" w:customStyle="1" w:styleId="20">
    <w:name w:val="font31"/>
    <w:basedOn w:val="16"/>
    <w:qFormat/>
    <w:uiPriority w:val="0"/>
    <w:rPr>
      <w:rFonts w:hint="eastAsia" w:ascii="宋体" w:hAnsi="宋体" w:eastAsia="宋体" w:cs="宋体"/>
      <w:color w:val="000000"/>
      <w:sz w:val="18"/>
      <w:szCs w:val="18"/>
      <w:u w:val="none"/>
    </w:rPr>
  </w:style>
  <w:style w:type="character" w:customStyle="1" w:styleId="21">
    <w:name w:val="font01"/>
    <w:basedOn w:val="16"/>
    <w:qFormat/>
    <w:uiPriority w:val="0"/>
    <w:rPr>
      <w:rFonts w:hint="eastAsia" w:ascii="宋体" w:hAnsi="宋体" w:eastAsia="宋体" w:cs="宋体"/>
      <w:color w:val="000000"/>
      <w:sz w:val="24"/>
      <w:szCs w:val="24"/>
      <w:u w:val="none"/>
    </w:rPr>
  </w:style>
  <w:style w:type="character" w:customStyle="1" w:styleId="22">
    <w:name w:val="font41"/>
    <w:basedOn w:val="16"/>
    <w:qFormat/>
    <w:uiPriority w:val="0"/>
    <w:rPr>
      <w:rFonts w:hint="eastAsia" w:ascii="宋体" w:hAnsi="宋体" w:eastAsia="宋体" w:cs="宋体"/>
      <w:color w:val="000000"/>
      <w:sz w:val="18"/>
      <w:szCs w:val="18"/>
      <w:u w:val="none"/>
    </w:rPr>
  </w:style>
  <w:style w:type="paragraph" w:customStyle="1" w:styleId="23">
    <w:name w:val="无间隔1"/>
    <w:basedOn w:val="1"/>
    <w:qFormat/>
    <w:uiPriority w:val="1"/>
    <w:pPr>
      <w:spacing w:line="400" w:lineRule="exact"/>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67776ca1-69c5-47ae-972d-f8f19577d221</errorID>
      <errorWord>)</errorWord>
      <group>L1_Format</group>
      <groupName>格式问题</groupName>
      <ability>L2_HalfPunc_CN</ability>
      <abilityName>全半角问题</abilityName>
      <candidateList>
        <item>）</item>
      </candidateList>
      <explain>文本全半角错误。</explain>
      <paraID>7AE8BC1F</paraID>
      <start>36</start>
      <end>37</end>
      <status>unmodified</status>
      <modifiedWord/>
      <trackRevisions>false</trackRevisions>
    </reviewItem>
    <reviewItem>
      <errorID>17116de7-9be8-46b5-a7e9-8b0b6ec5c1fa</errorID>
      <errorWord>移动各</errorWord>
      <group>L1_Word</group>
      <groupName>字词问题</groupName>
      <ability>L2_Typo</ability>
      <abilityName>字词错误</abilityName>
      <candidateList>
        <item>移动</item>
      </candidateList>
      <explain/>
      <paraID>57C78D5F</paraID>
      <start>9</start>
      <end>12</end>
      <status>unmodified</status>
      <modifiedWord/>
      <trackRevisions>false</trackRevisions>
    </reviewItem>
    <reviewItem>
      <errorID>482f2038-21d5-41f7-8ccc-39dde112c2ad</errorID>
      <errorWord>"</errorWord>
      <group>L1_Format</group>
      <groupName>格式问题</groupName>
      <ability>L2_HalfPunc_CN</ability>
      <abilityName>全半角问题</abilityName>
      <candidateList>
        <item>”</item>
      </candidateList>
      <explain>文本全半角错误。</explain>
      <paraID>7A95CEB1</paraID>
      <start>8</start>
      <end>9</end>
      <status>unmodified</status>
      <modifiedWord/>
      <trackRevisions>false</trackRevisions>
    </reviewItem>
    <reviewItem>
      <errorID>0ec28dda-c6cb-4f59-9499-ab238408214e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7A95CEB1</paraID>
      <start>21</start>
      <end>24</end>
      <status>unmodified</status>
      <modifiedWord/>
      <trackRevisions>false</trackRevisions>
    </reviewItem>
    <reviewItem>
      <errorID>d5041e88-e158-4ec2-ab4f-940cc5967f62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7A95CEB1</paraID>
      <start>25</start>
      <end>28</end>
      <status>unmodified</status>
      <modifiedWord/>
      <trackRevisions>false</trackRevisions>
    </reviewItem>
    <reviewItem>
      <errorID>24c2fe81-16bd-4fdf-a7e4-8b869f4472f8</errorID>
      <errorWord>即时</errorWord>
      <group>L1_Word</group>
      <groupName>字词问题</groupName>
      <ability>L2_Typo</ability>
      <abilityName>字词错误</abilityName>
      <candidateList>
        <item>及时</item>
      </candidateList>
      <explain/>
      <paraID>788F3712</paraID>
      <start>45</start>
      <end>47</end>
      <status>unmodified</status>
      <modifiedWord/>
      <trackRevisions>false</trackRevisions>
    </reviewItem>
    <reviewItem>
      <errorID>e0d36d19-a83e-4f16-bce8-42a62a0a049b</errorID>
      <errorWord>程</errorWord>
      <group>L1_Word</group>
      <groupName>字词问题</groupName>
      <ability>L2_Typo</ability>
      <abilityName>字词错误</abilityName>
      <candidateList>
        <item>程中</item>
      </candidateList>
      <explain/>
      <paraID>13782B34</paraID>
      <start>13</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8e761-4414-40d4-8da9-4a8404ab678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6551</Words>
  <Characters>6801</Characters>
  <Lines>0</Lines>
  <Paragraphs>0</Paragraphs>
  <TotalTime>4</TotalTime>
  <ScaleCrop>false</ScaleCrop>
  <LinksUpToDate>false</LinksUpToDate>
  <CharactersWithSpaces>6867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2025-12-19T02:41:00Z</dcterms:created>
  <dc:creator>Administrator</dc:creator>
  <cp:lastModifiedBy>Administrator</cp:lastModifiedBy>
  <dcterms:modified xsi:type="dcterms:W3CDTF">2026-09-23T08:03:20Z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eyJoZGlkIjoiN2Y4YjBjYjZiNGU4ZjcyNmY0MjMzNDEzNDFiZWZhZWYiLCJ1c2VySWQiOiI3MjI3MTUyMzUifQ==</vt:lpwstr>
  </property>
  <property fmtid="{D5CDD505-2E9C-101B-9397-08002B2CF9AE}" pid="4" name="ICV">
    <vt:lpwstr>39C43E2601B640329E590D70D14DBCD7_12</vt:lpwstr>
  </property>
</Properties>
</file>