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DA68C">
      <w:pPr>
        <w:pStyle w:val="12"/>
        <w:ind w:left="0" w:leftChars="0" w:firstLine="0" w:firstLineChars="0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中山大学孙逸仙纪念医院花都院区气动物流2027-2030年维保服务</w:t>
      </w:r>
    </w:p>
    <w:p w14:paraId="3D3F700E">
      <w:pPr>
        <w:pStyle w:val="12"/>
        <w:ind w:left="0" w:leftChars="0" w:firstLine="0" w:firstLineChars="0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项目用户需求书</w:t>
      </w:r>
    </w:p>
    <w:p w14:paraId="46E79DDB">
      <w:pPr>
        <w:pStyle w:val="12"/>
        <w:rPr>
          <w:rFonts w:hint="default"/>
          <w:color w:val="auto"/>
          <w:lang w:val="en-US" w:eastAsia="zh-CN"/>
        </w:rPr>
      </w:pPr>
    </w:p>
    <w:p w14:paraId="1C9E9781">
      <w:pPr>
        <w:snapToGrid w:val="0"/>
        <w:spacing w:line="288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项目概况</w:t>
      </w:r>
    </w:p>
    <w:p w14:paraId="58633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花都院区气动物流系统于2024年底投入使用，共设41个站点，分布于门诊楼与住院楼各楼层，配备传输瓶84个，单个传输瓶最大载重量3KG，设有1个交换中心、4台气动风机，对应4条输送线路。该系统的主要部件，如工作站、传输瓶、基本软件包等均为曼彻彼斯品牌，目前日均发瓶量约660次。</w:t>
      </w:r>
    </w:p>
    <w:p w14:paraId="727E0884">
      <w:pPr>
        <w:pStyle w:val="17"/>
        <w:ind w:left="0" w:leftChars="0" w:firstLine="480" w:firstLineChars="200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本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拟为花都院区现有气动物流系统采购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维保服务，要求提供7*24小时全天候维保服务，服务模式为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全包服务，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由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中标人承担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保障该物流系统正常运行所需的全部费用；采购人除按项目合同约定向中标人支付服务费外，无需支付任何额外费用。</w:t>
      </w:r>
    </w:p>
    <w:p w14:paraId="152947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2.服务期</w:t>
      </w:r>
    </w:p>
    <w:p w14:paraId="7B77F8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服务期为3年，即2027年5月1日至2030年4月30日。</w:t>
      </w:r>
    </w:p>
    <w:p w14:paraId="6C3820B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服务内容</w:t>
      </w:r>
    </w:p>
    <w:p w14:paraId="7DF156F3">
      <w:pPr>
        <w:pStyle w:val="13"/>
        <w:ind w:left="0" w:leftChars="0" w:firstLine="0" w:firstLineChars="0"/>
        <w:rPr>
          <w:rFonts w:hint="default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z w:val="24"/>
          <w:szCs w:val="24"/>
          <w:lang w:val="en-US" w:eastAsia="zh-CN"/>
        </w:rPr>
        <w:t>3.1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中标方需按照</w:t>
      </w:r>
      <w:r>
        <w:rPr>
          <w:rFonts w:hint="eastAsia" w:ascii="仿宋" w:hAnsi="仿宋" w:eastAsia="仿宋"/>
          <w:b w:val="0"/>
          <w:bCs w:val="0"/>
          <w:color w:val="auto"/>
          <w:sz w:val="24"/>
          <w:szCs w:val="24"/>
          <w:lang w:val="en-US" w:eastAsia="zh-CN"/>
        </w:rPr>
        <w:t>定期维护保养服务清单规定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的检查周期与标准，对气动物流系统各类设备的使用及运行状态开展检查与维护，通过检查、紧固、除尘除锈、添加润滑脂、更换易损件、调试、测试等作业，使系统达到既定维护标准，对排查发现的问题与缺陷及时进行维修。</w:t>
      </w:r>
      <w:r>
        <w:rPr>
          <w:rFonts w:hint="eastAsia" w:ascii="仿宋" w:hAnsi="仿宋" w:eastAsia="仿宋"/>
          <w:b w:val="0"/>
          <w:bCs w:val="0"/>
          <w:color w:val="auto"/>
          <w:sz w:val="24"/>
          <w:szCs w:val="24"/>
          <w:lang w:val="en-US" w:eastAsia="zh-CN"/>
        </w:rPr>
        <w:t>定期维护保养服务清单如下：</w:t>
      </w:r>
    </w:p>
    <w:tbl>
      <w:tblPr>
        <w:tblStyle w:val="14"/>
        <w:tblpPr w:leftFromText="181" w:rightFromText="181" w:vertAnchor="text" w:horzAnchor="page" w:tblpX="851" w:tblpY="114"/>
        <w:tblOverlap w:val="never"/>
        <w:tblW w:w="104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5"/>
        <w:gridCol w:w="590"/>
        <w:gridCol w:w="630"/>
        <w:gridCol w:w="530"/>
        <w:gridCol w:w="650"/>
        <w:gridCol w:w="2700"/>
        <w:gridCol w:w="4307"/>
      </w:tblGrid>
      <w:tr w14:paraId="6BC1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4DBCA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部位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35E4F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日</w:t>
            </w: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AA803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周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4C23C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月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D5801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季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37269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维护内容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B886B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维护标准</w:t>
            </w:r>
          </w:p>
        </w:tc>
      </w:tr>
      <w:tr w14:paraId="666FD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A9D2C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站点（41个）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6AB084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50EB8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5BD16A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671568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04211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内、外观检查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199F25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无灰尘，无异物，无损伤，无松动</w:t>
            </w:r>
          </w:p>
        </w:tc>
      </w:tr>
      <w:tr w14:paraId="28B30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2D9A6BD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BD1434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69CE0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C6E850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A8F390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6DD26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收发口检查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DD60A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接收槽、发送筒稳固</w:t>
            </w:r>
          </w:p>
        </w:tc>
      </w:tr>
      <w:tr w14:paraId="17667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1C391A9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38020F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D3EBD7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D2D6B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1D8024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7B66C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控制面板、按键及感应检查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23D961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触控、按键灵敏，感应器灵敏</w:t>
            </w:r>
          </w:p>
        </w:tc>
      </w:tr>
      <w:tr w14:paraId="186D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F36243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BD8443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12629C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AD9BC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613981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6A147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管口密封圈检查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6BE4A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无损伤，无卡顿，无异响，无渗漏</w:t>
            </w:r>
          </w:p>
        </w:tc>
      </w:tr>
      <w:tr w14:paraId="6065B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794B573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FEC9B5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F22EA1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0744B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C28484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0BF91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齿轮检查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BAB02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无缺齿，动作无异响，安装牢固，咬齿准确</w:t>
            </w:r>
          </w:p>
        </w:tc>
      </w:tr>
      <w:tr w14:paraId="59640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DDBDF6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849581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3FEEA1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F4035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3B438E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1E2C4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马达检查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77FA9E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无异响，安装牢固，接线紧固</w:t>
            </w:r>
          </w:p>
        </w:tc>
      </w:tr>
      <w:tr w14:paraId="594FE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031E38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006119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74BE27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7B0B3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137987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8C33A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限位开关检查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5CFE2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安装牢固，响应及时，接线紧固</w:t>
            </w:r>
          </w:p>
        </w:tc>
      </w:tr>
      <w:tr w14:paraId="47DA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B35BD2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C297E7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4937DF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35EBF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2851E3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E328C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转向口检查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61C3DC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无异响，无漏气，位置对齐</w:t>
            </w:r>
          </w:p>
        </w:tc>
      </w:tr>
      <w:tr w14:paraId="725B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2D9A36F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1D3E60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6B3ED8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5529C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2A6355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804B7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转向管体检查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A1D48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无破损，无异响，齿条无破损</w:t>
            </w:r>
          </w:p>
        </w:tc>
      </w:tr>
      <w:tr w14:paraId="591A6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241CC2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385A72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FE2C7E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66DEB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36FE4F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194E3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转向口动作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B3879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指向明确，动作平顺、到位</w:t>
            </w:r>
          </w:p>
        </w:tc>
      </w:tr>
      <w:tr w14:paraId="6352A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490BF4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70F5BB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9B55D7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D733A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8E75BE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1DD0B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光电检查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6942EF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安装牢固，无漏气，接线紧固，感应灵敏</w:t>
            </w:r>
          </w:p>
        </w:tc>
      </w:tr>
      <w:tr w14:paraId="6EAB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7178AB2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C3E2FC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32CDE9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3BDEE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E75890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6A031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RFID 线圈及模块检查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781253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安装牢固，无损伤，感应灵敏</w:t>
            </w:r>
          </w:p>
        </w:tc>
      </w:tr>
      <w:tr w14:paraId="64CF1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4DD1415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EB1C10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C7D07B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E69997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31F48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4DC1F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供电及控制线路检查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5D931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无松动，无老化</w:t>
            </w:r>
          </w:p>
        </w:tc>
      </w:tr>
      <w:tr w14:paraId="5F953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4F675D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B78CE4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CA697D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4C0089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B1A54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98E26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连接螺丝检查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1D98DA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无异响，无卡顿</w:t>
            </w:r>
          </w:p>
        </w:tc>
      </w:tr>
      <w:tr w14:paraId="2E0A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0DB833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52445C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7F6C69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5AE9E7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8FBD0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8CB3F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上下滑板检查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E6160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表面无损伤，无异响，无卡顿</w:t>
            </w:r>
          </w:p>
        </w:tc>
      </w:tr>
      <w:tr w14:paraId="5997F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7084E9A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19A43F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9B876B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1D3A94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21715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C1EEB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主管道接口检查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2F5D6C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无异响，无漏气，无振动</w:t>
            </w:r>
          </w:p>
        </w:tc>
      </w:tr>
      <w:tr w14:paraId="1198E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206F23A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59BAAE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7CD3F9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51D9B3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50B0F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3AB44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站点清洁消毒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71B64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无灰尘，无异物，清洁记录登记</w:t>
            </w:r>
          </w:p>
        </w:tc>
      </w:tr>
      <w:tr w14:paraId="79357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11F92C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风机（4台）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25E92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40879A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586CE5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30908B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3D1C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外观检查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7A25E3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无灰尘，无异物，无损伤</w:t>
            </w:r>
          </w:p>
        </w:tc>
      </w:tr>
      <w:tr w14:paraId="5E9E8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4C50E0B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A72C4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D79B7C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7574D3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0092A3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2C58E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运行检查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0D44C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无振动，无异响，无过热，启停正常</w:t>
            </w:r>
          </w:p>
        </w:tc>
      </w:tr>
      <w:tr w14:paraId="0AC3A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04966B5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32921A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D72F5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855925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0B9B37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71B8E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供电及控制线路检查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E0688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无松动，无老化</w:t>
            </w:r>
          </w:p>
        </w:tc>
      </w:tr>
      <w:tr w14:paraId="61001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F8A9D8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A4369F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13284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A8A21E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3240D6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B9488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连接处各密封口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8E6B4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无异响，无漏气，安装牢固</w:t>
            </w:r>
          </w:p>
        </w:tc>
      </w:tr>
      <w:tr w14:paraId="3A866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A138B8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2541CF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09BECB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E98E6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C2C5FB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29710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接触器检查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19C8C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接线牢固，功能正常</w:t>
            </w:r>
          </w:p>
        </w:tc>
      </w:tr>
      <w:tr w14:paraId="3C43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901A89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28CCA8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9A642E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41A54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07B4CB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55129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清洁除尘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64F5E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风口处清洁，无灰尘，无异物</w:t>
            </w:r>
          </w:p>
        </w:tc>
      </w:tr>
      <w:tr w14:paraId="36FAC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79D0D4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转换阀/分线器/交换中心（换向阀4台，分线器6台，交换中心1台）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6999E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E9A4EC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D4BD78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4A03E2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6EC79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内、外观检查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FEA18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无灰尘，无异物，无损伤，无振动，无堵塞</w:t>
            </w:r>
          </w:p>
        </w:tc>
      </w:tr>
      <w:tr w14:paraId="1B5F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758C3D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BD97A4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0FC62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468BB1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049D47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3DCC8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齿轮检查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B28C9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无缺齿，动作无异响，安装牢固，咬齿正常</w:t>
            </w:r>
          </w:p>
        </w:tc>
      </w:tr>
      <w:tr w14:paraId="69231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7F6A26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F8EAA9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BE3CE1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ED92B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F3638B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96055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马达检查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C2092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无异响，安装牢固，接线紧固</w:t>
            </w:r>
          </w:p>
        </w:tc>
      </w:tr>
      <w:tr w14:paraId="5F169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12CAA39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5F4EB9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8A378A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E1733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A21255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7AD26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限位开关检查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639CA2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安装牢固，响应及时，接线紧固</w:t>
            </w:r>
          </w:p>
        </w:tc>
      </w:tr>
      <w:tr w14:paraId="16727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E0C755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01DC90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1FCBB4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FA9F3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1E16D4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4B1CC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转向口检查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F1627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无异响，无漏气，位置对齐</w:t>
            </w:r>
          </w:p>
        </w:tc>
      </w:tr>
      <w:tr w14:paraId="7C50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9F0975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AA14A4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99C10E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8015D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07FCF3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FE3BE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转向口动作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DEA80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指向明确，动作到位</w:t>
            </w:r>
          </w:p>
        </w:tc>
      </w:tr>
      <w:tr w14:paraId="03151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C543F6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99C2D3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DDD42A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E7B3E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9829CC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F9E8F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管口密封圈检查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A0717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无损伤，无卡顿，无异响</w:t>
            </w:r>
          </w:p>
        </w:tc>
      </w:tr>
      <w:tr w14:paraId="35825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051ECAE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A568DF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535908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8938F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E8D92F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D0C75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光电检查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E1E3A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安装牢固，无漏气，接线紧固，感应灵敏</w:t>
            </w:r>
          </w:p>
        </w:tc>
      </w:tr>
      <w:tr w14:paraId="7A9F0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4B4740B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A2D84E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07371F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79B6B2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A5BC6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AD94D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供电及控制线路检查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177D27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无松动，无老化</w:t>
            </w:r>
          </w:p>
        </w:tc>
      </w:tr>
      <w:tr w14:paraId="16CB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93D082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53D12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9DEB70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3DA1B9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500FD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B0EB3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联结螺丝检查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1EE0DC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无异响，无卡顿</w:t>
            </w:r>
          </w:p>
        </w:tc>
      </w:tr>
      <w:tr w14:paraId="53EE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7AA820D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DF5331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2B3481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733E7D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23C5A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A8812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上下滑板检查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797456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表面无损伤，动作无异响，移动顺滑</w:t>
            </w:r>
          </w:p>
        </w:tc>
      </w:tr>
      <w:tr w14:paraId="41C87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4E809A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FFFB98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C96449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EAE68A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A6781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A2EDB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主管道接口检查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2FA9B0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无异响，无漏气，无振动</w:t>
            </w:r>
          </w:p>
        </w:tc>
      </w:tr>
      <w:tr w14:paraId="13DD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06132B9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1EA924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F49844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BE73D8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B3364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023B5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清洁除尘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73218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内外表面清洁除尘，无灰尘，无异物</w:t>
            </w:r>
          </w:p>
        </w:tc>
      </w:tr>
      <w:tr w14:paraId="032A1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39453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传输瓶及配套器具（84个）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A883FE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6E9C9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FC3B35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B627F1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74F50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内、外观检查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28F631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无损伤，无污染，瓶体无破损</w:t>
            </w:r>
          </w:p>
        </w:tc>
      </w:tr>
      <w:tr w14:paraId="7413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056088B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A6E663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B3F55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C22F07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21DD5D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82A5E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摩擦圈/密封圈检查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BED60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无严重磨损，固定牢固，尺寸≤101mm需更换</w:t>
            </w:r>
          </w:p>
        </w:tc>
      </w:tr>
      <w:tr w14:paraId="530A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40BC1A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FF9FA7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AD1D2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5A798F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482E1C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AC297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瓶扣（锁扣）检查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ABF8E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关闭顺畅，卡扣牢固</w:t>
            </w:r>
          </w:p>
        </w:tc>
      </w:tr>
      <w:tr w14:paraId="494CA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FAAC29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C2CA47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CF8EE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11804E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213DAE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227F5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海绵垫检查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2CD72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无缺损，无丢失，无污染</w:t>
            </w:r>
          </w:p>
        </w:tc>
      </w:tr>
      <w:tr w14:paraId="4FBB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F7D024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99B7EA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8E8ABD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114B4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44C7BC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7E924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RFID 芯片检查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1E388A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无缺损，固定牢固，感应正常</w:t>
            </w:r>
          </w:p>
        </w:tc>
      </w:tr>
      <w:tr w14:paraId="17220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1904156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F379B1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7F9B1A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87EF5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F171EF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1791B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瓶身标识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DC410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无缺损，无丢失</w:t>
            </w:r>
          </w:p>
        </w:tc>
      </w:tr>
      <w:tr w14:paraId="5AD7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56991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供电系统（1套）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B54112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59D1E6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E9B8C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A8520C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7D1DA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内、外观检查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75D026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无灰尘，无异物，无损伤</w:t>
            </w:r>
          </w:p>
        </w:tc>
      </w:tr>
      <w:tr w14:paraId="45B9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245DB63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314C82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F0E946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80BA3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F4F758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70AD0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供电及控制线路检查（含通讯模块）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68E243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无松动，无老化，控制线无破损</w:t>
            </w:r>
          </w:p>
        </w:tc>
      </w:tr>
      <w:tr w14:paraId="1B71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4758092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2A3293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7C4F40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3B3C5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D9862E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AA358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电压检查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7E8FF1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电压正常</w:t>
            </w:r>
          </w:p>
        </w:tc>
      </w:tr>
      <w:tr w14:paraId="756D8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0AEDCFC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29F64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FC08AB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6BC222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C5B2C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34441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配电箱检查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62624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线路工作正常，漏电保护正常</w:t>
            </w:r>
          </w:p>
        </w:tc>
      </w:tr>
      <w:tr w14:paraId="53006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1F293D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DF4953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19A10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B749F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BE2E3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0B7C2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供电回路检查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0F45AC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指示灯工作正常，漏电保护正常</w:t>
            </w:r>
          </w:p>
        </w:tc>
      </w:tr>
      <w:tr w14:paraId="3D389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4487844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30DA9C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9CC77B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73629C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4C871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36D25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清洁除尘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C505F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内外表面清洁除尘，无灰尘，无异物</w:t>
            </w:r>
          </w:p>
        </w:tc>
      </w:tr>
      <w:tr w14:paraId="06A75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25EBF2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控制系统（1套）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9A21AB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5943B5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783CB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87DF1C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BF024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内、外观检查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F71F3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无灰尘，无异物，无损伤</w:t>
            </w:r>
          </w:p>
        </w:tc>
      </w:tr>
      <w:tr w14:paraId="17F6A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5184DFD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4712DC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36412D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5ABD0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98F22D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6107C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供电及控制线路检查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4213BC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无松动，无老化</w:t>
            </w:r>
          </w:p>
        </w:tc>
      </w:tr>
      <w:tr w14:paraId="5131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32C017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DB0B6C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A41412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96C9E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3B67EE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91A9F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数据存储检查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B3C10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数据传输、存储正常</w:t>
            </w:r>
          </w:p>
        </w:tc>
      </w:tr>
      <w:tr w14:paraId="1180B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12268EA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740288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FC22FC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2372A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48938A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C26B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清洁除尘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1E696C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内外表面清洁除尘，无灰尘，无异物</w:t>
            </w:r>
          </w:p>
        </w:tc>
      </w:tr>
      <w:tr w14:paraId="4EA2D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48DBB9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管道（4线）</w:t>
            </w: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CF3324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629995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C3736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4DA740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D8117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外观检查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63F461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无损伤，无振动</w:t>
            </w:r>
          </w:p>
        </w:tc>
      </w:tr>
      <w:tr w14:paraId="026AD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32120B7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A05DB1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8E858A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2EC2D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980E9F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EBF4F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旁通管/单向阀检查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63FFDC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无损伤，无异响，动作正常</w:t>
            </w:r>
          </w:p>
        </w:tc>
      </w:tr>
      <w:tr w14:paraId="1DF14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0C7D2F7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B07282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E9D31C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C61CE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290B53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77E73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管口接口检查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185293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无损伤，无异响，无振动</w:t>
            </w:r>
          </w:p>
        </w:tc>
      </w:tr>
      <w:tr w14:paraId="57B2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69A3BAF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B477B6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5E3E73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4C148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B40C09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612D4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布胶带/抱箍检查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540F4B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无损伤，无松动，无脱落，无异响</w:t>
            </w:r>
          </w:p>
        </w:tc>
      </w:tr>
      <w:tr w14:paraId="03687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2428A26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82F254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522FD7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AC8F6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0DDAC4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80263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末端排气口/排气阀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68EB5C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无损伤，无异响，安装牢固，动作正常</w:t>
            </w:r>
          </w:p>
        </w:tc>
      </w:tr>
      <w:tr w14:paraId="3E200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</w:tcPr>
          <w:p w14:paraId="14BF737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6C4F60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7A1DF1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97F34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●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D07033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1DAF1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管道清洁</w:t>
            </w:r>
          </w:p>
        </w:tc>
        <w:tc>
          <w:tcPr>
            <w:tcW w:w="43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</w:tcPr>
          <w:p w14:paraId="359D96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无灰尘，无异物</w:t>
            </w:r>
          </w:p>
        </w:tc>
      </w:tr>
    </w:tbl>
    <w:p w14:paraId="7DA82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3.2每2年定期更换一次工作站、分流器、换向阀中的密封环弹性棉，以保证密封效果，服务期内共计更换2次。</w:t>
      </w:r>
    </w:p>
    <w:p w14:paraId="29337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3.3根据采购人要求，为有需求的科室及时开展</w:t>
      </w:r>
      <w:r>
        <w:rPr>
          <w:rFonts w:hint="eastAsia" w:ascii="仿宋" w:hAnsi="仿宋" w:eastAsia="仿宋"/>
          <w:b w:val="0"/>
          <w:bCs w:val="0"/>
          <w:color w:val="auto"/>
          <w:sz w:val="24"/>
          <w:szCs w:val="24"/>
          <w:lang w:val="en-US" w:eastAsia="zh-CN"/>
        </w:rPr>
        <w:t>系统操作与消毒流程培训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。</w:t>
      </w:r>
    </w:p>
    <w:p w14:paraId="18718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3.4 按要求接收故障报修并响应，采取必要措施开展故障维修，降低并消除故障影响，在规定时间内完成故障修复。</w:t>
      </w:r>
    </w:p>
    <w:p w14:paraId="0EE9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3.</w:t>
      </w:r>
      <w:r>
        <w:rPr>
          <w:rFonts w:hint="default" w:ascii="仿宋" w:hAnsi="仿宋" w:eastAsia="仿宋"/>
          <w:color w:val="auto"/>
          <w:sz w:val="24"/>
          <w:szCs w:val="24"/>
          <w:lang w:eastAsia="zh-CN"/>
        </w:rPr>
        <w:t>5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 xml:space="preserve"> 不定期对系统软件进行维护、更新与升级，内容涵盖新设备启用时的系统升级、系统Bus修复、系统标准功能发布、信息安全漏洞修复等。</w:t>
      </w:r>
    </w:p>
    <w:p w14:paraId="3F6E7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3.</w:t>
      </w:r>
      <w:r>
        <w:rPr>
          <w:rFonts w:hint="default" w:ascii="仿宋" w:hAnsi="仿宋" w:eastAsia="仿宋"/>
          <w:color w:val="auto"/>
          <w:sz w:val="24"/>
          <w:szCs w:val="24"/>
          <w:lang w:eastAsia="zh-CN"/>
        </w:rPr>
        <w:t>6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仿宋" w:hAnsi="仿宋" w:eastAsia="仿宋"/>
          <w:color w:val="auto"/>
          <w:sz w:val="24"/>
          <w:szCs w:val="24"/>
          <w:lang w:eastAsia="zh-CN"/>
        </w:rPr>
        <w:t>保障该系统正常运行的其他必要服务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。</w:t>
      </w:r>
    </w:p>
    <w:p w14:paraId="2FEF92F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4.服务要求</w:t>
      </w:r>
    </w:p>
    <w:p w14:paraId="3678C5B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4.1 成交供应商指派一名项目负责人，全面负责本项目的管理工作。</w:t>
      </w:r>
    </w:p>
    <w:p w14:paraId="3779498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4.2委派至少1名维保人员，在工作日8:00-17:30时段内常驻本院，其余时段不要求院内驻场，但须保持通信畅通，满足故障响应与恢复时效要求。</w:t>
      </w:r>
    </w:p>
    <w:p w14:paraId="7952E8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4.3为确保服务连续性，驻场维保人员除因辞职、重大疾病等不可抗力因素外，应保持人员稳定。若成交供应商确需更换人员，须提前书面说明理由，获得采购人主管科室书面批准后方可执行。采购人有权要求成交供应商更换不符合工作要求的驻场维保人员。</w:t>
      </w:r>
    </w:p>
    <w:p w14:paraId="5BA09A3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4.4维保人员须在接到故障报修后第一时间响应，可通过电话、网络等方式开展远程指导与远程控制处置，也可安排技术人员携带必要备件抵达现场开展检修工作。一般故障须在接报后30分钟内恢复运行。</w:t>
      </w:r>
    </w:p>
    <w:p w14:paraId="2940E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4.5 对于30分钟内无法恢复的故障，须由项目负责人介入处置，协调调配必要资源投入抢修，推动系统恢复运行，将故障影响降至最低。若接报后4小时仍无法恢复，或无法查明故障原因并出具明确修复计划的，项目负责人或其上级管理人员须在1小时内抵达现场指挥协调处置。</w:t>
      </w:r>
    </w:p>
    <w:p w14:paraId="49A652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4.6重大故障修复完成后，中标人须在3个工作日内向采购人提交重大故障（事件）分析报告。</w:t>
      </w:r>
    </w:p>
    <w:p w14:paraId="1AA3CF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4.7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所更换的零配件原则上应采用原厂原品牌规格产品，也可采用采购人认可、与本项目维保设备兼容的合格全新产品，需保证维保完成后设备技术参数符合或优于原机标准。</w:t>
      </w:r>
    </w:p>
    <w:p w14:paraId="24D3F2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4.8中标人须制定种类与数量均满足周转要求的《应急备件库存清单》，且应急备件须存放在院内，应急备件使用后须在1周内完成补充。</w:t>
      </w:r>
    </w:p>
    <w:p w14:paraId="43DA54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4.9《应急备件库存清单》之外的系统配件损坏时，低值（1000 元及以下）配件必须现场随时更换，对高值配件（1000元以上）应在3天内到位。</w:t>
      </w:r>
    </w:p>
    <w:p w14:paraId="70CE77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4.4.10维保人员开展维保工作前，必须提前与使用科室沟通，确认时间后，须按照医院科室要求穿戴防护用具，方可进入科室开展维保工作。</w:t>
      </w:r>
    </w:p>
    <w:p w14:paraId="2E691B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4.11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每月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非人为故障率应≤3%。非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人为故障率计算公式为：（总故障数量减去使用部门操作不当导致的故障数量）/总输送量×100%。</w:t>
      </w:r>
    </w:p>
    <w:p w14:paraId="4C11EB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4.12</w:t>
      </w:r>
      <w:r>
        <w:rPr>
          <w:rFonts w:ascii="仿宋" w:hAnsi="仿宋" w:eastAsia="仿宋" w:cs="仿宋"/>
          <w:b w:val="0"/>
          <w:bCs w:val="0"/>
          <w:color w:val="auto"/>
          <w:sz w:val="24"/>
          <w:szCs w:val="24"/>
        </w:rPr>
        <w:t>维保人员规范管理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：</w:t>
      </w:r>
    </w:p>
    <w:p w14:paraId="1C15E76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（1）安全文明管理：现场维护作业时，工程师须穿戴工装、佩戴工牌；与临床科室人员沟通应积极友善、礼貌待人；作业现场须设置安全警示标识；登高作业须至少两名人员同时在场，作业人员须佩戴安全绳；维修/维护作业结束后须做到人走场清。</w:t>
      </w:r>
    </w:p>
    <w:p w14:paraId="3BF15E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（2）机房管理：保持机房卫生整洁，定期清洁系统设备；工具、备件、损坏件等按种类及用途规范整理摆放，标识清晰明确；维护台面做到人走台清；所用工具定期开展保养；维护设备规范摆放，防范二次损坏与遗失情况发生。</w:t>
      </w:r>
    </w:p>
    <w:p w14:paraId="4E3A87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（3）值班场所管理：保持值班室卫生整洁；办公文档分类存放；文具用品摆放整齐，保持桌面整洁；办公区域每日开展清洁，设置值日排班；工作标准及制度规范上墙公示；系统电脑桌面保持干净整洁，不得安装与系统运行无关的其他软件。</w:t>
      </w:r>
    </w:p>
    <w:p w14:paraId="64DEE7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4.13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结合医院实际运行需求，</w:t>
      </w:r>
      <w:r>
        <w:rPr>
          <w:rFonts w:ascii="仿宋" w:hAnsi="仿宋" w:eastAsia="仿宋" w:cs="仿宋"/>
          <w:b w:val="0"/>
          <w:bCs w:val="0"/>
          <w:color w:val="auto"/>
          <w:sz w:val="24"/>
          <w:szCs w:val="24"/>
        </w:rPr>
        <w:t>协助完善相关制度与流程，提供准确详尽的参数，保障医院气动物流系统高效稳定运行。</w:t>
      </w:r>
    </w:p>
    <w:p w14:paraId="67B04F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4.14按要求按时向采购人提交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下列工作资料：</w:t>
      </w:r>
    </w:p>
    <w:p w14:paraId="3C96C6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（1）于每月前5个工作日内提交以下材料：①上月系统运行数据；②上月故障记录；③上月定期维保记录；④</w:t>
      </w:r>
      <w:r>
        <w:rPr>
          <w:rFonts w:hint="eastAsia" w:ascii="仿宋" w:hAnsi="仿宋" w:eastAsia="仿宋" w:cs="Times New Roman"/>
          <w:color w:val="auto"/>
          <w:sz w:val="24"/>
          <w:szCs w:val="24"/>
          <w:lang w:val="en-US" w:eastAsia="zh-CN"/>
        </w:rPr>
        <w:t>上月材料、配件消耗清单。</w:t>
      </w:r>
    </w:p>
    <w:p w14:paraId="26FF74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（2）每3个月提交一份系统运行评价报告，内容涵盖当期系统运行数据统计分析、当期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维保工作开展情况、当期故障统计分析及下一步工作计划等。</w:t>
      </w:r>
    </w:p>
    <w:p w14:paraId="00544E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（3）采购人要求提交的其他资料。</w:t>
      </w:r>
    </w:p>
    <w:p w14:paraId="4C562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4.15 相关日常维保及软件升级等技术工作须对院方管理人员公开。</w:t>
      </w:r>
    </w:p>
    <w:p w14:paraId="286FF7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4.16配合采购人完成气动物流系统相关的院感检查、上级部门检查、三甲评审检查、消防检查等工作，并对检查发现的问题完成整改。</w:t>
      </w:r>
    </w:p>
    <w:p w14:paraId="223E61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4.17对于院方人为因素及不可抗力导致损坏的配件，由院方承担采购费用，中标方免费提供人工更换服务；更换配件须做好详细记录并提交采购人负责人。</w:t>
      </w:r>
    </w:p>
    <w:p w14:paraId="5B61139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rPr>
          <w:rFonts w:hint="default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5.考核条款</w:t>
      </w:r>
    </w:p>
    <w:p w14:paraId="2E2EA20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Chars="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5.1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采购人每3个月开展1次考核，依照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考核标准对中标人进行考核。考核总分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设置为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100分，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考核得分达到90分及以上的判定为合格。若考核得分低于90分，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每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1分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扣除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人民币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500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元，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扣除款项从当期维保费中支取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合同期内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，若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该考核项目连续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2个月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考核得分低于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80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/>
        </w:rPr>
        <w:t>或一个合同年度内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累计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3个月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考核得分低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80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分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，采购人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有权提前终止合同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，同时中标人须按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合同费用总额的30%向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采购人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支付违约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金；若因此给采购人造成的损失超出违约金数额，中标人还</w:t>
      </w:r>
      <w:bookmarkStart w:id="0" w:name="_GoBack"/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须</w:t>
      </w:r>
      <w:bookmarkEnd w:id="0"/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就超出部分向采购人赔偿损失。</w:t>
      </w:r>
    </w:p>
    <w:p w14:paraId="29ACDC4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5.2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服务期内，若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未按规定标准开展定期保养，每发现一次，从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当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维保费中扣除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00元。</w:t>
      </w:r>
    </w:p>
    <w:p w14:paraId="31279D1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5.3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维保期内，维保人员接到报修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后未及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时响应的，经查实每次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扣罚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300元。</w:t>
      </w:r>
    </w:p>
    <w:p w14:paraId="5248472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/>
          <w:color w:val="auto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5.4 发生重大故障时，项目负责人或其上级人员未按规定时间到达现场的，经查实每次扣罚500元。</w:t>
      </w:r>
    </w:p>
    <w:p w14:paraId="3582C1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5.5驻场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维保工作人员私自离岗超过10分钟，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在巡查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值班、维保期间刷手机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看视频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玩游戏，无故在各区域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及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机房内聚集闲坐聊天，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以及违反其他工作纪律要求的，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每次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扣罚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300元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。</w:t>
      </w:r>
    </w:p>
    <w:p w14:paraId="68088B9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5.6因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驻场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维保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人员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未及时处理故障，致使标本在管道内滞留时间过长，导致标本失效需要重新采集的，每次扣罚500元，并由维保方承担采购人因此遭受的其他损失。</w:t>
      </w:r>
    </w:p>
    <w:p w14:paraId="1B85DB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5.7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中标人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未委派现场服务人员，或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委派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的现场服务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人员工作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不符合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服务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要求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，从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当期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维保费中扣除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500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元/天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有权要求更换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不符合要求的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现场服务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人员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，中标人未在规定时限内完成更换的，采购人可单方面终止合同，并按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实际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现场服务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时间进行费用结算。</w:t>
      </w:r>
    </w:p>
    <w:p w14:paraId="77F8BB6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5.8若中标人未能及时提供替换的软硬件，导致系统整体或部分无法正常使用，采购人可直接邀请具备问题解决能力的国内外机构先行维修，所需全部费用及由此产生的相关责任均由中标人承担。</w:t>
      </w:r>
    </w:p>
    <w:p w14:paraId="0A34917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5.9若中标人未及时提交要求的工作记录资料，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每次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扣罚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300元。</w:t>
      </w:r>
    </w:p>
    <w:p w14:paraId="0190C0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5.10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每月故障率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不得高于3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%。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若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当月故障率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高于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%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当期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维保费中扣除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00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/>
        </w:rPr>
        <w:t>元。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故障率计算公式为：故障率=非人为故障次数÷发瓶量×100%。</w:t>
      </w:r>
    </w:p>
    <w:p w14:paraId="2E25CC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5.11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接到设备使用部门工作人员投诉，且经采购人工作人员核实投诉事项确因中标人责任导致的，每次从当期维保费中扣除500元。</w:t>
      </w:r>
    </w:p>
    <w:p w14:paraId="0FA206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5.12</w:t>
      </w:r>
      <w:r>
        <w:rPr>
          <w:rFonts w:hint="eastAsia" w:ascii="仿宋" w:hAnsi="仿宋" w:eastAsia="仿宋" w:cs="仿宋"/>
          <w:color w:val="auto"/>
          <w:sz w:val="24"/>
          <w:szCs w:val="24"/>
          <w:lang w:val="zh-TW" w:eastAsia="zh-CN"/>
        </w:rPr>
        <w:t>每个合同年度内，若上述扣款情形累计超过5次，采购人有权提前终止合同。采购人需向中标人发出书面通知，明确其违约性质，中标人应自收到通知之日起20日内，就通知载明的违约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TW" w:eastAsia="zh-CN"/>
        </w:rPr>
        <w:t>事项完成整改。若前述违约行为经通知后20日仍未纠正，且已造成重大损失的，采购人可向中标人发出书面通知终止合同。</w:t>
      </w:r>
    </w:p>
    <w:p w14:paraId="42BAAD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5.12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若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中标人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不履行或不适当履行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本合同约定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的其他服务内容，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采购人有权按当月运维费的5%计收每次的违约金，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并从当期应付合同费用或履约保证金中扣除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；由此给采购人造成损失的，全部赔偿责任由中标人承担。若中标人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提供的服务未达到本合同约定的标准，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有权在支付款项时扣除相应合同费用。</w:t>
      </w:r>
    </w:p>
    <w:p w14:paraId="6C91DA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 w:bidi="ar"/>
        </w:rPr>
        <w:t>5.13合同履行过程中，发生下列任一情形的，采购人有权单方解除本合同，不予支付剩余服务费用，同时中标人须向采购人支付合同总金额10%的违约金，并赔偿采购人遭受的全部损失：</w:t>
      </w:r>
    </w:p>
    <w:p w14:paraId="217EEF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 w:bidi="ar"/>
        </w:rPr>
        <w:t>（1）因中标人原因造成采购人设备损坏、故障、系统信息丢失，以及引发人员伤亡等财产损失或人身损害事故的。</w:t>
      </w:r>
    </w:p>
    <w:p w14:paraId="724FE9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 w:bidi="ar"/>
        </w:rPr>
        <w:t>（2）中标人未遵照安全管理相关规定开展工作，造成人员伤亡，或引发安全、消防等责任事故的。</w:t>
      </w:r>
    </w:p>
    <w:p w14:paraId="0F1BBB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 w:bidi="ar"/>
        </w:rPr>
        <w:t>（3）因中标人的违约行为，给采购人或采购人工作人员造成损失或不良影响（特指医疗不良事件）的。</w:t>
      </w:r>
    </w:p>
    <w:p w14:paraId="68CDA7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lang w:val="en-US" w:eastAsia="zh-CN" w:bidi="ar"/>
        </w:rPr>
        <w:t>（4）中标人违反保密义务或知识产权相关条款约定的。</w:t>
      </w:r>
    </w:p>
    <w:p w14:paraId="31822E4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0A3DB7B2">
      <w:pPr>
        <w:rPr>
          <w:rFonts w:hint="eastAsia"/>
          <w:color w:val="auto"/>
          <w:lang w:val="en-US" w:eastAsia="zh-CN"/>
        </w:rPr>
      </w:pPr>
    </w:p>
    <w:p w14:paraId="736B3B6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leftChars="0"/>
        <w:rPr>
          <w:rFonts w:hint="default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</w:pPr>
    </w:p>
    <w:p w14:paraId="6D4416E7">
      <w:pPr>
        <w:rPr>
          <w:rFonts w:hint="eastAsia"/>
          <w:color w:val="auto"/>
          <w:lang w:val="zh-TW"/>
        </w:rPr>
      </w:pPr>
    </w:p>
    <w:p w14:paraId="25F81581">
      <w:pPr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</w:p>
    <w:p w14:paraId="38D61D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2" w:firstLineChars="200"/>
        <w:rPr>
          <w:rFonts w:hint="eastAsia" w:ascii="宋体" w:hAnsi="宋体" w:cs="宋体"/>
          <w:b/>
          <w:bCs/>
          <w:color w:val="auto"/>
          <w:sz w:val="24"/>
          <w:szCs w:val="24"/>
          <w:lang w:val="zh-TW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附件1:</w:t>
      </w:r>
    </w:p>
    <w:tbl>
      <w:tblPr>
        <w:tblStyle w:val="14"/>
        <w:tblpPr w:leftFromText="180" w:rightFromText="180" w:vertAnchor="text" w:horzAnchor="page" w:tblpX="858" w:tblpY="457"/>
        <w:tblOverlap w:val="never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392"/>
        <w:gridCol w:w="5067"/>
        <w:gridCol w:w="1240"/>
        <w:gridCol w:w="1158"/>
      </w:tblGrid>
      <w:tr w14:paraId="5998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418" w:type="pct"/>
            <w:gridSpan w:val="2"/>
            <w:vAlign w:val="center"/>
          </w:tcPr>
          <w:p w14:paraId="086488A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监管部门</w:t>
            </w:r>
          </w:p>
        </w:tc>
        <w:tc>
          <w:tcPr>
            <w:tcW w:w="3581" w:type="pct"/>
            <w:gridSpan w:val="3"/>
            <w:vAlign w:val="center"/>
          </w:tcPr>
          <w:p w14:paraId="1D50D02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</w:p>
        </w:tc>
      </w:tr>
      <w:tr w14:paraId="03293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418" w:type="pct"/>
            <w:gridSpan w:val="2"/>
            <w:vAlign w:val="center"/>
          </w:tcPr>
          <w:p w14:paraId="26683B9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评价期间</w:t>
            </w:r>
          </w:p>
        </w:tc>
        <w:tc>
          <w:tcPr>
            <w:tcW w:w="3581" w:type="pct"/>
            <w:gridSpan w:val="3"/>
            <w:vAlign w:val="center"/>
          </w:tcPr>
          <w:p w14:paraId="1CBE15D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年    月    日-    年    月    日</w:t>
            </w:r>
          </w:p>
        </w:tc>
      </w:tr>
      <w:tr w14:paraId="7BC5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8" w:type="pct"/>
            <w:gridSpan w:val="2"/>
            <w:vAlign w:val="center"/>
          </w:tcPr>
          <w:p w14:paraId="3AC247A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服务外包单位</w:t>
            </w:r>
          </w:p>
        </w:tc>
        <w:tc>
          <w:tcPr>
            <w:tcW w:w="3581" w:type="pct"/>
            <w:gridSpan w:val="3"/>
            <w:vAlign w:val="center"/>
          </w:tcPr>
          <w:p w14:paraId="24FA9B2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</w:p>
        </w:tc>
      </w:tr>
      <w:tr w14:paraId="0C4B0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18" w:type="pct"/>
            <w:gridSpan w:val="2"/>
            <w:vAlign w:val="center"/>
          </w:tcPr>
          <w:p w14:paraId="4FE10B7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服务内容范围</w:t>
            </w:r>
          </w:p>
        </w:tc>
        <w:tc>
          <w:tcPr>
            <w:tcW w:w="3581" w:type="pct"/>
            <w:gridSpan w:val="3"/>
            <w:vAlign w:val="center"/>
          </w:tcPr>
          <w:p w14:paraId="3034896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</w:p>
        </w:tc>
      </w:tr>
      <w:tr w14:paraId="2A527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50" w:type="pct"/>
            <w:vAlign w:val="center"/>
          </w:tcPr>
          <w:p w14:paraId="697197B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考核内容</w:t>
            </w:r>
          </w:p>
          <w:p w14:paraId="6C90C603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（100分）</w:t>
            </w:r>
          </w:p>
        </w:tc>
        <w:tc>
          <w:tcPr>
            <w:tcW w:w="668" w:type="pct"/>
            <w:vAlign w:val="center"/>
          </w:tcPr>
          <w:p w14:paraId="225E130A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权重</w:t>
            </w:r>
          </w:p>
        </w:tc>
        <w:tc>
          <w:tcPr>
            <w:tcW w:w="2431" w:type="pct"/>
            <w:vAlign w:val="center"/>
          </w:tcPr>
          <w:p w14:paraId="4DB99ABF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考核标准</w:t>
            </w:r>
          </w:p>
        </w:tc>
        <w:tc>
          <w:tcPr>
            <w:tcW w:w="595" w:type="pct"/>
            <w:vAlign w:val="center"/>
          </w:tcPr>
          <w:p w14:paraId="6AD0284D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得分</w:t>
            </w:r>
          </w:p>
        </w:tc>
        <w:tc>
          <w:tcPr>
            <w:tcW w:w="554" w:type="pct"/>
            <w:vAlign w:val="center"/>
          </w:tcPr>
          <w:p w14:paraId="52704361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备注</w:t>
            </w:r>
          </w:p>
        </w:tc>
      </w:tr>
      <w:tr w14:paraId="6C66C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pct"/>
            <w:vAlign w:val="center"/>
          </w:tcPr>
          <w:p w14:paraId="13AD6ED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响应情况</w:t>
            </w:r>
          </w:p>
        </w:tc>
        <w:tc>
          <w:tcPr>
            <w:tcW w:w="668" w:type="pct"/>
            <w:vAlign w:val="center"/>
          </w:tcPr>
          <w:p w14:paraId="266586B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15%</w:t>
            </w:r>
          </w:p>
          <w:p w14:paraId="3E89020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（15分）</w:t>
            </w:r>
          </w:p>
        </w:tc>
        <w:tc>
          <w:tcPr>
            <w:tcW w:w="2431" w:type="pct"/>
          </w:tcPr>
          <w:p w14:paraId="4310B51E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每次均在规定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  <w:t>时限内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响应并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  <w:t>抵达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现场得15分；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instrText xml:space="preserve"> = 2 \* GB3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  <w:t>未在规定时限内响应并抵达现场的，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每次扣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val="en-US" w:eastAsia="zh-CN"/>
              </w:rPr>
              <w:t>1.5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分。</w:t>
            </w:r>
          </w:p>
        </w:tc>
        <w:tc>
          <w:tcPr>
            <w:tcW w:w="595" w:type="pct"/>
          </w:tcPr>
          <w:p w14:paraId="07172832">
            <w:pPr>
              <w:spacing w:line="240" w:lineRule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554" w:type="pct"/>
          </w:tcPr>
          <w:p w14:paraId="28788B07">
            <w:pPr>
              <w:spacing w:line="240" w:lineRule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</w:p>
        </w:tc>
      </w:tr>
      <w:tr w14:paraId="2601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pct"/>
            <w:vAlign w:val="center"/>
          </w:tcPr>
          <w:p w14:paraId="4FA1D1D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工作</w:t>
            </w:r>
          </w:p>
          <w:p w14:paraId="70FF8A5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质量</w:t>
            </w:r>
          </w:p>
        </w:tc>
        <w:tc>
          <w:tcPr>
            <w:tcW w:w="668" w:type="pct"/>
            <w:vAlign w:val="center"/>
          </w:tcPr>
          <w:p w14:paraId="6F76A55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%</w:t>
            </w:r>
          </w:p>
          <w:p w14:paraId="41EFA3A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分）</w:t>
            </w:r>
          </w:p>
        </w:tc>
        <w:tc>
          <w:tcPr>
            <w:tcW w:w="2431" w:type="pct"/>
          </w:tcPr>
          <w:p w14:paraId="5AE207C7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该项内容按以下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  <w:t>方面评分：</w:t>
            </w:r>
          </w:p>
          <w:p w14:paraId="674458F3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认真完成巡查工作，巡查过程发现问题立即处理，保证系统正常使用，及时填写巡查记录，内容完整、填写规范，得15分。</w:t>
            </w:r>
          </w:p>
          <w:p w14:paraId="69FE65F0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②定期保养工作高效开展，主动发现问题，及时提交定期保养记录，内容完整、填写规范，妥善保管好维保工器具、配件等，得15分。</w:t>
            </w:r>
          </w:p>
          <w:p w14:paraId="00A93019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③故障及应急处置高效及时，应急备件准备充足、补充及时，按要求提交相关故障分析报告，得到15分；</w:t>
            </w:r>
          </w:p>
          <w:p w14:paraId="12D3CC67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④系统整体运行稳定，故障率保持低位，现场管理规范，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  <w:t>临时性和突击性工作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val="en-US" w:eastAsia="zh-CN"/>
              </w:rPr>
              <w:t>完成良好，得15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  <w:t>分。</w:t>
            </w:r>
          </w:p>
          <w:p w14:paraId="13F94AC8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  <w:t>若能够按照上述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lang w:eastAsia="zh-CN"/>
              </w:rPr>
              <w:t>方面要求保质保量完成工作，该项可得满分；若工作存在失误，将视情节轻重予以扣分。</w:t>
            </w:r>
          </w:p>
        </w:tc>
        <w:tc>
          <w:tcPr>
            <w:tcW w:w="595" w:type="pct"/>
          </w:tcPr>
          <w:p w14:paraId="70C0C847">
            <w:pPr>
              <w:spacing w:line="240" w:lineRule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554" w:type="pct"/>
          </w:tcPr>
          <w:p w14:paraId="6DB7F1C9">
            <w:pPr>
              <w:spacing w:line="240" w:lineRule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</w:rPr>
            </w:pPr>
          </w:p>
        </w:tc>
      </w:tr>
      <w:tr w14:paraId="3EBD8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pct"/>
            <w:vAlign w:val="center"/>
          </w:tcPr>
          <w:p w14:paraId="61EF755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工作</w:t>
            </w:r>
          </w:p>
          <w:p w14:paraId="340FA0A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态度</w:t>
            </w:r>
          </w:p>
        </w:tc>
        <w:tc>
          <w:tcPr>
            <w:tcW w:w="668" w:type="pct"/>
            <w:vAlign w:val="center"/>
          </w:tcPr>
          <w:p w14:paraId="31479C1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%</w:t>
            </w:r>
          </w:p>
          <w:p w14:paraId="6E69616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分）</w:t>
            </w:r>
          </w:p>
        </w:tc>
        <w:tc>
          <w:tcPr>
            <w:tcW w:w="2431" w:type="pct"/>
          </w:tcPr>
          <w:p w14:paraId="42380425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工作热情主动，能够主动思考问题，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主动提出解决办法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改进措施，积极承担力所能及工作的，得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分；</w:t>
            </w:r>
          </w:p>
          <w:p w14:paraId="5C2B11D1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instrText xml:space="preserve"> = 2 \* GB3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责任意识欠缺，存在推诿自身工作责任情形的，每次扣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分；</w:t>
            </w:r>
          </w:p>
          <w:p w14:paraId="782143C4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instrText xml:space="preserve"> = 3 \* GB3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违反医院各项管理制度，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未遵守医院行为规范要求的，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每次扣5分。</w:t>
            </w:r>
          </w:p>
        </w:tc>
        <w:tc>
          <w:tcPr>
            <w:tcW w:w="595" w:type="pct"/>
          </w:tcPr>
          <w:p w14:paraId="119F7B50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554" w:type="pct"/>
          </w:tcPr>
          <w:p w14:paraId="2A9A02FA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</w:tc>
      </w:tr>
      <w:tr w14:paraId="61CC6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pct"/>
            <w:vAlign w:val="center"/>
          </w:tcPr>
          <w:p w14:paraId="6958EA2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工作</w:t>
            </w:r>
          </w:p>
          <w:p w14:paraId="7EB3C3E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能力</w:t>
            </w:r>
          </w:p>
        </w:tc>
        <w:tc>
          <w:tcPr>
            <w:tcW w:w="668" w:type="pct"/>
            <w:vAlign w:val="center"/>
          </w:tcPr>
          <w:p w14:paraId="34BFB67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%</w:t>
            </w:r>
          </w:p>
          <w:p w14:paraId="0522099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分）</w:t>
            </w:r>
          </w:p>
        </w:tc>
        <w:tc>
          <w:tcPr>
            <w:tcW w:w="2431" w:type="pct"/>
          </w:tcPr>
          <w:p w14:paraId="4F59291A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该项工作内容按以下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四个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梯度评分：</w:t>
            </w:r>
          </w:p>
          <w:p w14:paraId="1D0DE23F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气动物流系统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相关知识广博，具备扎实的本岗位专业知识，熟练掌握本职工作的技术技巧，经验丰富得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分；</w:t>
            </w:r>
          </w:p>
          <w:p w14:paraId="27F82965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熟悉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气动物流系统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相关知识，具备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较为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充实的本岗位专业知识，掌握本职工作的技术技巧，经验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较为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丰富得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分；</w:t>
            </w:r>
          </w:p>
          <w:p w14:paraId="14D3971E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具备本岗位专业知识，对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气动物流系统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相关知识有一定了解，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基本掌握本职工作的技术技巧，岗位专业知识储备有限，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对相关知识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掌握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不够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深入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分；</w:t>
            </w:r>
          </w:p>
          <w:p w14:paraId="5B20A03B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尚未全面掌握本专业知识，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经验不足得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分。</w:t>
            </w:r>
          </w:p>
        </w:tc>
        <w:tc>
          <w:tcPr>
            <w:tcW w:w="595" w:type="pct"/>
          </w:tcPr>
          <w:p w14:paraId="45107E74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554" w:type="pct"/>
          </w:tcPr>
          <w:p w14:paraId="46B926DA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</w:tc>
      </w:tr>
      <w:tr w14:paraId="7AAF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pct"/>
            <w:vAlign w:val="center"/>
          </w:tcPr>
          <w:p w14:paraId="610F64C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仪容</w:t>
            </w:r>
          </w:p>
          <w:p w14:paraId="1262D24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仪表</w:t>
            </w:r>
          </w:p>
        </w:tc>
        <w:tc>
          <w:tcPr>
            <w:tcW w:w="668" w:type="pct"/>
            <w:vAlign w:val="center"/>
          </w:tcPr>
          <w:p w14:paraId="64998DF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%</w:t>
            </w:r>
          </w:p>
          <w:p w14:paraId="01381CB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分）</w:t>
            </w:r>
          </w:p>
        </w:tc>
        <w:tc>
          <w:tcPr>
            <w:tcW w:w="2431" w:type="pct"/>
          </w:tcPr>
          <w:p w14:paraId="382196F6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instrText xml:space="preserve"> = 1 \* GB3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着装、仪容仪表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行为符合医院要求，用语文明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规范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的，得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分；</w:t>
            </w:r>
          </w:p>
          <w:p w14:paraId="1C8522AF"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instrText xml:space="preserve"> = 2 \* GB3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违反医院相关管理规定上岗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（如吸烟、着装不规范等），每次扣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分。</w:t>
            </w:r>
          </w:p>
        </w:tc>
        <w:tc>
          <w:tcPr>
            <w:tcW w:w="595" w:type="pct"/>
          </w:tcPr>
          <w:p w14:paraId="0E2F62C9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554" w:type="pct"/>
          </w:tcPr>
          <w:p w14:paraId="710E4D92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</w:tc>
      </w:tr>
      <w:tr w14:paraId="5F6E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pct"/>
            <w:gridSpan w:val="2"/>
            <w:vAlign w:val="center"/>
          </w:tcPr>
          <w:p w14:paraId="0283C93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总得分</w:t>
            </w:r>
          </w:p>
          <w:p w14:paraId="0BCC20F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（及格要求：得分≥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0分）</w:t>
            </w:r>
          </w:p>
        </w:tc>
        <w:tc>
          <w:tcPr>
            <w:tcW w:w="3581" w:type="pct"/>
            <w:gridSpan w:val="3"/>
          </w:tcPr>
          <w:p w14:paraId="33F8D2D5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</w:tc>
      </w:tr>
      <w:tr w14:paraId="2E6C2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418" w:type="pct"/>
            <w:gridSpan w:val="2"/>
            <w:vAlign w:val="center"/>
          </w:tcPr>
          <w:p w14:paraId="6CBAA30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考核总评</w:t>
            </w:r>
          </w:p>
        </w:tc>
        <w:tc>
          <w:tcPr>
            <w:tcW w:w="3581" w:type="pct"/>
            <w:gridSpan w:val="3"/>
            <w:vAlign w:val="center"/>
          </w:tcPr>
          <w:p w14:paraId="7AE2E1FB"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47F3818F"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0776CE49">
            <w:pPr>
              <w:pStyle w:val="5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666CB2D2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 xml:space="preserve">负责人：     </w:t>
            </w:r>
          </w:p>
          <w:p w14:paraId="682A4571">
            <w:pPr>
              <w:pStyle w:val="5"/>
              <w:wordWrap w:val="0"/>
              <w:jc w:val="righ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 xml:space="preserve">             年    月     日</w:t>
            </w:r>
          </w:p>
        </w:tc>
      </w:tr>
    </w:tbl>
    <w:p w14:paraId="674ABB80">
      <w:pPr>
        <w:pStyle w:val="9"/>
        <w:jc w:val="center"/>
        <w:rPr>
          <w:rFonts w:hint="default"/>
          <w:color w:val="auto"/>
          <w:lang w:val="en-US"/>
        </w:rPr>
      </w:pP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外包公司服务考核评价表</w:t>
      </w:r>
    </w:p>
    <w:p w14:paraId="4083896A">
      <w:pPr>
        <w:rPr>
          <w:color w:val="auto"/>
        </w:rPr>
      </w:pPr>
    </w:p>
    <w:sectPr>
      <w:footerReference r:id="rId3" w:type="default"/>
      <w:pgSz w:w="11906" w:h="16838"/>
      <w:pgMar w:top="1440" w:right="850" w:bottom="144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F2E3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393E1D">
                          <w:pPr>
                            <w:pStyle w:val="9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393E1D">
                    <w:pPr>
                      <w:pStyle w:val="9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62AD0B"/>
    <w:multiLevelType w:val="multilevel"/>
    <w:tmpl w:val="3462AD0B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F6262"/>
    <w:rsid w:val="02816CCE"/>
    <w:rsid w:val="03236F11"/>
    <w:rsid w:val="03E23567"/>
    <w:rsid w:val="04E71358"/>
    <w:rsid w:val="05791EDF"/>
    <w:rsid w:val="057C552B"/>
    <w:rsid w:val="05816FE5"/>
    <w:rsid w:val="05E8755A"/>
    <w:rsid w:val="06CB676A"/>
    <w:rsid w:val="07C66A6A"/>
    <w:rsid w:val="08AF0401"/>
    <w:rsid w:val="0A061514"/>
    <w:rsid w:val="0A0D7099"/>
    <w:rsid w:val="0A165F4E"/>
    <w:rsid w:val="0BA13F3D"/>
    <w:rsid w:val="0CF05D56"/>
    <w:rsid w:val="0F0526A1"/>
    <w:rsid w:val="0F7F4595"/>
    <w:rsid w:val="0F9B0CA3"/>
    <w:rsid w:val="0FB6788B"/>
    <w:rsid w:val="0FE67D3D"/>
    <w:rsid w:val="11DC1B70"/>
    <w:rsid w:val="12F56E1D"/>
    <w:rsid w:val="138E4DA7"/>
    <w:rsid w:val="1399374C"/>
    <w:rsid w:val="1560257A"/>
    <w:rsid w:val="165738F2"/>
    <w:rsid w:val="17627AF4"/>
    <w:rsid w:val="17C136AD"/>
    <w:rsid w:val="19395B48"/>
    <w:rsid w:val="19B15463"/>
    <w:rsid w:val="1B1C7DC9"/>
    <w:rsid w:val="1CA4388D"/>
    <w:rsid w:val="1E63119C"/>
    <w:rsid w:val="1ECA4F9A"/>
    <w:rsid w:val="1FFE5062"/>
    <w:rsid w:val="20020FF7"/>
    <w:rsid w:val="206567EC"/>
    <w:rsid w:val="216611ED"/>
    <w:rsid w:val="22A30143"/>
    <w:rsid w:val="2524556B"/>
    <w:rsid w:val="254259F1"/>
    <w:rsid w:val="25601F6B"/>
    <w:rsid w:val="27750912"/>
    <w:rsid w:val="2A7725E1"/>
    <w:rsid w:val="2B6042B0"/>
    <w:rsid w:val="2B6C5B0C"/>
    <w:rsid w:val="2C64513A"/>
    <w:rsid w:val="31FB3AF8"/>
    <w:rsid w:val="33062754"/>
    <w:rsid w:val="340E1ED8"/>
    <w:rsid w:val="344D5195"/>
    <w:rsid w:val="349F0EB6"/>
    <w:rsid w:val="360D003D"/>
    <w:rsid w:val="36266C69"/>
    <w:rsid w:val="36F9354A"/>
    <w:rsid w:val="372C02AF"/>
    <w:rsid w:val="37DC1CD5"/>
    <w:rsid w:val="37FE5F2F"/>
    <w:rsid w:val="38107BD1"/>
    <w:rsid w:val="394F3EB2"/>
    <w:rsid w:val="397D1296"/>
    <w:rsid w:val="39A46823"/>
    <w:rsid w:val="39B50A30"/>
    <w:rsid w:val="3A5B36EE"/>
    <w:rsid w:val="3C2F056D"/>
    <w:rsid w:val="3D4C5207"/>
    <w:rsid w:val="3D62169D"/>
    <w:rsid w:val="3E522001"/>
    <w:rsid w:val="403D352D"/>
    <w:rsid w:val="40E85247"/>
    <w:rsid w:val="41273581"/>
    <w:rsid w:val="4369069C"/>
    <w:rsid w:val="44D0671E"/>
    <w:rsid w:val="4703102D"/>
    <w:rsid w:val="48392779"/>
    <w:rsid w:val="4A043AAF"/>
    <w:rsid w:val="4A1470AD"/>
    <w:rsid w:val="4CA53FD5"/>
    <w:rsid w:val="4CBE1552"/>
    <w:rsid w:val="4D1347BD"/>
    <w:rsid w:val="4D5A74CD"/>
    <w:rsid w:val="4DE56F95"/>
    <w:rsid w:val="4F440434"/>
    <w:rsid w:val="512322CB"/>
    <w:rsid w:val="51D04201"/>
    <w:rsid w:val="51E952C3"/>
    <w:rsid w:val="527459AA"/>
    <w:rsid w:val="53495C6D"/>
    <w:rsid w:val="54C55B73"/>
    <w:rsid w:val="55243045"/>
    <w:rsid w:val="552F7491"/>
    <w:rsid w:val="56186177"/>
    <w:rsid w:val="56387019"/>
    <w:rsid w:val="56554CD5"/>
    <w:rsid w:val="56B24B73"/>
    <w:rsid w:val="59457283"/>
    <w:rsid w:val="5966283D"/>
    <w:rsid w:val="59914276"/>
    <w:rsid w:val="5B0655C8"/>
    <w:rsid w:val="5B2A0AFE"/>
    <w:rsid w:val="5BC76675"/>
    <w:rsid w:val="5D5B2B0C"/>
    <w:rsid w:val="634F26ED"/>
    <w:rsid w:val="64160803"/>
    <w:rsid w:val="64D875C6"/>
    <w:rsid w:val="65FD2C93"/>
    <w:rsid w:val="66911D59"/>
    <w:rsid w:val="66996E60"/>
    <w:rsid w:val="66B51D11"/>
    <w:rsid w:val="66BC04C3"/>
    <w:rsid w:val="67DB68E5"/>
    <w:rsid w:val="68237EA8"/>
    <w:rsid w:val="68AD09A1"/>
    <w:rsid w:val="6B6D2669"/>
    <w:rsid w:val="6BCA3618"/>
    <w:rsid w:val="6C417D7E"/>
    <w:rsid w:val="6C967D37"/>
    <w:rsid w:val="6D605A67"/>
    <w:rsid w:val="6E443B55"/>
    <w:rsid w:val="6F0A735B"/>
    <w:rsid w:val="6F0D3B5C"/>
    <w:rsid w:val="6FAA3E8C"/>
    <w:rsid w:val="700E61C9"/>
    <w:rsid w:val="729013E0"/>
    <w:rsid w:val="74A6344E"/>
    <w:rsid w:val="768C6099"/>
    <w:rsid w:val="77CB499F"/>
    <w:rsid w:val="77FE5170"/>
    <w:rsid w:val="79306CE1"/>
    <w:rsid w:val="7A2C08E6"/>
    <w:rsid w:val="7A9121A0"/>
    <w:rsid w:val="7AE952C1"/>
    <w:rsid w:val="7B38059E"/>
    <w:rsid w:val="7B7516E6"/>
    <w:rsid w:val="7C091F3A"/>
    <w:rsid w:val="7C507900"/>
    <w:rsid w:val="7D0828EF"/>
    <w:rsid w:val="7E3F60E7"/>
    <w:rsid w:val="7F31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hd w:val="clear" w:color="auto" w:fill="auto"/>
      <w:spacing w:beforeLines="0" w:afterLines="0" w:line="360" w:lineRule="auto"/>
      <w:jc w:val="center"/>
      <w:outlineLvl w:val="0"/>
    </w:pPr>
    <w:rPr>
      <w:rFonts w:ascii="宋体" w:hAnsi="宋体" w:eastAsia="宋体" w:cs="宋体"/>
      <w:b/>
      <w:bCs/>
      <w:color w:val="auto"/>
      <w:kern w:val="44"/>
      <w:sz w:val="36"/>
      <w:szCs w:val="36"/>
      <w:highlight w:val="none"/>
    </w:rPr>
  </w:style>
  <w:style w:type="paragraph" w:styleId="4">
    <w:name w:val="heading 2"/>
    <w:basedOn w:val="1"/>
    <w:next w:val="1"/>
    <w:qFormat/>
    <w:uiPriority w:val="0"/>
    <w:pPr>
      <w:keepNext/>
      <w:keepLines/>
      <w:tabs>
        <w:tab w:val="left" w:pos="576"/>
      </w:tabs>
      <w:spacing w:before="260" w:after="260" w:line="416" w:lineRule="auto"/>
      <w:ind w:left="576" w:hanging="576"/>
      <w:jc w:val="center"/>
      <w:outlineLvl w:val="1"/>
    </w:pPr>
    <w:rPr>
      <w:b/>
      <w:bCs/>
      <w:sz w:val="32"/>
      <w:szCs w:val="32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sz w:val="24"/>
    </w:rPr>
  </w:style>
  <w:style w:type="paragraph" w:styleId="6">
    <w:name w:val="Body Text Indent"/>
    <w:basedOn w:val="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7">
    <w:name w:val="Plain Text"/>
    <w:basedOn w:val="1"/>
    <w:next w:val="8"/>
    <w:qFormat/>
    <w:uiPriority w:val="0"/>
    <w:pPr>
      <w:spacing w:beforeLines="50" w:afterLines="50" w:line="400" w:lineRule="exact"/>
    </w:pPr>
    <w:rPr>
      <w:rFonts w:ascii="宋体" w:hAnsi="Courier New"/>
    </w:rPr>
  </w:style>
  <w:style w:type="paragraph" w:styleId="8">
    <w:name w:val="Date"/>
    <w:basedOn w:val="1"/>
    <w:next w:val="1"/>
    <w:qFormat/>
    <w:uiPriority w:val="0"/>
    <w:pPr>
      <w:ind w:left="2500" w:leftChars="2500"/>
    </w:pPr>
    <w:rPr>
      <w:rFonts w:eastAsia="楷体_GB2312"/>
      <w:sz w:val="32"/>
      <w:szCs w:val="20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6"/>
    <w:basedOn w:val="1"/>
    <w:next w:val="1"/>
    <w:qFormat/>
    <w:uiPriority w:val="0"/>
    <w:pPr>
      <w:ind w:left="1050"/>
      <w:jc w:val="left"/>
    </w:pPr>
    <w:rPr>
      <w:rFonts w:ascii="仿宋_GB2312" w:eastAsia="仿宋_GB2312"/>
      <w:sz w:val="18"/>
      <w:szCs w:val="18"/>
    </w:rPr>
  </w:style>
  <w:style w:type="paragraph" w:styleId="12">
    <w:name w:val="Body Text First Indent"/>
    <w:basedOn w:val="5"/>
    <w:next w:val="1"/>
    <w:qFormat/>
    <w:uiPriority w:val="0"/>
    <w:pPr>
      <w:spacing w:after="120"/>
      <w:ind w:firstLine="420" w:firstLineChars="100"/>
    </w:pPr>
    <w:rPr>
      <w:sz w:val="21"/>
    </w:rPr>
  </w:style>
  <w:style w:type="paragraph" w:styleId="13">
    <w:name w:val="Body Text First Indent 2"/>
    <w:basedOn w:val="6"/>
    <w:qFormat/>
    <w:uiPriority w:val="0"/>
    <w:pPr>
      <w:spacing w:after="120"/>
      <w:ind w:left="420" w:leftChars="200" w:firstLine="21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Times New Roman" w:cs="Times New Roman"/>
      <w:sz w:val="21"/>
      <w:lang w:val="en-US" w:eastAsia="zh-CN" w:bidi="ar-SA"/>
    </w:rPr>
  </w:style>
  <w:style w:type="character" w:customStyle="1" w:styleId="18">
    <w:name w:val="font2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51"/>
    <w:basedOn w:val="16"/>
    <w:qFormat/>
    <w:uiPriority w:val="0"/>
    <w:rPr>
      <w:rFonts w:ascii="Calibri" w:hAnsi="Calibri" w:cs="Calibri"/>
      <w:color w:val="000000"/>
      <w:sz w:val="18"/>
      <w:szCs w:val="18"/>
      <w:u w:val="none"/>
    </w:rPr>
  </w:style>
  <w:style w:type="character" w:customStyle="1" w:styleId="20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0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4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3">
    <w:name w:val="无间隔1"/>
    <w:basedOn w:val="1"/>
    <w:qFormat/>
    <w:uiPriority w:val="1"/>
    <w:pPr>
      <w:spacing w:line="400" w:lineRule="exact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f5562b2f-ced6-41a6-bd4d-3e28813dff48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13EDA68C</paraID>
      <start>23</start>
      <end>24</end>
      <status>unmodified</status>
      <modifiedWord/>
      <trackRevisions>false</trackRevisions>
    </reviewItem>
    <reviewItem>
      <errorID>2d93c218-0421-4995-9b0f-bd29ea2b3772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2E2EA205</paraID>
      <start>215</start>
      <end>216</end>
      <status>unmodified</status>
      <modifiedWord/>
      <trackRevisions>false</trackRevisions>
    </reviewItem>
    <reviewItem>
      <errorID>55605be9-c14c-48f1-b9e5-7c0dad6053a1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674458F3</paraID>
      <start>13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7b4a7c-8f66-41ce-9dbc-27de6a5f30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4713</Words>
  <Characters>4909</Characters>
  <Lines>0</Lines>
  <Paragraphs>0</Paragraphs>
  <TotalTime>0</TotalTime>
  <ScaleCrop>false</ScaleCrop>
  <LinksUpToDate>false</LinksUpToDate>
  <CharactersWithSpaces>4939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2025-12-19T02:41:00Z</dcterms:created>
  <dc:creator>Administrator</dc:creator>
  <cp:lastModifiedBy>Administrator</cp:lastModifiedBy>
  <dcterms:modified xsi:type="dcterms:W3CDTF">2026-09-24T08:22:27Z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eyJoZGlkIjoiN2Y4YjBjYjZiNGU4ZjcyNmY0MjMzNDEzNDFiZWZhZWYiLCJ1c2VySWQiOiI3MjI3MTUyMzUifQ==</vt:lpwstr>
  </property>
  <property fmtid="{D5CDD505-2E9C-101B-9397-08002B2CF9AE}" pid="4" name="ICV">
    <vt:lpwstr>39C43E2601B640329E590D70D14DBCD7_12</vt:lpwstr>
  </property>
</Properties>
</file>